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85"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868680</wp:posOffset>
            </wp:positionV>
            <wp:extent cx="711517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5175"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894715</wp:posOffset>
            </wp:positionV>
            <wp:extent cx="711517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jc w:val="center"/>
        <w:ind w:right="20"/>
        <w:spacing w:after="0"/>
        <w:rPr>
          <w:sz w:val="20"/>
          <w:szCs w:val="20"/>
          <w:color w:val="auto"/>
        </w:rPr>
      </w:pPr>
      <w:r>
        <w:rPr>
          <w:rFonts w:ascii="Arial" w:cs="Arial" w:eastAsia="Arial" w:hAnsi="Arial"/>
          <w:sz w:val="29"/>
          <w:szCs w:val="29"/>
          <w:b w:val="1"/>
          <w:bCs w:val="1"/>
          <w:color w:val="auto"/>
        </w:rPr>
        <w:t>UNITED STATES</w:t>
      </w:r>
    </w:p>
    <w:p>
      <w:pPr>
        <w:spacing w:after="0" w:line="41" w:lineRule="exact"/>
        <w:rPr>
          <w:sz w:val="24"/>
          <w:szCs w:val="24"/>
          <w:color w:val="auto"/>
        </w:rPr>
      </w:pPr>
    </w:p>
    <w:p>
      <w:pPr>
        <w:jc w:val="center"/>
        <w:ind w:right="20"/>
        <w:spacing w:after="0"/>
        <w:rPr>
          <w:sz w:val="20"/>
          <w:szCs w:val="20"/>
          <w:color w:val="auto"/>
        </w:rPr>
      </w:pPr>
      <w:r>
        <w:rPr>
          <w:rFonts w:ascii="Arial" w:cs="Arial" w:eastAsia="Arial" w:hAnsi="Arial"/>
          <w:sz w:val="29"/>
          <w:szCs w:val="29"/>
          <w:b w:val="1"/>
          <w:bCs w:val="1"/>
          <w:color w:val="auto"/>
        </w:rPr>
        <w:t>SECURITIES AND EXCHANGE COMMISSION</w:t>
      </w:r>
    </w:p>
    <w:p>
      <w:pPr>
        <w:spacing w:after="0" w:line="18"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WASHINGTON, DC 20549</w:t>
      </w:r>
    </w:p>
    <w:p>
      <w:pPr>
        <w:spacing w:after="0" w:line="18" w:lineRule="exact"/>
        <w:rPr>
          <w:sz w:val="24"/>
          <w:szCs w:val="24"/>
          <w:color w:val="auto"/>
        </w:rPr>
      </w:pPr>
    </w:p>
    <w:p>
      <w:pPr>
        <w:ind w:left="3060"/>
        <w:spacing w:after="0"/>
        <w:rPr>
          <w:sz w:val="20"/>
          <w:szCs w:val="20"/>
          <w:color w:val="auto"/>
        </w:rPr>
      </w:pPr>
      <w:r>
        <w:rPr>
          <w:rFonts w:ascii="Arial" w:cs="Arial" w:eastAsia="Arial" w:hAnsi="Arial"/>
          <w:sz w:val="18"/>
          <w:szCs w:val="18"/>
          <w:color w:val="auto"/>
        </w:rPr>
        <w:t>_________________________________________________________</w:t>
      </w:r>
    </w:p>
    <w:p>
      <w:pPr>
        <w:spacing w:after="0" w:line="58" w:lineRule="exact"/>
        <w:rPr>
          <w:sz w:val="24"/>
          <w:szCs w:val="24"/>
          <w:color w:val="auto"/>
        </w:rPr>
      </w:pPr>
    </w:p>
    <w:p>
      <w:pPr>
        <w:jc w:val="center"/>
        <w:ind w:right="20"/>
        <w:spacing w:after="0"/>
        <w:rPr>
          <w:sz w:val="20"/>
          <w:szCs w:val="20"/>
          <w:color w:val="auto"/>
        </w:rPr>
      </w:pPr>
      <w:r>
        <w:rPr>
          <w:rFonts w:ascii="Arial" w:cs="Arial" w:eastAsia="Arial" w:hAnsi="Arial"/>
          <w:sz w:val="29"/>
          <w:szCs w:val="29"/>
          <w:b w:val="1"/>
          <w:bCs w:val="1"/>
          <w:color w:val="auto"/>
        </w:rPr>
        <w:t>FORM 10-Q</w:t>
      </w:r>
    </w:p>
    <w:p>
      <w:pPr>
        <w:spacing w:after="0" w:line="41" w:lineRule="exact"/>
        <w:rPr>
          <w:sz w:val="24"/>
          <w:szCs w:val="24"/>
          <w:color w:val="auto"/>
        </w:rPr>
      </w:pPr>
    </w:p>
    <w:p>
      <w:pPr>
        <w:ind w:left="3060"/>
        <w:spacing w:after="0"/>
        <w:rPr>
          <w:sz w:val="20"/>
          <w:szCs w:val="20"/>
          <w:color w:val="auto"/>
        </w:rPr>
      </w:pPr>
      <w:r>
        <w:rPr>
          <w:rFonts w:ascii="Arial" w:cs="Arial" w:eastAsia="Arial" w:hAnsi="Arial"/>
          <w:sz w:val="18"/>
          <w:szCs w:val="18"/>
          <w:color w:val="auto"/>
        </w:rPr>
        <w:t>_________________________________________________________</w:t>
      </w:r>
    </w:p>
    <w:p>
      <w:pPr>
        <w:spacing w:after="0" w:line="49"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(Mark One)</w:t>
      </w:r>
    </w:p>
    <w:p>
      <w:pPr>
        <w:spacing w:after="0" w:line="154" w:lineRule="exact"/>
        <w:rPr>
          <w:sz w:val="24"/>
          <w:szCs w:val="24"/>
          <w:color w:val="auto"/>
        </w:rPr>
      </w:pPr>
    </w:p>
    <w:p>
      <w:pPr>
        <w:ind w:left="420" w:hanging="394"/>
        <w:spacing w:after="0"/>
        <w:tabs>
          <w:tab w:leader="none" w:pos="42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QUARTERLY REPORT PURSUANT TO SECTION 13 OR 15(d) OF THE SECURITIES EXCHANGE ACT OF 1934</w:t>
      </w:r>
    </w:p>
    <w:p>
      <w:pPr>
        <w:spacing w:after="0" w:line="225"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For the quarterly period ended September 30, 2023</w:t>
      </w:r>
    </w:p>
    <w:p>
      <w:pPr>
        <w:spacing w:after="0" w:line="90"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OR</w:t>
      </w:r>
    </w:p>
    <w:p>
      <w:pPr>
        <w:spacing w:after="0" w:line="158" w:lineRule="exact"/>
        <w:rPr>
          <w:sz w:val="24"/>
          <w:szCs w:val="24"/>
          <w:color w:val="auto"/>
        </w:rPr>
      </w:pPr>
    </w:p>
    <w:p>
      <w:pPr>
        <w:ind w:left="420" w:hanging="394"/>
        <w:spacing w:after="0"/>
        <w:tabs>
          <w:tab w:leader="none" w:pos="42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198" w:lineRule="exact"/>
        <w:rPr>
          <w:sz w:val="24"/>
          <w:szCs w:val="24"/>
          <w:color w:val="auto"/>
        </w:rPr>
      </w:pPr>
    </w:p>
    <w:tbl>
      <w:tblPr>
        <w:tblLayout w:type="fixed"/>
        <w:tblInd w:w="940" w:type="dxa"/>
        <w:tblCellMar>
          <w:top w:w="0" w:type="dxa"/>
          <w:left w:w="0" w:type="dxa"/>
          <w:bottom w:w="0" w:type="dxa"/>
          <w:right w:w="0" w:type="dxa"/>
        </w:tblCellMar>
      </w:tblPr>
      <w:tr>
        <w:trPr>
          <w:trHeight w:val="207"/>
        </w:trPr>
        <w:tc>
          <w:tcPr>
            <w:tcW w:w="1360" w:type="dxa"/>
            <w:vAlign w:val="bottom"/>
          </w:tcPr>
          <w:p>
            <w:pPr>
              <w:spacing w:after="0"/>
              <w:rPr>
                <w:sz w:val="17"/>
                <w:szCs w:val="17"/>
                <w:color w:val="auto"/>
              </w:rPr>
            </w:pPr>
          </w:p>
        </w:tc>
        <w:tc>
          <w:tcPr>
            <w:tcW w:w="3900" w:type="dxa"/>
            <w:vAlign w:val="bottom"/>
          </w:tcPr>
          <w:p>
            <w:pPr>
              <w:ind w:left="1520"/>
              <w:spacing w:after="0"/>
              <w:rPr>
                <w:sz w:val="20"/>
                <w:szCs w:val="20"/>
                <w:color w:val="auto"/>
              </w:rPr>
            </w:pPr>
            <w:r>
              <w:rPr>
                <w:rFonts w:ascii="Arial" w:cs="Arial" w:eastAsia="Arial" w:hAnsi="Arial"/>
                <w:sz w:val="18"/>
                <w:szCs w:val="18"/>
                <w:b w:val="1"/>
                <w:bCs w:val="1"/>
                <w:color w:val="auto"/>
                <w:w w:val="93"/>
              </w:rPr>
              <w:t>For the transition period from</w:t>
            </w:r>
          </w:p>
        </w:tc>
        <w:tc>
          <w:tcPr>
            <w:tcW w:w="480" w:type="dxa"/>
            <w:vAlign w:val="bottom"/>
            <w:tcBorders>
              <w:bottom w:val="single" w:sz="8" w:color="auto"/>
            </w:tcBorders>
          </w:tcPr>
          <w:p>
            <w:pPr>
              <w:spacing w:after="0"/>
              <w:rPr>
                <w:sz w:val="17"/>
                <w:szCs w:val="17"/>
                <w:color w:val="auto"/>
              </w:rPr>
            </w:pPr>
          </w:p>
        </w:tc>
        <w:tc>
          <w:tcPr>
            <w:tcW w:w="240" w:type="dxa"/>
            <w:vAlign w:val="bottom"/>
          </w:tcPr>
          <w:p>
            <w:pPr>
              <w:ind w:left="60"/>
              <w:spacing w:after="0"/>
              <w:rPr>
                <w:sz w:val="20"/>
                <w:szCs w:val="20"/>
                <w:color w:val="auto"/>
              </w:rPr>
            </w:pPr>
            <w:r>
              <w:rPr>
                <w:rFonts w:ascii="Arial" w:cs="Arial" w:eastAsia="Arial" w:hAnsi="Arial"/>
                <w:sz w:val="18"/>
                <w:szCs w:val="18"/>
                <w:b w:val="1"/>
                <w:bCs w:val="1"/>
                <w:color w:val="auto"/>
                <w:w w:val="93"/>
              </w:rPr>
              <w:t>to</w:t>
            </w:r>
          </w:p>
        </w:tc>
        <w:tc>
          <w:tcPr>
            <w:tcW w:w="500" w:type="dxa"/>
            <w:vAlign w:val="bottom"/>
            <w:tcBorders>
              <w:bottom w:val="single" w:sz="8" w:color="auto"/>
            </w:tcBorders>
          </w:tcPr>
          <w:p>
            <w:pPr>
              <w:spacing w:after="0"/>
              <w:rPr>
                <w:sz w:val="17"/>
                <w:szCs w:val="17"/>
                <w:color w:val="auto"/>
              </w:rPr>
            </w:pPr>
          </w:p>
        </w:tc>
        <w:tc>
          <w:tcPr>
            <w:tcW w:w="2180" w:type="dxa"/>
            <w:vAlign w:val="bottom"/>
          </w:tcPr>
          <w:p>
            <w:pPr>
              <w:spacing w:after="0"/>
              <w:rPr>
                <w:sz w:val="17"/>
                <w:szCs w:val="17"/>
                <w:color w:val="auto"/>
              </w:rPr>
            </w:pPr>
          </w:p>
        </w:tc>
      </w:tr>
      <w:tr>
        <w:trPr>
          <w:trHeight w:val="313"/>
        </w:trPr>
        <w:tc>
          <w:tcPr>
            <w:tcW w:w="1360" w:type="dxa"/>
            <w:vAlign w:val="bottom"/>
          </w:tcPr>
          <w:p>
            <w:pPr>
              <w:spacing w:after="0"/>
              <w:rPr>
                <w:sz w:val="24"/>
                <w:szCs w:val="24"/>
                <w:color w:val="auto"/>
              </w:rPr>
            </w:pPr>
          </w:p>
        </w:tc>
        <w:tc>
          <w:tcPr>
            <w:tcW w:w="7300" w:type="dxa"/>
            <w:vAlign w:val="bottom"/>
            <w:gridSpan w:val="5"/>
          </w:tcPr>
          <w:p>
            <w:pPr>
              <w:jc w:val="center"/>
              <w:ind w:right="568"/>
              <w:spacing w:after="0"/>
              <w:rPr>
                <w:sz w:val="20"/>
                <w:szCs w:val="20"/>
                <w:color w:val="auto"/>
              </w:rPr>
            </w:pPr>
            <w:r>
              <w:rPr>
                <w:rFonts w:ascii="Arial" w:cs="Arial" w:eastAsia="Arial" w:hAnsi="Arial"/>
                <w:sz w:val="18"/>
                <w:szCs w:val="18"/>
                <w:b w:val="1"/>
                <w:bCs w:val="1"/>
                <w:color w:val="auto"/>
                <w:w w:val="91"/>
              </w:rPr>
              <w:t>Commission File Number: 001-39051</w:t>
            </w:r>
          </w:p>
        </w:tc>
      </w:tr>
      <w:tr>
        <w:trPr>
          <w:trHeight w:val="234"/>
        </w:trPr>
        <w:tc>
          <w:tcPr>
            <w:tcW w:w="1360" w:type="dxa"/>
            <w:vAlign w:val="bottom"/>
          </w:tcPr>
          <w:p>
            <w:pPr>
              <w:spacing w:after="0"/>
              <w:rPr>
                <w:sz w:val="20"/>
                <w:szCs w:val="20"/>
                <w:color w:val="auto"/>
              </w:rPr>
            </w:pPr>
          </w:p>
        </w:tc>
        <w:tc>
          <w:tcPr>
            <w:tcW w:w="7300" w:type="dxa"/>
            <w:vAlign w:val="bottom"/>
            <w:gridSpan w:val="5"/>
          </w:tcPr>
          <w:p>
            <w:pPr>
              <w:jc w:val="center"/>
              <w:ind w:right="588"/>
              <w:spacing w:after="0"/>
              <w:rPr>
                <w:sz w:val="20"/>
                <w:szCs w:val="20"/>
                <w:color w:val="auto"/>
              </w:rPr>
            </w:pPr>
            <w:r>
              <w:rPr>
                <w:rFonts w:ascii="Arial" w:cs="Arial" w:eastAsia="Arial" w:hAnsi="Arial"/>
                <w:sz w:val="18"/>
                <w:szCs w:val="18"/>
                <w:b w:val="1"/>
                <w:bCs w:val="1"/>
                <w:color w:val="auto"/>
                <w:w w:val="89"/>
              </w:rPr>
              <w:t>_________________________________________________________</w:t>
            </w:r>
          </w:p>
        </w:tc>
      </w:tr>
      <w:tr>
        <w:trPr>
          <w:trHeight w:val="477"/>
        </w:trPr>
        <w:tc>
          <w:tcPr>
            <w:tcW w:w="1360" w:type="dxa"/>
            <w:vAlign w:val="bottom"/>
          </w:tcPr>
          <w:p>
            <w:pPr>
              <w:spacing w:after="0"/>
              <w:rPr>
                <w:sz w:val="24"/>
                <w:szCs w:val="24"/>
                <w:color w:val="auto"/>
              </w:rPr>
            </w:pPr>
          </w:p>
        </w:tc>
        <w:tc>
          <w:tcPr>
            <w:tcW w:w="4380" w:type="dxa"/>
            <w:vAlign w:val="bottom"/>
            <w:gridSpan w:val="2"/>
          </w:tcPr>
          <w:p>
            <w:pPr>
              <w:jc w:val="center"/>
              <w:ind w:left="2162"/>
              <w:spacing w:after="0"/>
              <w:rPr>
                <w:sz w:val="20"/>
                <w:szCs w:val="20"/>
                <w:color w:val="auto"/>
              </w:rPr>
            </w:pPr>
            <w:r>
              <w:rPr>
                <w:rFonts w:ascii="Arial" w:cs="Arial" w:eastAsia="Arial" w:hAnsi="Arial"/>
                <w:sz w:val="36"/>
                <w:szCs w:val="36"/>
                <w:b w:val="1"/>
                <w:bCs w:val="1"/>
                <w:color w:val="auto"/>
                <w:w w:val="91"/>
              </w:rPr>
              <w:t>Datadog, Inc.</w:t>
            </w:r>
          </w:p>
        </w:tc>
        <w:tc>
          <w:tcPr>
            <w:tcW w:w="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180" w:type="dxa"/>
            <w:vAlign w:val="bottom"/>
          </w:tcPr>
          <w:p>
            <w:pPr>
              <w:spacing w:after="0"/>
              <w:rPr>
                <w:sz w:val="24"/>
                <w:szCs w:val="24"/>
                <w:color w:val="auto"/>
              </w:rPr>
            </w:pPr>
          </w:p>
        </w:tc>
      </w:tr>
      <w:tr>
        <w:trPr>
          <w:trHeight w:val="184"/>
        </w:trPr>
        <w:tc>
          <w:tcPr>
            <w:tcW w:w="1360" w:type="dxa"/>
            <w:vAlign w:val="bottom"/>
          </w:tcPr>
          <w:p>
            <w:pPr>
              <w:spacing w:after="0"/>
              <w:rPr>
                <w:sz w:val="15"/>
                <w:szCs w:val="15"/>
                <w:color w:val="auto"/>
              </w:rPr>
            </w:pPr>
          </w:p>
        </w:tc>
        <w:tc>
          <w:tcPr>
            <w:tcW w:w="7300" w:type="dxa"/>
            <w:vAlign w:val="bottom"/>
            <w:gridSpan w:val="5"/>
          </w:tcPr>
          <w:p>
            <w:pPr>
              <w:jc w:val="center"/>
              <w:ind w:right="588"/>
              <w:spacing w:after="0"/>
              <w:rPr>
                <w:sz w:val="20"/>
                <w:szCs w:val="20"/>
                <w:color w:val="auto"/>
              </w:rPr>
            </w:pPr>
            <w:r>
              <w:rPr>
                <w:rFonts w:ascii="Arial" w:cs="Arial" w:eastAsia="Arial" w:hAnsi="Arial"/>
                <w:sz w:val="14"/>
                <w:szCs w:val="14"/>
                <w:b w:val="1"/>
                <w:bCs w:val="1"/>
                <w:color w:val="auto"/>
                <w:w w:val="93"/>
              </w:rPr>
              <w:t>(Exact Name of Registrant as Specified in its Charter)</w:t>
            </w:r>
          </w:p>
        </w:tc>
      </w:tr>
      <w:tr>
        <w:trPr>
          <w:trHeight w:val="230"/>
        </w:trPr>
        <w:tc>
          <w:tcPr>
            <w:tcW w:w="1360" w:type="dxa"/>
            <w:vAlign w:val="bottom"/>
          </w:tcPr>
          <w:p>
            <w:pPr>
              <w:spacing w:after="0"/>
              <w:rPr>
                <w:sz w:val="20"/>
                <w:szCs w:val="20"/>
                <w:color w:val="auto"/>
              </w:rPr>
            </w:pPr>
          </w:p>
        </w:tc>
        <w:tc>
          <w:tcPr>
            <w:tcW w:w="7300" w:type="dxa"/>
            <w:vAlign w:val="bottom"/>
            <w:gridSpan w:val="5"/>
          </w:tcPr>
          <w:p>
            <w:pPr>
              <w:jc w:val="center"/>
              <w:ind w:right="588"/>
              <w:spacing w:after="0"/>
              <w:rPr>
                <w:sz w:val="20"/>
                <w:szCs w:val="20"/>
                <w:color w:val="auto"/>
              </w:rPr>
            </w:pPr>
            <w:r>
              <w:rPr>
                <w:rFonts w:ascii="Arial" w:cs="Arial" w:eastAsia="Arial" w:hAnsi="Arial"/>
                <w:sz w:val="18"/>
                <w:szCs w:val="18"/>
                <w:color w:val="auto"/>
                <w:w w:val="89"/>
              </w:rPr>
              <w:t>_________________________________________________________</w:t>
            </w:r>
          </w:p>
        </w:tc>
      </w:tr>
      <w:tr>
        <w:trPr>
          <w:trHeight w:val="365"/>
        </w:trPr>
        <w:tc>
          <w:tcPr>
            <w:tcW w:w="1360" w:type="dxa"/>
            <w:vAlign w:val="bottom"/>
          </w:tcPr>
          <w:p>
            <w:pPr>
              <w:spacing w:after="0"/>
              <w:rPr>
                <w:sz w:val="24"/>
                <w:szCs w:val="24"/>
                <w:color w:val="auto"/>
              </w:rPr>
            </w:pPr>
          </w:p>
        </w:tc>
        <w:tc>
          <w:tcPr>
            <w:tcW w:w="4380" w:type="dxa"/>
            <w:vAlign w:val="bottom"/>
            <w:gridSpan w:val="2"/>
          </w:tcPr>
          <w:p>
            <w:pPr>
              <w:jc w:val="center"/>
              <w:ind w:right="3380"/>
              <w:spacing w:after="0"/>
              <w:rPr>
                <w:sz w:val="20"/>
                <w:szCs w:val="20"/>
                <w:color w:val="auto"/>
              </w:rPr>
            </w:pPr>
            <w:r>
              <w:rPr>
                <w:rFonts w:ascii="Arial" w:cs="Arial" w:eastAsia="Arial" w:hAnsi="Arial"/>
                <w:sz w:val="18"/>
                <w:szCs w:val="18"/>
                <w:b w:val="1"/>
                <w:bCs w:val="1"/>
                <w:color w:val="auto"/>
                <w:w w:val="91"/>
              </w:rPr>
              <w:t>Delaware</w:t>
            </w:r>
          </w:p>
        </w:tc>
        <w:tc>
          <w:tcPr>
            <w:tcW w:w="2920" w:type="dxa"/>
            <w:vAlign w:val="bottom"/>
            <w:gridSpan w:val="3"/>
          </w:tcPr>
          <w:p>
            <w:pPr>
              <w:jc w:val="right"/>
              <w:ind w:right="48"/>
              <w:spacing w:after="0"/>
              <w:rPr>
                <w:sz w:val="20"/>
                <w:szCs w:val="20"/>
                <w:color w:val="auto"/>
              </w:rPr>
            </w:pPr>
            <w:r>
              <w:rPr>
                <w:rFonts w:ascii="Arial" w:cs="Arial" w:eastAsia="Arial" w:hAnsi="Arial"/>
                <w:sz w:val="18"/>
                <w:szCs w:val="18"/>
                <w:b w:val="1"/>
                <w:bCs w:val="1"/>
                <w:color w:val="auto"/>
              </w:rPr>
              <w:t>27-2825503</w:t>
            </w:r>
          </w:p>
        </w:tc>
      </w:tr>
      <w:tr>
        <w:trPr>
          <w:trHeight w:val="193"/>
        </w:trPr>
        <w:tc>
          <w:tcPr>
            <w:tcW w:w="5740" w:type="dxa"/>
            <w:vAlign w:val="bottom"/>
            <w:gridSpan w:val="3"/>
          </w:tcPr>
          <w:p>
            <w:pPr>
              <w:jc w:val="center"/>
              <w:ind w:right="2020"/>
              <w:spacing w:after="0"/>
              <w:rPr>
                <w:sz w:val="20"/>
                <w:szCs w:val="20"/>
                <w:color w:val="auto"/>
              </w:rPr>
            </w:pPr>
            <w:r>
              <w:rPr>
                <w:rFonts w:ascii="Arial" w:cs="Arial" w:eastAsia="Arial" w:hAnsi="Arial"/>
                <w:sz w:val="14"/>
                <w:szCs w:val="14"/>
                <w:b w:val="1"/>
                <w:bCs w:val="1"/>
                <w:color w:val="auto"/>
                <w:w w:val="93"/>
              </w:rPr>
              <w:t>(State or other jurisdiction of</w:t>
            </w:r>
          </w:p>
        </w:tc>
        <w:tc>
          <w:tcPr>
            <w:tcW w:w="2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180" w:type="dxa"/>
            <w:vAlign w:val="bottom"/>
          </w:tcPr>
          <w:p>
            <w:pPr>
              <w:jc w:val="center"/>
              <w:ind w:left="988"/>
              <w:spacing w:after="0"/>
              <w:rPr>
                <w:sz w:val="20"/>
                <w:szCs w:val="20"/>
                <w:color w:val="auto"/>
              </w:rPr>
            </w:pPr>
            <w:r>
              <w:rPr>
                <w:rFonts w:ascii="Arial" w:cs="Arial" w:eastAsia="Arial" w:hAnsi="Arial"/>
                <w:sz w:val="14"/>
                <w:szCs w:val="14"/>
                <w:b w:val="1"/>
                <w:bCs w:val="1"/>
                <w:color w:val="auto"/>
                <w:w w:val="96"/>
              </w:rPr>
              <w:t>(I.R.S. Employer</w:t>
            </w:r>
          </w:p>
        </w:tc>
      </w:tr>
      <w:tr>
        <w:trPr>
          <w:trHeight w:val="186"/>
        </w:trPr>
        <w:tc>
          <w:tcPr>
            <w:tcW w:w="5740" w:type="dxa"/>
            <w:vAlign w:val="bottom"/>
            <w:gridSpan w:val="3"/>
          </w:tcPr>
          <w:p>
            <w:pPr>
              <w:jc w:val="center"/>
              <w:ind w:right="2020"/>
              <w:spacing w:after="0"/>
              <w:rPr>
                <w:sz w:val="20"/>
                <w:szCs w:val="20"/>
                <w:color w:val="auto"/>
              </w:rPr>
            </w:pPr>
            <w:r>
              <w:rPr>
                <w:rFonts w:ascii="Arial" w:cs="Arial" w:eastAsia="Arial" w:hAnsi="Arial"/>
                <w:sz w:val="14"/>
                <w:szCs w:val="14"/>
                <w:b w:val="1"/>
                <w:bCs w:val="1"/>
                <w:color w:val="auto"/>
                <w:w w:val="94"/>
              </w:rPr>
              <w:t>incorporation or organization)</w:t>
            </w:r>
          </w:p>
        </w:tc>
        <w:tc>
          <w:tcPr>
            <w:tcW w:w="2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180" w:type="dxa"/>
            <w:vAlign w:val="bottom"/>
          </w:tcPr>
          <w:p>
            <w:pPr>
              <w:jc w:val="center"/>
              <w:ind w:left="988"/>
              <w:spacing w:after="0"/>
              <w:rPr>
                <w:sz w:val="20"/>
                <w:szCs w:val="20"/>
                <w:color w:val="auto"/>
              </w:rPr>
            </w:pPr>
            <w:r>
              <w:rPr>
                <w:rFonts w:ascii="Arial" w:cs="Arial" w:eastAsia="Arial" w:hAnsi="Arial"/>
                <w:sz w:val="14"/>
                <w:szCs w:val="14"/>
                <w:b w:val="1"/>
                <w:bCs w:val="1"/>
                <w:color w:val="auto"/>
                <w:w w:val="94"/>
              </w:rPr>
              <w:t>Identification No.)</w:t>
            </w:r>
          </w:p>
        </w:tc>
      </w:tr>
      <w:tr>
        <w:trPr>
          <w:trHeight w:val="296"/>
        </w:trPr>
        <w:tc>
          <w:tcPr>
            <w:tcW w:w="1360" w:type="dxa"/>
            <w:vAlign w:val="bottom"/>
          </w:tcPr>
          <w:p>
            <w:pPr>
              <w:jc w:val="center"/>
              <w:ind w:right="61"/>
              <w:spacing w:after="0"/>
              <w:rPr>
                <w:sz w:val="20"/>
                <w:szCs w:val="20"/>
                <w:color w:val="auto"/>
              </w:rPr>
            </w:pPr>
            <w:r>
              <w:rPr>
                <w:rFonts w:ascii="Arial" w:cs="Arial" w:eastAsia="Arial" w:hAnsi="Arial"/>
                <w:sz w:val="18"/>
                <w:szCs w:val="18"/>
                <w:b w:val="1"/>
                <w:bCs w:val="1"/>
                <w:color w:val="auto"/>
                <w:w w:val="88"/>
              </w:rPr>
              <w:t>620 8th Avenue,</w:t>
            </w:r>
          </w:p>
        </w:tc>
        <w:tc>
          <w:tcPr>
            <w:tcW w:w="43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4"/>
              </w:rPr>
              <w:t>45th Floor</w:t>
            </w:r>
          </w:p>
        </w:tc>
        <w:tc>
          <w:tcPr>
            <w:tcW w:w="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180" w:type="dxa"/>
            <w:vAlign w:val="bottom"/>
          </w:tcPr>
          <w:p>
            <w:pPr>
              <w:spacing w:after="0"/>
              <w:rPr>
                <w:sz w:val="24"/>
                <w:szCs w:val="24"/>
                <w:color w:val="auto"/>
              </w:rPr>
            </w:pPr>
          </w:p>
        </w:tc>
      </w:tr>
      <w:tr>
        <w:trPr>
          <w:trHeight w:val="270"/>
        </w:trPr>
        <w:tc>
          <w:tcPr>
            <w:tcW w:w="1360" w:type="dxa"/>
            <w:vAlign w:val="bottom"/>
          </w:tcPr>
          <w:p>
            <w:pPr>
              <w:jc w:val="center"/>
              <w:ind w:right="61"/>
              <w:spacing w:after="0"/>
              <w:rPr>
                <w:sz w:val="20"/>
                <w:szCs w:val="20"/>
                <w:color w:val="auto"/>
              </w:rPr>
            </w:pPr>
            <w:r>
              <w:rPr>
                <w:rFonts w:ascii="Arial" w:cs="Arial" w:eastAsia="Arial" w:hAnsi="Arial"/>
                <w:sz w:val="18"/>
                <w:szCs w:val="18"/>
                <w:b w:val="1"/>
                <w:bCs w:val="1"/>
                <w:color w:val="auto"/>
                <w:w w:val="94"/>
              </w:rPr>
              <w:t>New York,</w:t>
            </w:r>
          </w:p>
        </w:tc>
        <w:tc>
          <w:tcPr>
            <w:tcW w:w="43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rPr>
              <w:t>NY</w:t>
            </w:r>
          </w:p>
        </w:tc>
        <w:tc>
          <w:tcPr>
            <w:tcW w:w="2920" w:type="dxa"/>
            <w:vAlign w:val="bottom"/>
            <w:gridSpan w:val="3"/>
          </w:tcPr>
          <w:p>
            <w:pPr>
              <w:jc w:val="right"/>
              <w:ind w:right="268"/>
              <w:spacing w:after="0"/>
              <w:rPr>
                <w:sz w:val="20"/>
                <w:szCs w:val="20"/>
                <w:color w:val="auto"/>
              </w:rPr>
            </w:pPr>
            <w:r>
              <w:rPr>
                <w:rFonts w:ascii="Arial" w:cs="Arial" w:eastAsia="Arial" w:hAnsi="Arial"/>
                <w:sz w:val="18"/>
                <w:szCs w:val="18"/>
                <w:b w:val="1"/>
                <w:bCs w:val="1"/>
                <w:color w:val="auto"/>
              </w:rPr>
              <w:t>10018</w:t>
            </w:r>
          </w:p>
        </w:tc>
      </w:tr>
      <w:tr>
        <w:trPr>
          <w:trHeight w:val="217"/>
        </w:trPr>
        <w:tc>
          <w:tcPr>
            <w:tcW w:w="5740" w:type="dxa"/>
            <w:vAlign w:val="bottom"/>
            <w:gridSpan w:val="3"/>
          </w:tcPr>
          <w:p>
            <w:pPr>
              <w:jc w:val="center"/>
              <w:ind w:right="2000"/>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2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180" w:type="dxa"/>
            <w:vAlign w:val="bottom"/>
          </w:tcPr>
          <w:p>
            <w:pPr>
              <w:jc w:val="center"/>
              <w:ind w:left="988"/>
              <w:spacing w:after="0"/>
              <w:rPr>
                <w:sz w:val="20"/>
                <w:szCs w:val="20"/>
                <w:color w:val="auto"/>
              </w:rPr>
            </w:pPr>
            <w:r>
              <w:rPr>
                <w:rFonts w:ascii="Arial" w:cs="Arial" w:eastAsia="Arial" w:hAnsi="Arial"/>
                <w:sz w:val="14"/>
                <w:szCs w:val="14"/>
                <w:b w:val="1"/>
                <w:bCs w:val="1"/>
                <w:color w:val="auto"/>
                <w:w w:val="98"/>
              </w:rPr>
              <w:t>(Zip Code)</w:t>
            </w:r>
          </w:p>
        </w:tc>
      </w:tr>
    </w:tbl>
    <w:p>
      <w:pPr>
        <w:spacing w:after="0" w:line="196"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Registrant’s telephone number, including area code: (866) 329-4466</w:t>
      </w:r>
    </w:p>
    <w:p>
      <w:pPr>
        <w:spacing w:after="0" w:line="27" w:lineRule="exact"/>
        <w:rPr>
          <w:sz w:val="24"/>
          <w:szCs w:val="24"/>
          <w:color w:val="auto"/>
        </w:rPr>
      </w:pPr>
    </w:p>
    <w:p>
      <w:pPr>
        <w:ind w:left="3060"/>
        <w:spacing w:after="0"/>
        <w:rPr>
          <w:sz w:val="20"/>
          <w:szCs w:val="20"/>
          <w:color w:val="auto"/>
        </w:rPr>
      </w:pPr>
      <w:r>
        <w:rPr>
          <w:rFonts w:ascii="Arial" w:cs="Arial" w:eastAsia="Arial" w:hAnsi="Arial"/>
          <w:sz w:val="18"/>
          <w:szCs w:val="18"/>
          <w:color w:val="auto"/>
        </w:rPr>
        <w:t>_________________________________________________________</w:t>
      </w:r>
    </w:p>
    <w:p>
      <w:pPr>
        <w:spacing w:after="0" w:line="89"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111" w:lineRule="exact"/>
        <w:rPr>
          <w:sz w:val="24"/>
          <w:szCs w:val="24"/>
          <w:color w:val="auto"/>
        </w:rPr>
      </w:pPr>
    </w:p>
    <w:tbl>
      <w:tblPr>
        <w:tblLayout w:type="fixed"/>
        <w:tblInd w:w="10" w:type="dxa"/>
        <w:tblCellMar>
          <w:top w:w="0" w:type="dxa"/>
          <w:left w:w="0" w:type="dxa"/>
          <w:bottom w:w="0" w:type="dxa"/>
          <w:right w:w="0" w:type="dxa"/>
        </w:tblCellMar>
      </w:tblPr>
      <w:tr>
        <w:trPr>
          <w:trHeight w:val="204"/>
        </w:trPr>
        <w:tc>
          <w:tcPr>
            <w:tcW w:w="376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2"/>
              </w:rPr>
              <w:t>Title of each class</w:t>
            </w:r>
          </w:p>
        </w:tc>
        <w:tc>
          <w:tcPr>
            <w:tcW w:w="37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4"/>
              </w:rPr>
              <w:t>Trading Symbol(s)</w:t>
            </w:r>
          </w:p>
        </w:tc>
        <w:tc>
          <w:tcPr>
            <w:tcW w:w="37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1"/>
              </w:rPr>
              <w:t>Name of each exchange on which registered</w:t>
            </w:r>
          </w:p>
        </w:tc>
        <w:tc>
          <w:tcPr>
            <w:tcW w:w="0" w:type="dxa"/>
            <w:vAlign w:val="bottom"/>
          </w:tcPr>
          <w:p>
            <w:pPr>
              <w:spacing w:after="0"/>
              <w:rPr>
                <w:sz w:val="1"/>
                <w:szCs w:val="1"/>
                <w:color w:val="auto"/>
              </w:rPr>
            </w:pPr>
          </w:p>
        </w:tc>
      </w:tr>
      <w:tr>
        <w:trPr>
          <w:trHeight w:val="39"/>
        </w:trPr>
        <w:tc>
          <w:tcPr>
            <w:tcW w:w="3760" w:type="dxa"/>
            <w:vAlign w:val="bottom"/>
            <w:tcBorders>
              <w:left w:val="single" w:sz="8" w:color="auto"/>
              <w:bottom w:val="single" w:sz="8" w:color="auto"/>
              <w:right w:val="single" w:sz="8" w:color="auto"/>
            </w:tcBorders>
          </w:tcPr>
          <w:p>
            <w:pPr>
              <w:spacing w:after="0"/>
              <w:rPr>
                <w:sz w:val="3"/>
                <w:szCs w:val="3"/>
                <w:color w:val="auto"/>
              </w:rPr>
            </w:pPr>
          </w:p>
        </w:tc>
        <w:tc>
          <w:tcPr>
            <w:tcW w:w="3740" w:type="dxa"/>
            <w:vAlign w:val="bottom"/>
            <w:tcBorders>
              <w:bottom w:val="single" w:sz="8" w:color="auto"/>
              <w:right w:val="single" w:sz="8" w:color="auto"/>
            </w:tcBorders>
          </w:tcPr>
          <w:p>
            <w:pPr>
              <w:spacing w:after="0"/>
              <w:rPr>
                <w:sz w:val="3"/>
                <w:szCs w:val="3"/>
                <w:color w:val="auto"/>
              </w:rPr>
            </w:pPr>
          </w:p>
        </w:tc>
        <w:tc>
          <w:tcPr>
            <w:tcW w:w="376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4"/>
        </w:trPr>
        <w:tc>
          <w:tcPr>
            <w:tcW w:w="376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4"/>
                <w:szCs w:val="14"/>
                <w:color w:val="auto"/>
                <w:w w:val="92"/>
              </w:rPr>
              <w:t>Class A common stock, par value $0.00001 per share</w:t>
            </w:r>
          </w:p>
        </w:tc>
        <w:tc>
          <w:tcPr>
            <w:tcW w:w="37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w w:val="99"/>
              </w:rPr>
              <w:t>DDOG</w:t>
            </w:r>
          </w:p>
        </w:tc>
        <w:tc>
          <w:tcPr>
            <w:tcW w:w="376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5"/>
              </w:rPr>
              <w:t>The Nasdaq Stock Market LLC</w:t>
            </w:r>
          </w:p>
        </w:tc>
        <w:tc>
          <w:tcPr>
            <w:tcW w:w="0" w:type="dxa"/>
            <w:vAlign w:val="bottom"/>
          </w:tcPr>
          <w:p>
            <w:pPr>
              <w:spacing w:after="0"/>
              <w:rPr>
                <w:sz w:val="1"/>
                <w:szCs w:val="1"/>
                <w:color w:val="auto"/>
              </w:rPr>
            </w:pPr>
          </w:p>
        </w:tc>
      </w:tr>
      <w:tr>
        <w:trPr>
          <w:trHeight w:val="108"/>
        </w:trPr>
        <w:tc>
          <w:tcPr>
            <w:tcW w:w="3760" w:type="dxa"/>
            <w:vAlign w:val="bottom"/>
            <w:tcBorders>
              <w:left w:val="single" w:sz="8" w:color="auto"/>
              <w:right w:val="single" w:sz="8" w:color="auto"/>
            </w:tcBorders>
            <w:vMerge w:val="continue"/>
          </w:tcPr>
          <w:p>
            <w:pPr>
              <w:spacing w:after="0"/>
              <w:rPr>
                <w:sz w:val="9"/>
                <w:szCs w:val="9"/>
                <w:color w:val="auto"/>
              </w:rPr>
            </w:pPr>
          </w:p>
        </w:tc>
        <w:tc>
          <w:tcPr>
            <w:tcW w:w="3740" w:type="dxa"/>
            <w:vAlign w:val="bottom"/>
            <w:tcBorders>
              <w:right w:val="single" w:sz="8" w:color="auto"/>
            </w:tcBorders>
            <w:vMerge w:val="continue"/>
          </w:tcPr>
          <w:p>
            <w:pPr>
              <w:spacing w:after="0"/>
              <w:rPr>
                <w:sz w:val="9"/>
                <w:szCs w:val="9"/>
                <w:color w:val="auto"/>
              </w:rPr>
            </w:pPr>
          </w:p>
        </w:tc>
        <w:tc>
          <w:tcPr>
            <w:tcW w:w="37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w w:val="92"/>
              </w:rPr>
              <w:t>(Nasdaq Global Select Market)</w:t>
            </w:r>
          </w:p>
        </w:tc>
        <w:tc>
          <w:tcPr>
            <w:tcW w:w="0" w:type="dxa"/>
            <w:vAlign w:val="bottom"/>
          </w:tcPr>
          <w:p>
            <w:pPr>
              <w:spacing w:after="0"/>
              <w:rPr>
                <w:sz w:val="1"/>
                <w:szCs w:val="1"/>
                <w:color w:val="auto"/>
              </w:rPr>
            </w:pPr>
          </w:p>
        </w:tc>
      </w:tr>
      <w:tr>
        <w:trPr>
          <w:trHeight w:val="122"/>
        </w:trPr>
        <w:tc>
          <w:tcPr>
            <w:tcW w:w="3760" w:type="dxa"/>
            <w:vAlign w:val="bottom"/>
            <w:tcBorders>
              <w:left w:val="single" w:sz="8" w:color="auto"/>
              <w:right w:val="single" w:sz="8" w:color="auto"/>
            </w:tcBorders>
          </w:tcPr>
          <w:p>
            <w:pPr>
              <w:spacing w:after="0"/>
              <w:rPr>
                <w:sz w:val="10"/>
                <w:szCs w:val="10"/>
                <w:color w:val="auto"/>
              </w:rPr>
            </w:pPr>
          </w:p>
        </w:tc>
        <w:tc>
          <w:tcPr>
            <w:tcW w:w="3740" w:type="dxa"/>
            <w:vAlign w:val="bottom"/>
            <w:tcBorders>
              <w:right w:val="single" w:sz="8" w:color="auto"/>
            </w:tcBorders>
          </w:tcPr>
          <w:p>
            <w:pPr>
              <w:spacing w:after="0"/>
              <w:rPr>
                <w:sz w:val="10"/>
                <w:szCs w:val="10"/>
                <w:color w:val="auto"/>
              </w:rPr>
            </w:pPr>
          </w:p>
        </w:tc>
        <w:tc>
          <w:tcPr>
            <w:tcW w:w="376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39"/>
        </w:trPr>
        <w:tc>
          <w:tcPr>
            <w:tcW w:w="3760" w:type="dxa"/>
            <w:vAlign w:val="bottom"/>
            <w:tcBorders>
              <w:left w:val="single" w:sz="8" w:color="auto"/>
              <w:bottom w:val="single" w:sz="8" w:color="auto"/>
              <w:right w:val="single" w:sz="8" w:color="auto"/>
            </w:tcBorders>
          </w:tcPr>
          <w:p>
            <w:pPr>
              <w:spacing w:after="0"/>
              <w:rPr>
                <w:sz w:val="3"/>
                <w:szCs w:val="3"/>
                <w:color w:val="auto"/>
              </w:rPr>
            </w:pPr>
          </w:p>
        </w:tc>
        <w:tc>
          <w:tcPr>
            <w:tcW w:w="3740" w:type="dxa"/>
            <w:vAlign w:val="bottom"/>
            <w:tcBorders>
              <w:bottom w:val="single" w:sz="8" w:color="auto"/>
              <w:right w:val="single" w:sz="8" w:color="auto"/>
            </w:tcBorders>
          </w:tcPr>
          <w:p>
            <w:pPr>
              <w:spacing w:after="0"/>
              <w:rPr>
                <w:sz w:val="3"/>
                <w:szCs w:val="3"/>
                <w:color w:val="auto"/>
              </w:rPr>
            </w:pPr>
          </w:p>
        </w:tc>
        <w:tc>
          <w:tcPr>
            <w:tcW w:w="376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175" w:lineRule="exact"/>
        <w:rPr>
          <w:sz w:val="24"/>
          <w:szCs w:val="24"/>
          <w:color w:val="auto"/>
        </w:rPr>
      </w:pPr>
    </w:p>
    <w:p>
      <w:pPr>
        <w:ind w:right="320"/>
        <w:spacing w:after="0" w:line="230"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41" w:lineRule="exact"/>
        <w:rPr>
          <w:sz w:val="24"/>
          <w:szCs w:val="24"/>
          <w:color w:val="auto"/>
        </w:rPr>
      </w:pPr>
    </w:p>
    <w:p>
      <w:pPr>
        <w:ind w:right="140"/>
        <w:spacing w:after="0" w:line="230"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54" w:lineRule="exact"/>
        <w:rPr>
          <w:sz w:val="24"/>
          <w:szCs w:val="24"/>
          <w:color w:val="auto"/>
        </w:rPr>
      </w:pPr>
    </w:p>
    <w:p>
      <w:pPr>
        <w:ind w:right="340"/>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98" w:lineRule="exact"/>
        <w:rPr>
          <w:sz w:val="24"/>
          <w:szCs w:val="24"/>
          <w:color w:val="auto"/>
        </w:rPr>
      </w:pPr>
    </w:p>
    <w:tbl>
      <w:tblPr>
        <w:tblLayout w:type="fixed"/>
        <w:tblInd w:w="20" w:type="dxa"/>
        <w:tblCellMar>
          <w:top w:w="0" w:type="dxa"/>
          <w:left w:w="0" w:type="dxa"/>
          <w:bottom w:w="0" w:type="dxa"/>
          <w:right w:w="0" w:type="dxa"/>
        </w:tblCellMar>
      </w:tblPr>
      <w:tr>
        <w:trPr>
          <w:trHeight w:val="357"/>
        </w:trPr>
        <w:tc>
          <w:tcPr>
            <w:tcW w:w="280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2800" w:type="dxa"/>
            <w:vAlign w:val="bottom"/>
          </w:tcPr>
          <w:p>
            <w:pPr>
              <w:ind w:left="840"/>
              <w:spacing w:after="0" w:line="181" w:lineRule="exact"/>
              <w:rPr>
                <w:sz w:val="20"/>
                <w:szCs w:val="20"/>
                <w:color w:val="auto"/>
              </w:rPr>
            </w:pPr>
            <w:r>
              <w:rPr>
                <w:rFonts w:ascii="MS PGothic" w:cs="MS PGothic" w:eastAsia="MS PGothic" w:hAnsi="MS PGothic"/>
                <w:sz w:val="18"/>
                <w:szCs w:val="18"/>
                <w:color w:val="auto"/>
              </w:rPr>
              <w:t>☒</w:t>
            </w:r>
          </w:p>
        </w:tc>
        <w:tc>
          <w:tcPr>
            <w:tcW w:w="4520" w:type="dxa"/>
            <w:vAlign w:val="bottom"/>
          </w:tcPr>
          <w:p>
            <w:pPr>
              <w:ind w:left="1800"/>
              <w:spacing w:after="0"/>
              <w:rPr>
                <w:sz w:val="20"/>
                <w:szCs w:val="20"/>
                <w:color w:val="auto"/>
              </w:rPr>
            </w:pPr>
            <w:r>
              <w:rPr>
                <w:rFonts w:ascii="Arial" w:cs="Arial" w:eastAsia="Arial" w:hAnsi="Arial"/>
                <w:sz w:val="18"/>
                <w:szCs w:val="18"/>
                <w:color w:val="auto"/>
              </w:rPr>
              <w:t>Accelerated filer</w:t>
            </w:r>
          </w:p>
        </w:tc>
        <w:tc>
          <w:tcPr>
            <w:tcW w:w="1080" w:type="dxa"/>
            <w:vAlign w:val="bottom"/>
          </w:tcPr>
          <w:p>
            <w:pPr>
              <w:ind w:left="9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2800" w:type="dxa"/>
            <w:vAlign w:val="bottom"/>
          </w:tcPr>
          <w:p>
            <w:pPr>
              <w:spacing w:after="0"/>
              <w:rPr>
                <w:sz w:val="20"/>
                <w:szCs w:val="20"/>
                <w:color w:val="auto"/>
              </w:rPr>
            </w:pPr>
            <w:r>
              <w:rPr>
                <w:rFonts w:ascii="Arial" w:cs="Arial" w:eastAsia="Arial" w:hAnsi="Arial"/>
                <w:sz w:val="18"/>
                <w:szCs w:val="18"/>
                <w:color w:val="auto"/>
              </w:rPr>
              <w:t>Non-accelerated filer</w:t>
            </w:r>
          </w:p>
        </w:tc>
        <w:tc>
          <w:tcPr>
            <w:tcW w:w="2800" w:type="dxa"/>
            <w:vAlign w:val="bottom"/>
          </w:tcPr>
          <w:p>
            <w:pPr>
              <w:ind w:left="840"/>
              <w:spacing w:after="0" w:line="181" w:lineRule="exact"/>
              <w:rPr>
                <w:sz w:val="20"/>
                <w:szCs w:val="20"/>
                <w:color w:val="auto"/>
              </w:rPr>
            </w:pPr>
            <w:r>
              <w:rPr>
                <w:rFonts w:ascii="MS PGothic" w:cs="MS PGothic" w:eastAsia="MS PGothic" w:hAnsi="MS PGothic"/>
                <w:sz w:val="18"/>
                <w:szCs w:val="18"/>
                <w:color w:val="auto"/>
              </w:rPr>
              <w:t>☐</w:t>
            </w:r>
          </w:p>
        </w:tc>
        <w:tc>
          <w:tcPr>
            <w:tcW w:w="4520" w:type="dxa"/>
            <w:vAlign w:val="bottom"/>
          </w:tcPr>
          <w:p>
            <w:pPr>
              <w:ind w:left="1800"/>
              <w:spacing w:after="0"/>
              <w:rPr>
                <w:sz w:val="20"/>
                <w:szCs w:val="20"/>
                <w:color w:val="auto"/>
              </w:rPr>
            </w:pPr>
            <w:r>
              <w:rPr>
                <w:rFonts w:ascii="Arial" w:cs="Arial" w:eastAsia="Arial" w:hAnsi="Arial"/>
                <w:sz w:val="18"/>
                <w:szCs w:val="18"/>
                <w:color w:val="auto"/>
              </w:rPr>
              <w:t>Small reporting company</w:t>
            </w:r>
          </w:p>
        </w:tc>
        <w:tc>
          <w:tcPr>
            <w:tcW w:w="1080" w:type="dxa"/>
            <w:vAlign w:val="bottom"/>
          </w:tcPr>
          <w:p>
            <w:pPr>
              <w:ind w:left="9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2800" w:type="dxa"/>
            <w:vAlign w:val="bottom"/>
          </w:tcPr>
          <w:p>
            <w:pPr>
              <w:spacing w:after="0"/>
              <w:rPr>
                <w:sz w:val="20"/>
                <w:szCs w:val="20"/>
                <w:color w:val="auto"/>
              </w:rPr>
            </w:pPr>
            <w:r>
              <w:rPr>
                <w:rFonts w:ascii="Arial" w:cs="Arial" w:eastAsia="Arial" w:hAnsi="Arial"/>
                <w:sz w:val="18"/>
                <w:szCs w:val="18"/>
                <w:color w:val="auto"/>
              </w:rPr>
              <w:t>Emerging growth company</w:t>
            </w:r>
          </w:p>
        </w:tc>
        <w:tc>
          <w:tcPr>
            <w:tcW w:w="2800" w:type="dxa"/>
            <w:vAlign w:val="bottom"/>
          </w:tcPr>
          <w:p>
            <w:pPr>
              <w:ind w:left="840"/>
              <w:spacing w:after="0" w:line="181" w:lineRule="exact"/>
              <w:rPr>
                <w:sz w:val="20"/>
                <w:szCs w:val="20"/>
                <w:color w:val="auto"/>
              </w:rPr>
            </w:pPr>
            <w:r>
              <w:rPr>
                <w:rFonts w:ascii="MS PGothic" w:cs="MS PGothic" w:eastAsia="MS PGothic" w:hAnsi="MS PGothic"/>
                <w:sz w:val="18"/>
                <w:szCs w:val="18"/>
                <w:color w:val="auto"/>
              </w:rPr>
              <w:t>☐</w:t>
            </w:r>
          </w:p>
        </w:tc>
        <w:tc>
          <w:tcPr>
            <w:tcW w:w="4520" w:type="dxa"/>
            <w:vAlign w:val="bottom"/>
          </w:tcPr>
          <w:p>
            <w:pPr>
              <w:spacing w:after="0"/>
              <w:rPr>
                <w:sz w:val="24"/>
                <w:szCs w:val="24"/>
                <w:color w:val="auto"/>
              </w:rPr>
            </w:pPr>
          </w:p>
        </w:tc>
        <w:tc>
          <w:tcPr>
            <w:tcW w:w="1080" w:type="dxa"/>
            <w:vAlign w:val="bottom"/>
          </w:tcPr>
          <w:p>
            <w:pPr>
              <w:spacing w:after="0"/>
              <w:rPr>
                <w:sz w:val="24"/>
                <w:szCs w:val="24"/>
                <w:color w:val="auto"/>
              </w:rPr>
            </w:pPr>
          </w:p>
        </w:tc>
      </w:tr>
    </w:tbl>
    <w:p>
      <w:pPr>
        <w:spacing w:after="0" w:line="174" w:lineRule="exact"/>
        <w:rPr>
          <w:sz w:val="24"/>
          <w:szCs w:val="24"/>
          <w:color w:val="auto"/>
        </w:rPr>
      </w:pPr>
    </w:p>
    <w:p>
      <w:pPr>
        <w:ind w:right="180"/>
        <w:spacing w:after="0" w:line="238"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7"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42" w:lineRule="exact"/>
        <w:rPr>
          <w:sz w:val="24"/>
          <w:szCs w:val="24"/>
          <w:color w:val="auto"/>
        </w:rPr>
      </w:pPr>
    </w:p>
    <w:p>
      <w:pPr>
        <w:ind w:right="620"/>
        <w:spacing w:after="0" w:line="277" w:lineRule="auto"/>
        <w:rPr>
          <w:sz w:val="20"/>
          <w:szCs w:val="20"/>
          <w:color w:val="auto"/>
        </w:rPr>
      </w:pPr>
      <w:r>
        <w:rPr>
          <w:rFonts w:ascii="Arial" w:cs="Arial" w:eastAsia="Arial" w:hAnsi="Arial"/>
          <w:sz w:val="18"/>
          <w:szCs w:val="18"/>
          <w:color w:val="auto"/>
        </w:rPr>
        <w:t>As of November 1, 2023, there were 302,163,623 shares of the registrant’s Class A common stock and 26,390,053 shares of the registrant’s Class B common stock, each with a par value of $0.00001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918845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74295</wp:posOffset>
            </wp:positionV>
            <wp:extent cx="711517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1517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100330</wp:posOffset>
            </wp:positionV>
            <wp:extent cx="71151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ectPr>
          <w:pgSz w:w="11900" w:h="16838" w:orient="portrait"/>
          <w:cols w:equalWidth="0" w:num="1">
            <w:col w:w="11260"/>
          </w:cols>
          <w:pgMar w:left="320" w:top="1440" w:right="319" w:bottom="1440" w:gutter="0" w:footer="0" w:header="0"/>
        </w:sectPr>
      </w:pPr>
    </w:p>
    <w:bookmarkStart w:id="1" w:name="page2"/>
    <w:bookmarkEnd w:id="1"/>
    <w:p>
      <w:pPr>
        <w:jc w:val="center"/>
        <w:ind w:right="-19"/>
        <w:spacing w:after="0"/>
        <w:rPr>
          <w:sz w:val="20"/>
          <w:szCs w:val="20"/>
          <w:color w:val="auto"/>
        </w:rPr>
      </w:pPr>
      <w:r>
        <w:rPr>
          <w:rFonts w:ascii="Arial" w:cs="Arial" w:eastAsia="Arial" w:hAnsi="Arial"/>
          <w:sz w:val="18"/>
          <w:szCs w:val="18"/>
          <w:b w:val="1"/>
          <w:bCs w:val="1"/>
          <w:color w:val="auto"/>
        </w:rPr>
        <w:t>TABLE OF CONTENTS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jc w:val="right"/>
              <w:ind w:right="211"/>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39"/>
        </w:trPr>
        <w:tc>
          <w:tcPr>
            <w:tcW w:w="12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PART I.</w:t>
            </w:r>
          </w:p>
        </w:tc>
        <w:tc>
          <w:tcPr>
            <w:tcW w:w="9100" w:type="dxa"/>
            <w:vAlign w:val="bottom"/>
            <w:gridSpan w:val="20"/>
            <w:vMerge w:val="restart"/>
          </w:tcPr>
          <w:p>
            <w:pPr>
              <w:spacing w:after="0"/>
              <w:rPr>
                <w:sz w:val="20"/>
                <w:szCs w:val="20"/>
                <w:color w:val="auto"/>
              </w:rPr>
            </w:pPr>
            <w:r>
              <w:rPr>
                <w:rFonts w:ascii="Arial" w:cs="Arial" w:eastAsia="Arial" w:hAnsi="Arial"/>
                <w:sz w:val="18"/>
                <w:szCs w:val="18"/>
                <w:color w:val="0000FF"/>
              </w:rPr>
              <w:t>FINANCIAL INFORMATION</w:t>
            </w:r>
          </w:p>
        </w:tc>
        <w:tc>
          <w:tcPr>
            <w:tcW w:w="8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3"/>
        </w:trPr>
        <w:tc>
          <w:tcPr>
            <w:tcW w:w="1200" w:type="dxa"/>
            <w:vAlign w:val="bottom"/>
            <w:gridSpan w:val="2"/>
            <w:vMerge w:val="continue"/>
          </w:tcPr>
          <w:p>
            <w:pPr>
              <w:spacing w:after="0"/>
              <w:rPr>
                <w:sz w:val="15"/>
                <w:szCs w:val="15"/>
                <w:color w:val="auto"/>
              </w:rPr>
            </w:pPr>
          </w:p>
        </w:tc>
        <w:tc>
          <w:tcPr>
            <w:tcW w:w="9100" w:type="dxa"/>
            <w:vAlign w:val="bottom"/>
            <w:gridSpan w:val="20"/>
            <w:vMerge w:val="continue"/>
          </w:tcPr>
          <w:p>
            <w:pPr>
              <w:spacing w:after="0"/>
              <w:rPr>
                <w:sz w:val="15"/>
                <w:szCs w:val="15"/>
                <w:color w:val="auto"/>
              </w:rPr>
            </w:pPr>
          </w:p>
        </w:tc>
        <w:tc>
          <w:tcPr>
            <w:tcW w:w="880" w:type="dxa"/>
            <w:vAlign w:val="bottom"/>
          </w:tcPr>
          <w:p>
            <w:pPr>
              <w:jc w:val="right"/>
              <w:spacing w:after="0" w:line="169"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63"/>
        </w:trPr>
        <w:tc>
          <w:tcPr>
            <w:tcW w:w="1200" w:type="dxa"/>
            <w:vAlign w:val="bottom"/>
            <w:gridSpan w:val="2"/>
          </w:tcPr>
          <w:p>
            <w:pPr>
              <w:spacing w:after="0"/>
              <w:rPr>
                <w:sz w:val="20"/>
                <w:szCs w:val="20"/>
                <w:color w:val="auto"/>
              </w:rPr>
            </w:pPr>
            <w:r>
              <w:rPr>
                <w:rFonts w:ascii="Arial" w:cs="Arial" w:eastAsia="Arial" w:hAnsi="Arial"/>
                <w:sz w:val="18"/>
                <w:szCs w:val="18"/>
                <w:color w:val="auto"/>
              </w:rPr>
              <w:t>Item 1.</w:t>
            </w:r>
          </w:p>
        </w:tc>
        <w:tc>
          <w:tcPr>
            <w:tcW w:w="1500" w:type="dxa"/>
            <w:vAlign w:val="bottom"/>
            <w:tcBorders>
              <w:top w:val="single" w:sz="8" w:color="0000FF"/>
              <w:bottom w:val="single" w:sz="8" w:color="0000FF"/>
            </w:tcBorders>
            <w:gridSpan w:val="6"/>
          </w:tcPr>
          <w:p>
            <w:pPr>
              <w:spacing w:after="0"/>
              <w:rPr>
                <w:sz w:val="20"/>
                <w:szCs w:val="20"/>
                <w:color w:val="auto"/>
              </w:rPr>
            </w:pPr>
            <w:r>
              <w:rPr>
                <w:rFonts w:ascii="Arial" w:cs="Arial" w:eastAsia="Arial" w:hAnsi="Arial"/>
                <w:sz w:val="18"/>
                <w:szCs w:val="18"/>
                <w:color w:val="0000FF"/>
                <w:w w:val="88"/>
              </w:rPr>
              <w:t>Financial Statements</w:t>
            </w:r>
          </w:p>
        </w:tc>
        <w:tc>
          <w:tcPr>
            <w:tcW w:w="740" w:type="dxa"/>
            <w:vAlign w:val="bottom"/>
            <w:tcBorders>
              <w:top w:val="single" w:sz="8" w:color="0000FF"/>
            </w:tcBorders>
            <w:gridSpan w:val="3"/>
          </w:tcPr>
          <w:p>
            <w:pPr>
              <w:spacing w:after="0"/>
              <w:rPr>
                <w:sz w:val="22"/>
                <w:szCs w:val="22"/>
                <w:color w:val="auto"/>
              </w:rPr>
            </w:pPr>
          </w:p>
        </w:tc>
        <w:tc>
          <w:tcPr>
            <w:tcW w:w="6860" w:type="dxa"/>
            <w:vAlign w:val="bottom"/>
            <w:gridSpan w:val="11"/>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50"/>
        </w:trPr>
        <w:tc>
          <w:tcPr>
            <w:tcW w:w="7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100" w:type="dxa"/>
            <w:vAlign w:val="bottom"/>
            <w:gridSpan w:val="20"/>
          </w:tcPr>
          <w:p>
            <w:pPr>
              <w:spacing w:after="0"/>
              <w:rPr>
                <w:sz w:val="20"/>
                <w:szCs w:val="20"/>
                <w:color w:val="auto"/>
              </w:rPr>
            </w:pPr>
            <w:r>
              <w:rPr>
                <w:rFonts w:ascii="Arial" w:cs="Arial" w:eastAsia="Arial" w:hAnsi="Arial"/>
                <w:sz w:val="18"/>
                <w:szCs w:val="18"/>
                <w:color w:val="0000FF"/>
              </w:rPr>
              <w:t>Condensed Consolidated Balance Sheets as of September 30, 2023 and December 31, 2022</w:t>
            </w:r>
          </w:p>
        </w:tc>
        <w:tc>
          <w:tcPr>
            <w:tcW w:w="88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54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6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7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640" w:type="dxa"/>
            <w:vAlign w:val="bottom"/>
            <w:tcBorders>
              <w:bottom w:val="single" w:sz="8" w:color="0000FF"/>
            </w:tcBorders>
            <w:gridSpan w:val="17"/>
          </w:tcPr>
          <w:p>
            <w:pPr>
              <w:spacing w:after="0"/>
              <w:rPr>
                <w:sz w:val="20"/>
                <w:szCs w:val="20"/>
                <w:color w:val="auto"/>
              </w:rPr>
            </w:pPr>
            <w:r>
              <w:rPr>
                <w:rFonts w:ascii="Arial" w:cs="Arial" w:eastAsia="Arial" w:hAnsi="Arial"/>
                <w:sz w:val="18"/>
                <w:szCs w:val="18"/>
                <w:color w:val="0000FF"/>
                <w:w w:val="89"/>
              </w:rPr>
              <w:t>Condensed Consolidated Statements of Operations for the Three and Nine Months Ended September 30, 2023 and 2022</w:t>
            </w:r>
          </w:p>
        </w:tc>
        <w:tc>
          <w:tcPr>
            <w:tcW w:w="460" w:type="dxa"/>
            <w:vAlign w:val="bottom"/>
            <w:gridSpan w:val="3"/>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50"/>
        </w:trPr>
        <w:tc>
          <w:tcPr>
            <w:tcW w:w="7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100" w:type="dxa"/>
            <w:vAlign w:val="bottom"/>
            <w:gridSpan w:val="20"/>
          </w:tcPr>
          <w:p>
            <w:pPr>
              <w:spacing w:after="0"/>
              <w:rPr>
                <w:sz w:val="20"/>
                <w:szCs w:val="20"/>
                <w:color w:val="auto"/>
              </w:rPr>
            </w:pPr>
            <w:r>
              <w:rPr>
                <w:rFonts w:ascii="Arial" w:cs="Arial" w:eastAsia="Arial" w:hAnsi="Arial"/>
                <w:sz w:val="18"/>
                <w:szCs w:val="18"/>
                <w:color w:val="0000FF"/>
                <w:w w:val="91"/>
              </w:rPr>
              <w:t>Condensed Consolidated Statements of Comprehensive (Loss) Income for the Three and Nine Months Ended September 30,</w:t>
            </w:r>
          </w:p>
        </w:tc>
        <w:tc>
          <w:tcPr>
            <w:tcW w:w="8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7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940" w:type="dxa"/>
            <w:vAlign w:val="bottom"/>
            <w:tcBorders>
              <w:top w:val="single" w:sz="8" w:color="0000FF"/>
            </w:tcBorders>
            <w:gridSpan w:val="19"/>
          </w:tcPr>
          <w:p>
            <w:pPr>
              <w:spacing w:after="0" w:line="196" w:lineRule="exact"/>
              <w:rPr>
                <w:sz w:val="20"/>
                <w:szCs w:val="20"/>
                <w:color w:val="auto"/>
              </w:rPr>
            </w:pPr>
            <w:r>
              <w:rPr>
                <w:rFonts w:ascii="Arial" w:cs="Arial" w:eastAsia="Arial" w:hAnsi="Arial"/>
                <w:sz w:val="18"/>
                <w:szCs w:val="18"/>
                <w:color w:val="0000FF"/>
              </w:rPr>
              <w:t>2023 and 2022</w:t>
            </w:r>
          </w:p>
        </w:tc>
        <w:tc>
          <w:tcPr>
            <w:tcW w:w="160" w:type="dxa"/>
            <w:vAlign w:val="bottom"/>
          </w:tcPr>
          <w:p>
            <w:pPr>
              <w:spacing w:after="0"/>
              <w:rPr>
                <w:sz w:val="17"/>
                <w:szCs w:val="17"/>
                <w:color w:val="auto"/>
              </w:rPr>
            </w:pPr>
          </w:p>
        </w:tc>
        <w:tc>
          <w:tcPr>
            <w:tcW w:w="88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460" w:type="dxa"/>
            <w:vAlign w:val="bottom"/>
            <w:gridSpan w:val="2"/>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7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920" w:type="dxa"/>
            <w:vAlign w:val="bottom"/>
            <w:tcBorders>
              <w:bottom w:val="single" w:sz="8" w:color="0000FF"/>
            </w:tcBorders>
            <w:gridSpan w:val="18"/>
          </w:tcPr>
          <w:p>
            <w:pPr>
              <w:spacing w:after="0"/>
              <w:rPr>
                <w:sz w:val="20"/>
                <w:szCs w:val="20"/>
                <w:color w:val="auto"/>
              </w:rPr>
            </w:pPr>
            <w:r>
              <w:rPr>
                <w:rFonts w:ascii="Arial" w:cs="Arial" w:eastAsia="Arial" w:hAnsi="Arial"/>
                <w:sz w:val="18"/>
                <w:szCs w:val="18"/>
                <w:color w:val="0000FF"/>
                <w:w w:val="90"/>
              </w:rPr>
              <w:t>Condensed Consolidated Statements of Stockholders’ Equity (Deficit) for the Three and Nine Months Ended September 30,</w:t>
            </w:r>
          </w:p>
        </w:tc>
        <w:tc>
          <w:tcPr>
            <w:tcW w:w="180" w:type="dxa"/>
            <w:vAlign w:val="bottom"/>
            <w:gridSpan w:val="2"/>
          </w:tcPr>
          <w:p>
            <w:pPr>
              <w:spacing w:after="0"/>
              <w:rPr>
                <w:sz w:val="21"/>
                <w:szCs w:val="21"/>
                <w:color w:val="auto"/>
              </w:rPr>
            </w:pPr>
          </w:p>
        </w:tc>
        <w:tc>
          <w:tcPr>
            <w:tcW w:w="8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7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100" w:type="dxa"/>
            <w:vAlign w:val="bottom"/>
            <w:gridSpan w:val="20"/>
          </w:tcPr>
          <w:p>
            <w:pPr>
              <w:spacing w:after="0" w:line="196" w:lineRule="exact"/>
              <w:rPr>
                <w:sz w:val="20"/>
                <w:szCs w:val="20"/>
                <w:color w:val="auto"/>
              </w:rPr>
            </w:pPr>
            <w:r>
              <w:rPr>
                <w:rFonts w:ascii="Arial" w:cs="Arial" w:eastAsia="Arial" w:hAnsi="Arial"/>
                <w:sz w:val="18"/>
                <w:szCs w:val="18"/>
                <w:color w:val="0000FF"/>
              </w:rPr>
              <w:t>2023 and 2022</w:t>
            </w:r>
          </w:p>
        </w:tc>
        <w:tc>
          <w:tcPr>
            <w:tcW w:w="880" w:type="dxa"/>
            <w:vAlign w:val="bottom"/>
          </w:tcPr>
          <w:p>
            <w:pPr>
              <w:jc w:val="right"/>
              <w:spacing w:after="0" w:line="196"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460" w:type="dxa"/>
            <w:vAlign w:val="bottom"/>
            <w:gridSpan w:val="2"/>
          </w:tcPr>
          <w:p>
            <w:pPr>
              <w:spacing w:after="0" w:line="20" w:lineRule="exact"/>
              <w:rPr>
                <w:sz w:val="1"/>
                <w:szCs w:val="1"/>
                <w:color w:val="auto"/>
              </w:rPr>
            </w:pPr>
          </w:p>
        </w:tc>
        <w:tc>
          <w:tcPr>
            <w:tcW w:w="1180" w:type="dxa"/>
            <w:vAlign w:val="bottom"/>
            <w:gridSpan w:val="4"/>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7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920" w:type="dxa"/>
            <w:vAlign w:val="bottom"/>
            <w:tcBorders>
              <w:bottom w:val="single" w:sz="8" w:color="0000FF"/>
            </w:tcBorders>
            <w:gridSpan w:val="16"/>
          </w:tcPr>
          <w:p>
            <w:pPr>
              <w:spacing w:after="0"/>
              <w:rPr>
                <w:sz w:val="20"/>
                <w:szCs w:val="20"/>
                <w:color w:val="auto"/>
              </w:rPr>
            </w:pPr>
            <w:r>
              <w:rPr>
                <w:rFonts w:ascii="Arial" w:cs="Arial" w:eastAsia="Arial" w:hAnsi="Arial"/>
                <w:sz w:val="18"/>
                <w:szCs w:val="18"/>
                <w:color w:val="0000FF"/>
                <w:w w:val="89"/>
              </w:rPr>
              <w:t>Condensed Consolidated Statements of Cash Flows for the Nine Months Ended September 30, 2023 and 2022</w:t>
            </w:r>
          </w:p>
        </w:tc>
        <w:tc>
          <w:tcPr>
            <w:tcW w:w="1180" w:type="dxa"/>
            <w:vAlign w:val="bottom"/>
            <w:gridSpan w:val="4"/>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50"/>
        </w:trPr>
        <w:tc>
          <w:tcPr>
            <w:tcW w:w="7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100" w:type="dxa"/>
            <w:vAlign w:val="bottom"/>
            <w:gridSpan w:val="20"/>
          </w:tcPr>
          <w:p>
            <w:pPr>
              <w:spacing w:after="0"/>
              <w:rPr>
                <w:sz w:val="20"/>
                <w:szCs w:val="20"/>
                <w:color w:val="auto"/>
              </w:rPr>
            </w:pPr>
            <w:r>
              <w:rPr>
                <w:rFonts w:ascii="Arial" w:cs="Arial" w:eastAsia="Arial" w:hAnsi="Arial"/>
                <w:sz w:val="18"/>
                <w:szCs w:val="18"/>
                <w:color w:val="0000FF"/>
              </w:rPr>
              <w:t>Notes to Condensed Consolidated Financial Statements (unaudited)</w:t>
            </w:r>
          </w:p>
        </w:tc>
        <w:tc>
          <w:tcPr>
            <w:tcW w:w="880" w:type="dxa"/>
            <w:vAlign w:val="bottom"/>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54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2640" w:type="dxa"/>
            <w:vAlign w:val="bottom"/>
            <w:gridSpan w:val="6"/>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0"/>
        </w:trPr>
        <w:tc>
          <w:tcPr>
            <w:tcW w:w="1200" w:type="dxa"/>
            <w:vAlign w:val="bottom"/>
            <w:gridSpan w:val="2"/>
          </w:tcPr>
          <w:p>
            <w:pPr>
              <w:spacing w:after="0"/>
              <w:rPr>
                <w:sz w:val="20"/>
                <w:szCs w:val="20"/>
                <w:color w:val="auto"/>
              </w:rPr>
            </w:pPr>
            <w:r>
              <w:rPr>
                <w:rFonts w:ascii="Arial" w:cs="Arial" w:eastAsia="Arial" w:hAnsi="Arial"/>
                <w:sz w:val="18"/>
                <w:szCs w:val="18"/>
                <w:color w:val="auto"/>
              </w:rPr>
              <w:t>Item 2.</w:t>
            </w:r>
          </w:p>
        </w:tc>
        <w:tc>
          <w:tcPr>
            <w:tcW w:w="6460" w:type="dxa"/>
            <w:vAlign w:val="bottom"/>
            <w:tcBorders>
              <w:bottom w:val="single" w:sz="8" w:color="0000FF"/>
            </w:tcBorders>
            <w:gridSpan w:val="14"/>
          </w:tcPr>
          <w:p>
            <w:pPr>
              <w:spacing w:after="0"/>
              <w:rPr>
                <w:sz w:val="20"/>
                <w:szCs w:val="20"/>
                <w:color w:val="auto"/>
              </w:rPr>
            </w:pPr>
            <w:r>
              <w:rPr>
                <w:rFonts w:ascii="Arial" w:cs="Arial" w:eastAsia="Arial" w:hAnsi="Arial"/>
                <w:sz w:val="18"/>
                <w:szCs w:val="18"/>
                <w:color w:val="0000FF"/>
                <w:w w:val="90"/>
              </w:rPr>
              <w:t>Management’s Discussion and Analysis of Financial Condition and Results of Operations</w:t>
            </w:r>
          </w:p>
        </w:tc>
        <w:tc>
          <w:tcPr>
            <w:tcW w:w="2640" w:type="dxa"/>
            <w:vAlign w:val="bottom"/>
            <w:gridSpan w:val="6"/>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50"/>
        </w:trPr>
        <w:tc>
          <w:tcPr>
            <w:tcW w:w="1200" w:type="dxa"/>
            <w:vAlign w:val="bottom"/>
            <w:gridSpan w:val="2"/>
          </w:tcPr>
          <w:p>
            <w:pPr>
              <w:spacing w:after="0"/>
              <w:rPr>
                <w:sz w:val="20"/>
                <w:szCs w:val="20"/>
                <w:color w:val="auto"/>
              </w:rPr>
            </w:pPr>
            <w:r>
              <w:rPr>
                <w:rFonts w:ascii="Arial" w:cs="Arial" w:eastAsia="Arial" w:hAnsi="Arial"/>
                <w:sz w:val="18"/>
                <w:szCs w:val="18"/>
                <w:color w:val="auto"/>
              </w:rPr>
              <w:t>Item 3.</w:t>
            </w:r>
          </w:p>
        </w:tc>
        <w:tc>
          <w:tcPr>
            <w:tcW w:w="4360" w:type="dxa"/>
            <w:vAlign w:val="bottom"/>
            <w:tcBorders>
              <w:bottom w:val="single" w:sz="8" w:color="0000FF"/>
            </w:tcBorders>
            <w:gridSpan w:val="12"/>
          </w:tcPr>
          <w:p>
            <w:pPr>
              <w:spacing w:after="0"/>
              <w:rPr>
                <w:sz w:val="20"/>
                <w:szCs w:val="20"/>
                <w:color w:val="auto"/>
              </w:rPr>
            </w:pPr>
            <w:r>
              <w:rPr>
                <w:rFonts w:ascii="Arial" w:cs="Arial" w:eastAsia="Arial" w:hAnsi="Arial"/>
                <w:sz w:val="18"/>
                <w:szCs w:val="18"/>
                <w:color w:val="0000FF"/>
                <w:w w:val="92"/>
              </w:rPr>
              <w:t>Quantitative and Qualitative Disclosures About Market Risk</w:t>
            </w:r>
          </w:p>
        </w:tc>
        <w:tc>
          <w:tcPr>
            <w:tcW w:w="4740" w:type="dxa"/>
            <w:vAlign w:val="bottom"/>
            <w:gridSpan w:val="8"/>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50"/>
        </w:trPr>
        <w:tc>
          <w:tcPr>
            <w:tcW w:w="1200" w:type="dxa"/>
            <w:vAlign w:val="bottom"/>
            <w:gridSpan w:val="2"/>
          </w:tcPr>
          <w:p>
            <w:pPr>
              <w:spacing w:after="0"/>
              <w:rPr>
                <w:sz w:val="20"/>
                <w:szCs w:val="20"/>
                <w:color w:val="auto"/>
              </w:rPr>
            </w:pPr>
            <w:r>
              <w:rPr>
                <w:rFonts w:ascii="Arial" w:cs="Arial" w:eastAsia="Arial" w:hAnsi="Arial"/>
                <w:sz w:val="18"/>
                <w:szCs w:val="18"/>
                <w:color w:val="auto"/>
              </w:rPr>
              <w:t>Item 4.</w:t>
            </w:r>
          </w:p>
        </w:tc>
        <w:tc>
          <w:tcPr>
            <w:tcW w:w="9100" w:type="dxa"/>
            <w:vAlign w:val="bottom"/>
            <w:gridSpan w:val="20"/>
          </w:tcPr>
          <w:p>
            <w:pPr>
              <w:spacing w:after="0"/>
              <w:rPr>
                <w:sz w:val="20"/>
                <w:szCs w:val="20"/>
                <w:color w:val="auto"/>
              </w:rPr>
            </w:pPr>
            <w:r>
              <w:rPr>
                <w:rFonts w:ascii="Arial" w:cs="Arial" w:eastAsia="Arial" w:hAnsi="Arial"/>
                <w:sz w:val="18"/>
                <w:szCs w:val="18"/>
                <w:color w:val="0000FF"/>
              </w:rPr>
              <w:t>Controls and Procedures</w:t>
            </w:r>
          </w:p>
        </w:tc>
        <w:tc>
          <w:tcPr>
            <w:tcW w:w="880" w:type="dxa"/>
            <w:vAlign w:val="bottom"/>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0"/>
        </w:trPr>
        <w:tc>
          <w:tcPr>
            <w:tcW w:w="12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PART II.</w:t>
            </w: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280" w:type="dxa"/>
            <w:vAlign w:val="bottom"/>
            <w:gridSpan w:val="9"/>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0"/>
        </w:trPr>
        <w:tc>
          <w:tcPr>
            <w:tcW w:w="1200" w:type="dxa"/>
            <w:vAlign w:val="bottom"/>
            <w:gridSpan w:val="2"/>
            <w:vMerge w:val="continue"/>
          </w:tcPr>
          <w:p>
            <w:pPr>
              <w:spacing w:after="0"/>
              <w:rPr>
                <w:sz w:val="24"/>
                <w:szCs w:val="24"/>
                <w:color w:val="auto"/>
              </w:rPr>
            </w:pPr>
          </w:p>
        </w:tc>
        <w:tc>
          <w:tcPr>
            <w:tcW w:w="1880" w:type="dxa"/>
            <w:vAlign w:val="bottom"/>
            <w:tcBorders>
              <w:bottom w:val="single" w:sz="8" w:color="0000FF"/>
            </w:tcBorders>
            <w:gridSpan w:val="8"/>
          </w:tcPr>
          <w:p>
            <w:pPr>
              <w:spacing w:after="0"/>
              <w:rPr>
                <w:sz w:val="20"/>
                <w:szCs w:val="20"/>
                <w:color w:val="auto"/>
              </w:rPr>
            </w:pPr>
            <w:r>
              <w:rPr>
                <w:rFonts w:ascii="Arial" w:cs="Arial" w:eastAsia="Arial" w:hAnsi="Arial"/>
                <w:sz w:val="18"/>
                <w:szCs w:val="18"/>
                <w:color w:val="0000FF"/>
                <w:w w:val="95"/>
              </w:rPr>
              <w:t>OTHER INFORMATION</w:t>
            </w:r>
          </w:p>
        </w:tc>
        <w:tc>
          <w:tcPr>
            <w:tcW w:w="7220" w:type="dxa"/>
            <w:vAlign w:val="bottom"/>
            <w:gridSpan w:val="12"/>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50"/>
        </w:trPr>
        <w:tc>
          <w:tcPr>
            <w:tcW w:w="1200" w:type="dxa"/>
            <w:vAlign w:val="bottom"/>
            <w:gridSpan w:val="2"/>
          </w:tcPr>
          <w:p>
            <w:pPr>
              <w:spacing w:after="0"/>
              <w:rPr>
                <w:sz w:val="20"/>
                <w:szCs w:val="20"/>
                <w:color w:val="auto"/>
              </w:rPr>
            </w:pPr>
            <w:r>
              <w:rPr>
                <w:rFonts w:ascii="Arial" w:cs="Arial" w:eastAsia="Arial" w:hAnsi="Arial"/>
                <w:sz w:val="18"/>
                <w:szCs w:val="18"/>
                <w:color w:val="auto"/>
              </w:rPr>
              <w:t>Item 1.</w:t>
            </w:r>
          </w:p>
        </w:tc>
        <w:tc>
          <w:tcPr>
            <w:tcW w:w="9100" w:type="dxa"/>
            <w:vAlign w:val="bottom"/>
            <w:gridSpan w:val="20"/>
          </w:tcPr>
          <w:p>
            <w:pPr>
              <w:spacing w:after="0"/>
              <w:rPr>
                <w:sz w:val="20"/>
                <w:szCs w:val="20"/>
                <w:color w:val="auto"/>
              </w:rPr>
            </w:pPr>
            <w:r>
              <w:rPr>
                <w:rFonts w:ascii="Arial" w:cs="Arial" w:eastAsia="Arial" w:hAnsi="Arial"/>
                <w:sz w:val="18"/>
                <w:szCs w:val="18"/>
                <w:color w:val="0000FF"/>
              </w:rPr>
              <w:t>Legal Proceedings</w:t>
            </w:r>
          </w:p>
        </w:tc>
        <w:tc>
          <w:tcPr>
            <w:tcW w:w="880" w:type="dxa"/>
            <w:vAlign w:val="bottom"/>
          </w:tcPr>
          <w:p>
            <w:pPr>
              <w:jc w:val="right"/>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50"/>
        </w:trPr>
        <w:tc>
          <w:tcPr>
            <w:tcW w:w="1200" w:type="dxa"/>
            <w:vAlign w:val="bottom"/>
            <w:gridSpan w:val="2"/>
          </w:tcPr>
          <w:p>
            <w:pPr>
              <w:spacing w:after="0"/>
              <w:rPr>
                <w:sz w:val="20"/>
                <w:szCs w:val="20"/>
                <w:color w:val="auto"/>
              </w:rPr>
            </w:pPr>
            <w:r>
              <w:rPr>
                <w:rFonts w:ascii="Arial" w:cs="Arial" w:eastAsia="Arial" w:hAnsi="Arial"/>
                <w:sz w:val="18"/>
                <w:szCs w:val="18"/>
                <w:color w:val="auto"/>
              </w:rPr>
              <w:t>Item 1A.</w:t>
            </w:r>
          </w:p>
        </w:tc>
        <w:tc>
          <w:tcPr>
            <w:tcW w:w="900" w:type="dxa"/>
            <w:vAlign w:val="bottom"/>
            <w:tcBorders>
              <w:top w:val="single" w:sz="8" w:color="0000FF"/>
              <w:bottom w:val="single" w:sz="8" w:color="0000FF"/>
            </w:tcBorders>
            <w:gridSpan w:val="2"/>
          </w:tcPr>
          <w:p>
            <w:pPr>
              <w:spacing w:after="0"/>
              <w:rPr>
                <w:sz w:val="20"/>
                <w:szCs w:val="20"/>
                <w:color w:val="auto"/>
              </w:rPr>
            </w:pPr>
            <w:r>
              <w:rPr>
                <w:rFonts w:ascii="Arial" w:cs="Arial" w:eastAsia="Arial" w:hAnsi="Arial"/>
                <w:sz w:val="18"/>
                <w:szCs w:val="18"/>
                <w:color w:val="0000FF"/>
                <w:w w:val="87"/>
              </w:rPr>
              <w:t>Risk Factors</w:t>
            </w:r>
          </w:p>
        </w:tc>
        <w:tc>
          <w:tcPr>
            <w:tcW w:w="420" w:type="dxa"/>
            <w:vAlign w:val="bottom"/>
            <w:tcBorders>
              <w:top w:val="single" w:sz="8" w:color="0000FF"/>
            </w:tcBorders>
            <w:gridSpan w:val="3"/>
          </w:tcPr>
          <w:p>
            <w:pPr>
              <w:spacing w:after="0"/>
              <w:rPr>
                <w:sz w:val="21"/>
                <w:szCs w:val="21"/>
                <w:color w:val="auto"/>
              </w:rPr>
            </w:pPr>
          </w:p>
        </w:tc>
        <w:tc>
          <w:tcPr>
            <w:tcW w:w="7780" w:type="dxa"/>
            <w:vAlign w:val="bottom"/>
            <w:gridSpan w:val="15"/>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50"/>
        </w:trPr>
        <w:tc>
          <w:tcPr>
            <w:tcW w:w="1200" w:type="dxa"/>
            <w:vAlign w:val="bottom"/>
            <w:gridSpan w:val="2"/>
          </w:tcPr>
          <w:p>
            <w:pPr>
              <w:spacing w:after="0"/>
              <w:rPr>
                <w:sz w:val="20"/>
                <w:szCs w:val="20"/>
                <w:color w:val="auto"/>
              </w:rPr>
            </w:pPr>
            <w:r>
              <w:rPr>
                <w:rFonts w:ascii="Arial" w:cs="Arial" w:eastAsia="Arial" w:hAnsi="Arial"/>
                <w:sz w:val="18"/>
                <w:szCs w:val="18"/>
                <w:color w:val="auto"/>
              </w:rPr>
              <w:t>Item 2.</w:t>
            </w:r>
          </w:p>
        </w:tc>
        <w:tc>
          <w:tcPr>
            <w:tcW w:w="9100" w:type="dxa"/>
            <w:vAlign w:val="bottom"/>
            <w:gridSpan w:val="20"/>
          </w:tcPr>
          <w:p>
            <w:pPr>
              <w:spacing w:after="0"/>
              <w:rPr>
                <w:sz w:val="20"/>
                <w:szCs w:val="20"/>
                <w:color w:val="auto"/>
              </w:rPr>
            </w:pPr>
            <w:r>
              <w:rPr>
                <w:rFonts w:ascii="Arial" w:cs="Arial" w:eastAsia="Arial" w:hAnsi="Arial"/>
                <w:sz w:val="18"/>
                <w:szCs w:val="18"/>
                <w:color w:val="0000FF"/>
              </w:rPr>
              <w:t>Unregistered Sales of Equity Securities</w:t>
            </w:r>
          </w:p>
        </w:tc>
        <w:tc>
          <w:tcPr>
            <w:tcW w:w="880" w:type="dxa"/>
            <w:vAlign w:val="bottom"/>
          </w:tcPr>
          <w:p>
            <w:pPr>
              <w:jc w:val="right"/>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50"/>
        </w:trPr>
        <w:tc>
          <w:tcPr>
            <w:tcW w:w="1200" w:type="dxa"/>
            <w:vAlign w:val="bottom"/>
            <w:gridSpan w:val="2"/>
          </w:tcPr>
          <w:p>
            <w:pPr>
              <w:spacing w:after="0"/>
              <w:rPr>
                <w:sz w:val="20"/>
                <w:szCs w:val="20"/>
                <w:color w:val="auto"/>
              </w:rPr>
            </w:pPr>
            <w:r>
              <w:rPr>
                <w:rFonts w:ascii="Arial" w:cs="Arial" w:eastAsia="Arial" w:hAnsi="Arial"/>
                <w:sz w:val="18"/>
                <w:szCs w:val="18"/>
                <w:color w:val="auto"/>
              </w:rPr>
              <w:t>Item 3.</w:t>
            </w:r>
          </w:p>
        </w:tc>
        <w:tc>
          <w:tcPr>
            <w:tcW w:w="2320" w:type="dxa"/>
            <w:vAlign w:val="bottom"/>
            <w:tcBorders>
              <w:top w:val="single" w:sz="8" w:color="0000FF"/>
              <w:bottom w:val="single" w:sz="8" w:color="0000FF"/>
            </w:tcBorders>
            <w:gridSpan w:val="10"/>
          </w:tcPr>
          <w:p>
            <w:pPr>
              <w:spacing w:after="0"/>
              <w:rPr>
                <w:sz w:val="20"/>
                <w:szCs w:val="20"/>
                <w:color w:val="auto"/>
              </w:rPr>
            </w:pPr>
            <w:r>
              <w:rPr>
                <w:rFonts w:ascii="Arial" w:cs="Arial" w:eastAsia="Arial" w:hAnsi="Arial"/>
                <w:sz w:val="18"/>
                <w:szCs w:val="18"/>
                <w:color w:val="0000FF"/>
                <w:w w:val="90"/>
              </w:rPr>
              <w:t>Defaults Upon Senior Securities</w:t>
            </w:r>
          </w:p>
        </w:tc>
        <w:tc>
          <w:tcPr>
            <w:tcW w:w="500" w:type="dxa"/>
            <w:vAlign w:val="bottom"/>
            <w:tcBorders>
              <w:top w:val="single" w:sz="8" w:color="0000FF"/>
            </w:tcBorders>
          </w:tcPr>
          <w:p>
            <w:pPr>
              <w:spacing w:after="0"/>
              <w:rPr>
                <w:sz w:val="21"/>
                <w:szCs w:val="21"/>
                <w:color w:val="auto"/>
              </w:rPr>
            </w:pPr>
          </w:p>
        </w:tc>
        <w:tc>
          <w:tcPr>
            <w:tcW w:w="6280" w:type="dxa"/>
            <w:vAlign w:val="bottom"/>
            <w:gridSpan w:val="9"/>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50"/>
        </w:trPr>
        <w:tc>
          <w:tcPr>
            <w:tcW w:w="1200" w:type="dxa"/>
            <w:vAlign w:val="bottom"/>
            <w:gridSpan w:val="2"/>
          </w:tcPr>
          <w:p>
            <w:pPr>
              <w:spacing w:after="0"/>
              <w:rPr>
                <w:sz w:val="20"/>
                <w:szCs w:val="20"/>
                <w:color w:val="auto"/>
              </w:rPr>
            </w:pPr>
            <w:r>
              <w:rPr>
                <w:rFonts w:ascii="Arial" w:cs="Arial" w:eastAsia="Arial" w:hAnsi="Arial"/>
                <w:sz w:val="18"/>
                <w:szCs w:val="18"/>
                <w:color w:val="auto"/>
              </w:rPr>
              <w:t>Item 4.</w:t>
            </w:r>
          </w:p>
        </w:tc>
        <w:tc>
          <w:tcPr>
            <w:tcW w:w="9100" w:type="dxa"/>
            <w:vAlign w:val="bottom"/>
            <w:gridSpan w:val="20"/>
          </w:tcPr>
          <w:p>
            <w:pPr>
              <w:spacing w:after="0"/>
              <w:rPr>
                <w:sz w:val="20"/>
                <w:szCs w:val="20"/>
                <w:color w:val="auto"/>
              </w:rPr>
            </w:pPr>
            <w:r>
              <w:rPr>
                <w:rFonts w:ascii="Arial" w:cs="Arial" w:eastAsia="Arial" w:hAnsi="Arial"/>
                <w:sz w:val="18"/>
                <w:szCs w:val="18"/>
                <w:color w:val="0000FF"/>
              </w:rPr>
              <w:t>Mine Safety Disclosures</w:t>
            </w:r>
          </w:p>
        </w:tc>
        <w:tc>
          <w:tcPr>
            <w:tcW w:w="880" w:type="dxa"/>
            <w:vAlign w:val="bottom"/>
          </w:tcPr>
          <w:p>
            <w:pPr>
              <w:jc w:val="right"/>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50"/>
        </w:trPr>
        <w:tc>
          <w:tcPr>
            <w:tcW w:w="1200" w:type="dxa"/>
            <w:vAlign w:val="bottom"/>
            <w:gridSpan w:val="2"/>
          </w:tcPr>
          <w:p>
            <w:pPr>
              <w:spacing w:after="0"/>
              <w:rPr>
                <w:sz w:val="20"/>
                <w:szCs w:val="20"/>
                <w:color w:val="auto"/>
              </w:rPr>
            </w:pPr>
            <w:r>
              <w:rPr>
                <w:rFonts w:ascii="Arial" w:cs="Arial" w:eastAsia="Arial" w:hAnsi="Arial"/>
                <w:sz w:val="18"/>
                <w:szCs w:val="18"/>
                <w:color w:val="auto"/>
              </w:rPr>
              <w:t>Item 5.</w:t>
            </w:r>
          </w:p>
        </w:tc>
        <w:tc>
          <w:tcPr>
            <w:tcW w:w="1760" w:type="dxa"/>
            <w:vAlign w:val="bottom"/>
            <w:tcBorders>
              <w:top w:val="single" w:sz="8" w:color="0000FF"/>
            </w:tcBorders>
            <w:gridSpan w:val="7"/>
          </w:tcPr>
          <w:p>
            <w:pPr>
              <w:spacing w:after="0"/>
              <w:rPr>
                <w:sz w:val="20"/>
                <w:szCs w:val="20"/>
                <w:color w:val="auto"/>
              </w:rPr>
            </w:pPr>
            <w:r>
              <w:rPr>
                <w:rFonts w:ascii="Arial" w:cs="Arial" w:eastAsia="Arial" w:hAnsi="Arial"/>
                <w:sz w:val="18"/>
                <w:szCs w:val="18"/>
                <w:color w:val="0000FF"/>
              </w:rPr>
              <w:t>Other Information</w:t>
            </w:r>
          </w:p>
        </w:tc>
        <w:tc>
          <w:tcPr>
            <w:tcW w:w="7340" w:type="dxa"/>
            <w:vAlign w:val="bottom"/>
            <w:gridSpan w:val="13"/>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50"/>
        </w:trPr>
        <w:tc>
          <w:tcPr>
            <w:tcW w:w="1200" w:type="dxa"/>
            <w:vAlign w:val="bottom"/>
            <w:gridSpan w:val="2"/>
          </w:tcPr>
          <w:p>
            <w:pPr>
              <w:spacing w:after="0"/>
              <w:rPr>
                <w:sz w:val="20"/>
                <w:szCs w:val="20"/>
                <w:color w:val="auto"/>
              </w:rPr>
            </w:pPr>
            <w:r>
              <w:rPr>
                <w:rFonts w:ascii="Arial" w:cs="Arial" w:eastAsia="Arial" w:hAnsi="Arial"/>
                <w:sz w:val="18"/>
                <w:szCs w:val="18"/>
                <w:color w:val="auto"/>
              </w:rPr>
              <w:t>Item 6.</w:t>
            </w:r>
          </w:p>
        </w:tc>
        <w:tc>
          <w:tcPr>
            <w:tcW w:w="1300" w:type="dxa"/>
            <w:vAlign w:val="bottom"/>
            <w:tcBorders>
              <w:top w:val="single" w:sz="8" w:color="0000FF"/>
            </w:tcBorders>
            <w:gridSpan w:val="4"/>
          </w:tcPr>
          <w:p>
            <w:pPr>
              <w:spacing w:after="0"/>
              <w:rPr>
                <w:sz w:val="20"/>
                <w:szCs w:val="20"/>
                <w:color w:val="auto"/>
              </w:rPr>
            </w:pPr>
            <w:r>
              <w:rPr>
                <w:rFonts w:ascii="Arial" w:cs="Arial" w:eastAsia="Arial" w:hAnsi="Arial"/>
                <w:sz w:val="18"/>
                <w:szCs w:val="18"/>
                <w:color w:val="0000FF"/>
              </w:rPr>
              <w:t>Exhibits</w:t>
            </w:r>
          </w:p>
        </w:tc>
        <w:tc>
          <w:tcPr>
            <w:tcW w:w="7800" w:type="dxa"/>
            <w:vAlign w:val="bottom"/>
            <w:gridSpan w:val="16"/>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50"/>
        </w:trPr>
        <w:tc>
          <w:tcPr>
            <w:tcW w:w="1200" w:type="dxa"/>
            <w:vAlign w:val="bottom"/>
            <w:gridSpan w:val="2"/>
          </w:tcPr>
          <w:p>
            <w:pPr>
              <w:spacing w:after="0"/>
              <w:rPr>
                <w:sz w:val="20"/>
                <w:szCs w:val="20"/>
                <w:color w:val="auto"/>
              </w:rPr>
            </w:pPr>
            <w:r>
              <w:rPr>
                <w:rFonts w:ascii="Arial" w:cs="Arial" w:eastAsia="Arial" w:hAnsi="Arial"/>
                <w:sz w:val="18"/>
                <w:szCs w:val="18"/>
                <w:color w:val="0000FF"/>
              </w:rPr>
              <w:t>Signatures</w:t>
            </w:r>
          </w:p>
        </w:tc>
        <w:tc>
          <w:tcPr>
            <w:tcW w:w="600" w:type="dxa"/>
            <w:vAlign w:val="bottom"/>
            <w:tcBorders>
              <w:top w:val="single" w:sz="8" w:color="0000FF"/>
            </w:tcBorders>
          </w:tcPr>
          <w:p>
            <w:pPr>
              <w:spacing w:after="0"/>
              <w:rPr>
                <w:sz w:val="21"/>
                <w:szCs w:val="21"/>
                <w:color w:val="auto"/>
              </w:rPr>
            </w:pPr>
          </w:p>
        </w:tc>
        <w:tc>
          <w:tcPr>
            <w:tcW w:w="3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0"/>
        </w:trPr>
        <w:tc>
          <w:tcPr>
            <w:tcW w:w="760" w:type="dxa"/>
            <w:vAlign w:val="bottom"/>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70485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40" w:top="1093" w:right="37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229" w:lineRule="exact"/>
        <w:rPr>
          <w:sz w:val="20"/>
          <w:szCs w:val="20"/>
          <w:color w:val="auto"/>
        </w:rPr>
      </w:pPr>
    </w:p>
    <w:p>
      <w:pPr>
        <w:jc w:val="both"/>
        <w:ind w:firstLine="486"/>
        <w:spacing w:after="0" w:line="293" w:lineRule="auto"/>
        <w:rPr>
          <w:sz w:val="20"/>
          <w:szCs w:val="20"/>
          <w:color w:val="auto"/>
        </w:rPr>
      </w:pPr>
      <w:r>
        <w:rPr>
          <w:rFonts w:ascii="Arial" w:cs="Arial" w:eastAsia="Arial" w:hAnsi="Arial"/>
          <w:sz w:val="16"/>
          <w:szCs w:val="16"/>
          <w:color w:val="auto"/>
        </w:rPr>
        <w:t>This Quarterly Report on Form 10-Q contains forward-looking statements about us and our industry that involve substantial risks and uncertainties. All statements other than statements of historical facts contained in this Quarterly Report on Form 10-Q including statements regarding our future results of operations or financial condition, business strategy and plans and objectives of management for future operations, are forward-looking statements. In some cases, you can identify forward-looking statements because they contain words such as “anticipate,” “believe,” “contemplate,” “continue,” “could,” “estimate,” “expect,” “intend,” “may,” “plan,” “potential,” “predict,” “project,” “should,” “target,” “will” or “would” or the negative of these words or other similar terms or expressions. These forward-looking statements include, but are not limited to, statements concerning the following:</w:t>
      </w:r>
    </w:p>
    <w:p>
      <w:pPr>
        <w:spacing w:after="0" w:line="56" w:lineRule="exact"/>
        <w:rPr>
          <w:sz w:val="20"/>
          <w:szCs w:val="20"/>
          <w:color w:val="auto"/>
        </w:rPr>
      </w:pPr>
    </w:p>
    <w:p>
      <w:pPr>
        <w:ind w:left="980" w:hanging="486"/>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expectations regarding our revenue, expenses and other operating results;</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acquire new customers and successfully retain existing customers;</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increase usage of our platform and upsell and cross sell additional products;</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achieve or sustain our profitability;</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future investments in our business, our anticipated capital expenditures and our estimates regarding our capital requirements;</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costs and success of our sales and marketing efforts, and our ability to promote our brand;</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reliance on key personnel and our ability to identify, recruit and retain skilled personnel;</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effectively manage our growth, including any international expansion;</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protect our intellectual property rights and any costs associated therewith;</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compete effectively with existing competitors and new market entrants;</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growth rates of the markets in which we compete; and</w:t>
      </w:r>
    </w:p>
    <w:p>
      <w:pPr>
        <w:spacing w:after="0" w:line="117" w:lineRule="exact"/>
        <w:rPr>
          <w:rFonts w:ascii="Arial" w:cs="Arial" w:eastAsia="Arial" w:hAnsi="Arial"/>
          <w:sz w:val="18"/>
          <w:szCs w:val="18"/>
          <w:color w:val="auto"/>
        </w:rPr>
      </w:pPr>
    </w:p>
    <w:p>
      <w:pPr>
        <w:ind w:left="980" w:hanging="486"/>
        <w:spacing w:after="0" w:line="277" w:lineRule="auto"/>
        <w:tabs>
          <w:tab w:leader="none" w:pos="975"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potential impact of general market, political, economic, and business conditions in our industry, or reductions in information technology spending, on our business, results of operations and financial condition.</w:t>
      </w:r>
    </w:p>
    <w:p>
      <w:pPr>
        <w:spacing w:after="0" w:line="197"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You should not rely on forward-looking statements as predictions of future events. The outcome of the events described in these forward-looking statements is subject to risks, uncertainties and other factors described under the header “Risk Factors” and elsewhere in this Quarterly Report on Form 10-Q. Moreover, we operate in a very competitive and rapidly changing environment. New risks and uncertainties emerge from time to time, and it is not possible for us to predict all risks and uncertainties that could have an impact on the forward-looking statements contained herein. The results, events and circumstances reflected in the forward-looking statements may not be achieved or occur, and actual results, events or circumstances could differ materially from those described in the forward-looking statements.</w:t>
      </w:r>
    </w:p>
    <w:p>
      <w:pPr>
        <w:spacing w:after="0" w:line="192"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The forward-looking statements made in this Quarterly Report on Form 10-Q relate only to events as of the date on which the statements are made, and we undertake no obligation to update them to reflect events or circumstances after the date of this Quarterly Report on Form 10-Q or to reflect new information or the occurrence of unanticipated events, except as required by law.</w:t>
      </w:r>
    </w:p>
    <w:p>
      <w:pPr>
        <w:spacing w:after="0" w:line="184" w:lineRule="exact"/>
        <w:rPr>
          <w:sz w:val="20"/>
          <w:szCs w:val="20"/>
          <w:color w:val="auto"/>
        </w:rPr>
      </w:pPr>
    </w:p>
    <w:p>
      <w:pPr>
        <w:ind w:left="500"/>
        <w:spacing w:after="0"/>
        <w:rPr>
          <w:sz w:val="20"/>
          <w:szCs w:val="20"/>
          <w:color w:val="auto"/>
        </w:rPr>
      </w:pPr>
      <w:r>
        <w:rPr>
          <w:rFonts w:ascii="Arial" w:cs="Arial" w:eastAsia="Arial" w:hAnsi="Arial"/>
          <w:sz w:val="16"/>
          <w:szCs w:val="16"/>
          <w:color w:val="auto"/>
        </w:rPr>
        <w:t>Unless the context otherwise indicates, references in this report to the terms “Datadog”, “the Company,” “we,” “our” and “us” refer to Datadog, Inc.</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and its subsidiaries.</w:t>
      </w:r>
    </w:p>
    <w:p>
      <w:pPr>
        <w:spacing w:after="0" w:line="211" w:lineRule="exact"/>
        <w:rPr>
          <w:sz w:val="20"/>
          <w:szCs w:val="20"/>
          <w:color w:val="auto"/>
        </w:rPr>
      </w:pPr>
    </w:p>
    <w:p>
      <w:pPr>
        <w:jc w:val="both"/>
        <w:ind w:right="20" w:firstLine="486"/>
        <w:spacing w:after="0" w:line="286" w:lineRule="auto"/>
        <w:rPr>
          <w:sz w:val="20"/>
          <w:szCs w:val="20"/>
          <w:color w:val="auto"/>
        </w:rPr>
      </w:pPr>
      <w:r>
        <w:rPr>
          <w:rFonts w:ascii="Arial" w:cs="Arial" w:eastAsia="Arial" w:hAnsi="Arial"/>
          <w:sz w:val="17"/>
          <w:szCs w:val="17"/>
          <w:color w:val="auto"/>
        </w:rPr>
        <w:t>We may announce material business and financial information to our investors using our investor relations website (investors.datadoghq.com). We therefore encourage investors and others interested in Datadog to review the information that we make available on our website, in addition to following our filings with the Securities and Exchange Commission, webcasts, press releases and conference calls.</w:t>
      </w: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PART I-FINANCIAL INFORMATION</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DATADOG,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84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60" w:type="dxa"/>
            <w:vAlign w:val="bottom"/>
            <w:gridSpan w:val="2"/>
          </w:tcPr>
          <w:p>
            <w:pPr>
              <w:ind w:left="40"/>
              <w:spacing w:after="0"/>
              <w:rPr>
                <w:sz w:val="20"/>
                <w:szCs w:val="20"/>
                <w:color w:val="auto"/>
              </w:rPr>
            </w:pPr>
            <w:r>
              <w:rPr>
                <w:rFonts w:ascii="Arial" w:cs="Arial" w:eastAsia="Arial" w:hAnsi="Arial"/>
                <w:sz w:val="14"/>
                <w:szCs w:val="14"/>
                <w:b w:val="1"/>
                <w:bCs w:val="1"/>
                <w:color w:val="auto"/>
              </w:rPr>
              <w:t>September 30,</w:t>
            </w:r>
          </w:p>
        </w:tc>
        <w:tc>
          <w:tcPr>
            <w:tcW w:w="180" w:type="dxa"/>
            <w:vAlign w:val="bottom"/>
          </w:tcPr>
          <w:p>
            <w:pPr>
              <w:spacing w:after="0"/>
              <w:rPr>
                <w:sz w:val="15"/>
                <w:szCs w:val="15"/>
                <w:color w:val="auto"/>
              </w:rPr>
            </w:pPr>
          </w:p>
        </w:tc>
        <w:tc>
          <w:tcPr>
            <w:tcW w:w="1140" w:type="dxa"/>
            <w:vAlign w:val="bottom"/>
          </w:tcPr>
          <w:p>
            <w:pPr>
              <w:jc w:val="right"/>
              <w:ind w:right="151"/>
              <w:spacing w:after="0"/>
              <w:rPr>
                <w:sz w:val="20"/>
                <w:szCs w:val="20"/>
                <w:color w:val="auto"/>
              </w:rPr>
            </w:pPr>
            <w:r>
              <w:rPr>
                <w:rFonts w:ascii="Arial" w:cs="Arial" w:eastAsia="Arial" w:hAnsi="Arial"/>
                <w:sz w:val="14"/>
                <w:szCs w:val="14"/>
                <w:b w:val="1"/>
                <w:bCs w:val="1"/>
                <w:color w:val="auto"/>
                <w:w w:val="96"/>
              </w:rPr>
              <w:t>December 31,</w:t>
            </w:r>
          </w:p>
        </w:tc>
      </w:tr>
      <w:tr>
        <w:trPr>
          <w:trHeight w:val="186"/>
        </w:trPr>
        <w:tc>
          <w:tcPr>
            <w:tcW w:w="84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40" w:type="dxa"/>
            <w:vAlign w:val="bottom"/>
          </w:tcPr>
          <w:p>
            <w:pPr>
              <w:jc w:val="right"/>
              <w:ind w:right="411"/>
              <w:spacing w:after="0"/>
              <w:rPr>
                <w:sz w:val="20"/>
                <w:szCs w:val="20"/>
                <w:color w:val="auto"/>
              </w:rPr>
            </w:pPr>
            <w:r>
              <w:rPr>
                <w:rFonts w:ascii="Arial" w:cs="Arial" w:eastAsia="Arial" w:hAnsi="Arial"/>
                <w:sz w:val="14"/>
                <w:szCs w:val="14"/>
                <w:b w:val="1"/>
                <w:bCs w:val="1"/>
                <w:color w:val="auto"/>
              </w:rPr>
              <w:t>2023</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40" w:type="dxa"/>
            <w:vAlign w:val="bottom"/>
          </w:tcPr>
          <w:p>
            <w:pPr>
              <w:jc w:val="right"/>
              <w:ind w:right="431"/>
              <w:spacing w:after="0"/>
              <w:rPr>
                <w:sz w:val="20"/>
                <w:szCs w:val="20"/>
                <w:color w:val="auto"/>
              </w:rPr>
            </w:pPr>
            <w:r>
              <w:rPr>
                <w:rFonts w:ascii="Arial" w:cs="Arial" w:eastAsia="Arial" w:hAnsi="Arial"/>
                <w:sz w:val="14"/>
                <w:szCs w:val="14"/>
                <w:b w:val="1"/>
                <w:bCs w:val="1"/>
                <w:color w:val="auto"/>
              </w:rPr>
              <w:t>2022</w:t>
            </w:r>
          </w:p>
        </w:tc>
      </w:tr>
      <w:tr>
        <w:trPr>
          <w:trHeight w:val="39"/>
        </w:trPr>
        <w:tc>
          <w:tcPr>
            <w:tcW w:w="848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r>
      <w:tr>
        <w:trPr>
          <w:trHeight w:val="230"/>
        </w:trPr>
        <w:tc>
          <w:tcPr>
            <w:tcW w:w="8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18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r>
      <w:tr>
        <w:trPr>
          <w:trHeight w:val="243"/>
        </w:trPr>
        <w:tc>
          <w:tcPr>
            <w:tcW w:w="8480" w:type="dxa"/>
            <w:vAlign w:val="bottom"/>
          </w:tcPr>
          <w:p>
            <w:pPr>
              <w:ind w:left="20"/>
              <w:spacing w:after="0"/>
              <w:rPr>
                <w:sz w:val="20"/>
                <w:szCs w:val="20"/>
                <w:color w:val="auto"/>
              </w:rPr>
            </w:pPr>
            <w:r>
              <w:rPr>
                <w:rFonts w:ascii="Arial" w:cs="Arial" w:eastAsia="Arial" w:hAnsi="Arial"/>
                <w:sz w:val="18"/>
                <w:szCs w:val="18"/>
                <w:color w:val="auto"/>
              </w:rPr>
              <w:t>CURRENT ASSETS:</w:t>
            </w:r>
          </w:p>
        </w:tc>
        <w:tc>
          <w:tcPr>
            <w:tcW w:w="1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7"/>
        </w:trPr>
        <w:tc>
          <w:tcPr>
            <w:tcW w:w="84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4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Cash and cash equivalents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261,309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338,985</w:t>
            </w:r>
          </w:p>
        </w:tc>
      </w:tr>
      <w:tr>
        <w:trPr>
          <w:trHeight w:val="243"/>
        </w:trPr>
        <w:tc>
          <w:tcPr>
            <w:tcW w:w="8480" w:type="dxa"/>
            <w:vAlign w:val="bottom"/>
          </w:tcPr>
          <w:p>
            <w:pPr>
              <w:ind w:left="220"/>
              <w:spacing w:after="0"/>
              <w:rPr>
                <w:sz w:val="20"/>
                <w:szCs w:val="20"/>
                <w:color w:val="auto"/>
              </w:rPr>
            </w:pPr>
            <w:r>
              <w:rPr>
                <w:rFonts w:ascii="Arial" w:cs="Arial" w:eastAsia="Arial" w:hAnsi="Arial"/>
                <w:sz w:val="18"/>
                <w:szCs w:val="18"/>
                <w:color w:val="auto"/>
              </w:rPr>
              <w:t>Marketable securities</w:t>
            </w:r>
          </w:p>
        </w:tc>
        <w:tc>
          <w:tcPr>
            <w:tcW w:w="1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2,080,380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1,545,341</w:t>
            </w:r>
          </w:p>
        </w:tc>
      </w:tr>
      <w:tr>
        <w:trPr>
          <w:trHeight w:val="27"/>
        </w:trPr>
        <w:tc>
          <w:tcPr>
            <w:tcW w:w="84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29"/>
        </w:trPr>
        <w:tc>
          <w:tcPr>
            <w:tcW w:w="84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Accounts receivable, net of allowance for credit losses of $11,091 and $5,626 as of</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237"/>
        </w:trPr>
        <w:tc>
          <w:tcPr>
            <w:tcW w:w="848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September 30, 2023 and December 31, 2022, respectively</w:t>
            </w:r>
          </w:p>
        </w:tc>
        <w:tc>
          <w:tcPr>
            <w:tcW w:w="18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400,649</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399,551</w:t>
            </w:r>
          </w:p>
        </w:tc>
      </w:tr>
      <w:tr>
        <w:trPr>
          <w:trHeight w:val="243"/>
        </w:trPr>
        <w:tc>
          <w:tcPr>
            <w:tcW w:w="8480" w:type="dxa"/>
            <w:vAlign w:val="bottom"/>
          </w:tcPr>
          <w:p>
            <w:pPr>
              <w:ind w:left="220"/>
              <w:spacing w:after="0"/>
              <w:rPr>
                <w:sz w:val="20"/>
                <w:szCs w:val="20"/>
                <w:color w:val="auto"/>
              </w:rPr>
            </w:pPr>
            <w:r>
              <w:rPr>
                <w:rFonts w:ascii="Arial" w:cs="Arial" w:eastAsia="Arial" w:hAnsi="Arial"/>
                <w:sz w:val="18"/>
                <w:szCs w:val="18"/>
                <w:color w:val="auto"/>
              </w:rPr>
              <w:t>Deferred contract costs, current</w:t>
            </w:r>
          </w:p>
        </w:tc>
        <w:tc>
          <w:tcPr>
            <w:tcW w:w="1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39,805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33,054</w:t>
            </w:r>
          </w:p>
        </w:tc>
      </w:tr>
      <w:tr>
        <w:trPr>
          <w:trHeight w:val="27"/>
        </w:trPr>
        <w:tc>
          <w:tcPr>
            <w:tcW w:w="84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84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Prepaid expenses and other current assets</w:t>
            </w:r>
          </w:p>
        </w:tc>
        <w:tc>
          <w:tcPr>
            <w:tcW w:w="1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37,341</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27,303</w:t>
            </w:r>
          </w:p>
        </w:tc>
      </w:tr>
      <w:tr>
        <w:trPr>
          <w:trHeight w:val="237"/>
        </w:trPr>
        <w:tc>
          <w:tcPr>
            <w:tcW w:w="8480" w:type="dxa"/>
            <w:vAlign w:val="bottom"/>
          </w:tcPr>
          <w:p>
            <w:pPr>
              <w:ind w:left="480"/>
              <w:spacing w:after="0"/>
              <w:rPr>
                <w:sz w:val="20"/>
                <w:szCs w:val="20"/>
                <w:color w:val="auto"/>
              </w:rPr>
            </w:pPr>
            <w:r>
              <w:rPr>
                <w:rFonts w:ascii="Arial" w:cs="Arial" w:eastAsia="Arial" w:hAnsi="Arial"/>
                <w:sz w:val="18"/>
                <w:szCs w:val="18"/>
                <w:color w:val="auto"/>
              </w:rPr>
              <w:t>Total current assets</w:t>
            </w:r>
          </w:p>
        </w:tc>
        <w:tc>
          <w:tcPr>
            <w:tcW w:w="18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2,819,484</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2,344,234</w:t>
            </w:r>
          </w:p>
        </w:tc>
      </w:tr>
      <w:tr>
        <w:trPr>
          <w:trHeight w:val="27"/>
        </w:trPr>
        <w:tc>
          <w:tcPr>
            <w:tcW w:w="84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4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Property and equipment, net</w:t>
            </w:r>
          </w:p>
        </w:tc>
        <w:tc>
          <w:tcPr>
            <w:tcW w:w="1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157,689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125,346</w:t>
            </w:r>
          </w:p>
        </w:tc>
      </w:tr>
      <w:tr>
        <w:trPr>
          <w:trHeight w:val="243"/>
        </w:trPr>
        <w:tc>
          <w:tcPr>
            <w:tcW w:w="8480" w:type="dxa"/>
            <w:vAlign w:val="bottom"/>
          </w:tcPr>
          <w:p>
            <w:pPr>
              <w:ind w:left="220"/>
              <w:spacing w:after="0"/>
              <w:rPr>
                <w:sz w:val="20"/>
                <w:szCs w:val="20"/>
                <w:color w:val="auto"/>
              </w:rPr>
            </w:pPr>
            <w:r>
              <w:rPr>
                <w:rFonts w:ascii="Arial" w:cs="Arial" w:eastAsia="Arial" w:hAnsi="Arial"/>
                <w:sz w:val="18"/>
                <w:szCs w:val="18"/>
                <w:color w:val="auto"/>
              </w:rPr>
              <w:t>Operating lease assets</w:t>
            </w:r>
          </w:p>
        </w:tc>
        <w:tc>
          <w:tcPr>
            <w:tcW w:w="1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121,913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87,629</w:t>
            </w:r>
          </w:p>
        </w:tc>
      </w:tr>
      <w:tr>
        <w:trPr>
          <w:trHeight w:val="27"/>
        </w:trPr>
        <w:tc>
          <w:tcPr>
            <w:tcW w:w="84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4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Goodwill</w:t>
            </w:r>
          </w:p>
        </w:tc>
        <w:tc>
          <w:tcPr>
            <w:tcW w:w="1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348,697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348,277</w:t>
            </w:r>
          </w:p>
        </w:tc>
      </w:tr>
      <w:tr>
        <w:trPr>
          <w:trHeight w:val="243"/>
        </w:trPr>
        <w:tc>
          <w:tcPr>
            <w:tcW w:w="8480" w:type="dxa"/>
            <w:vAlign w:val="bottom"/>
          </w:tcPr>
          <w:p>
            <w:pPr>
              <w:ind w:left="220"/>
              <w:spacing w:after="0"/>
              <w:rPr>
                <w:sz w:val="20"/>
                <w:szCs w:val="20"/>
                <w:color w:val="auto"/>
              </w:rPr>
            </w:pPr>
            <w:r>
              <w:rPr>
                <w:rFonts w:ascii="Arial" w:cs="Arial" w:eastAsia="Arial" w:hAnsi="Arial"/>
                <w:sz w:val="18"/>
                <w:szCs w:val="18"/>
                <w:color w:val="auto"/>
              </w:rPr>
              <w:t>Intangible assets, net</w:t>
            </w:r>
          </w:p>
        </w:tc>
        <w:tc>
          <w:tcPr>
            <w:tcW w:w="1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10,145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16,365</w:t>
            </w:r>
          </w:p>
        </w:tc>
      </w:tr>
      <w:tr>
        <w:trPr>
          <w:trHeight w:val="27"/>
        </w:trPr>
        <w:tc>
          <w:tcPr>
            <w:tcW w:w="84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4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Deferred contract costs, non-current</w:t>
            </w:r>
          </w:p>
        </w:tc>
        <w:tc>
          <w:tcPr>
            <w:tcW w:w="1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62,976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55,338</w:t>
            </w:r>
          </w:p>
        </w:tc>
      </w:tr>
      <w:tr>
        <w:trPr>
          <w:trHeight w:val="243"/>
        </w:trPr>
        <w:tc>
          <w:tcPr>
            <w:tcW w:w="8480" w:type="dxa"/>
            <w:vAlign w:val="bottom"/>
          </w:tcPr>
          <w:p>
            <w:pPr>
              <w:ind w:left="220"/>
              <w:spacing w:after="0"/>
              <w:rPr>
                <w:sz w:val="20"/>
                <w:szCs w:val="20"/>
                <w:color w:val="auto"/>
              </w:rPr>
            </w:pPr>
            <w:r>
              <w:rPr>
                <w:rFonts w:ascii="Arial" w:cs="Arial" w:eastAsia="Arial" w:hAnsi="Arial"/>
                <w:sz w:val="18"/>
                <w:szCs w:val="18"/>
                <w:color w:val="auto"/>
              </w:rPr>
              <w:t>Restricted cash</w:t>
            </w:r>
          </w:p>
        </w:tc>
        <w:tc>
          <w:tcPr>
            <w:tcW w:w="180" w:type="dxa"/>
            <w:vAlign w:val="bottom"/>
          </w:tcPr>
          <w:p>
            <w:pPr>
              <w:spacing w:after="0"/>
              <w:rPr>
                <w:sz w:val="21"/>
                <w:szCs w:val="21"/>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3,303</w:t>
            </w:r>
          </w:p>
        </w:tc>
      </w:tr>
      <w:tr>
        <w:trPr>
          <w:trHeight w:val="27"/>
        </w:trPr>
        <w:tc>
          <w:tcPr>
            <w:tcW w:w="84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84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Other assets</w:t>
            </w:r>
          </w:p>
        </w:tc>
        <w:tc>
          <w:tcPr>
            <w:tcW w:w="1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22,398</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24,360</w:t>
            </w:r>
          </w:p>
        </w:tc>
      </w:tr>
      <w:tr>
        <w:trPr>
          <w:trHeight w:val="264"/>
        </w:trPr>
        <w:tc>
          <w:tcPr>
            <w:tcW w:w="8480" w:type="dxa"/>
            <w:vAlign w:val="bottom"/>
          </w:tcPr>
          <w:p>
            <w:pPr>
              <w:ind w:left="220"/>
              <w:spacing w:after="0"/>
              <w:rPr>
                <w:sz w:val="20"/>
                <w:szCs w:val="20"/>
                <w:color w:val="auto"/>
              </w:rPr>
            </w:pPr>
            <w:r>
              <w:rPr>
                <w:rFonts w:ascii="Arial" w:cs="Arial" w:eastAsia="Arial" w:hAnsi="Arial"/>
                <w:sz w:val="18"/>
                <w:szCs w:val="18"/>
                <w:color w:val="auto"/>
              </w:rPr>
              <w:t>TOTAL ASSETS</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3,543,302</w:t>
            </w:r>
          </w:p>
        </w:tc>
        <w:tc>
          <w:tcPr>
            <w:tcW w:w="12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3,004,852</w:t>
            </w:r>
          </w:p>
        </w:tc>
      </w:tr>
      <w:tr>
        <w:trPr>
          <w:trHeight w:val="20"/>
        </w:trPr>
        <w:tc>
          <w:tcPr>
            <w:tcW w:w="84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217"/>
        </w:trPr>
        <w:tc>
          <w:tcPr>
            <w:tcW w:w="8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LIABILITIES AND STOCKHOLDERS' EQUITY</w:t>
            </w:r>
          </w:p>
        </w:tc>
        <w:tc>
          <w:tcPr>
            <w:tcW w:w="18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spacing w:after="0"/>
              <w:rPr>
                <w:sz w:val="18"/>
                <w:szCs w:val="18"/>
                <w:color w:val="auto"/>
              </w:rPr>
            </w:pPr>
          </w:p>
        </w:tc>
      </w:tr>
      <w:tr>
        <w:trPr>
          <w:trHeight w:val="243"/>
        </w:trPr>
        <w:tc>
          <w:tcPr>
            <w:tcW w:w="8480" w:type="dxa"/>
            <w:vAlign w:val="bottom"/>
          </w:tcPr>
          <w:p>
            <w:pPr>
              <w:ind w:left="20"/>
              <w:spacing w:after="0"/>
              <w:rPr>
                <w:sz w:val="20"/>
                <w:szCs w:val="20"/>
                <w:color w:val="auto"/>
              </w:rPr>
            </w:pPr>
            <w:r>
              <w:rPr>
                <w:rFonts w:ascii="Arial" w:cs="Arial" w:eastAsia="Arial" w:hAnsi="Arial"/>
                <w:sz w:val="18"/>
                <w:szCs w:val="18"/>
                <w:color w:val="auto"/>
              </w:rPr>
              <w:t>CURRENT LIABILITIES:</w:t>
            </w:r>
          </w:p>
        </w:tc>
        <w:tc>
          <w:tcPr>
            <w:tcW w:w="1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7"/>
        </w:trPr>
        <w:tc>
          <w:tcPr>
            <w:tcW w:w="84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4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Accounts payable</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85,362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23,474</w:t>
            </w:r>
          </w:p>
        </w:tc>
      </w:tr>
      <w:tr>
        <w:trPr>
          <w:trHeight w:val="243"/>
        </w:trPr>
        <w:tc>
          <w:tcPr>
            <w:tcW w:w="8480" w:type="dxa"/>
            <w:vAlign w:val="bottom"/>
          </w:tcPr>
          <w:p>
            <w:pPr>
              <w:ind w:left="220"/>
              <w:spacing w:after="0"/>
              <w:rPr>
                <w:sz w:val="20"/>
                <w:szCs w:val="20"/>
                <w:color w:val="auto"/>
              </w:rPr>
            </w:pPr>
            <w:r>
              <w:rPr>
                <w:rFonts w:ascii="Arial" w:cs="Arial" w:eastAsia="Arial" w:hAnsi="Arial"/>
                <w:sz w:val="18"/>
                <w:szCs w:val="18"/>
                <w:color w:val="auto"/>
              </w:rPr>
              <w:t>Accrued expenses and other current liabilities</w:t>
            </w:r>
          </w:p>
        </w:tc>
        <w:tc>
          <w:tcPr>
            <w:tcW w:w="1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101,837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171,158</w:t>
            </w:r>
          </w:p>
        </w:tc>
      </w:tr>
      <w:tr>
        <w:trPr>
          <w:trHeight w:val="27"/>
        </w:trPr>
        <w:tc>
          <w:tcPr>
            <w:tcW w:w="84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4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Operating lease liabilities, current</w:t>
            </w:r>
          </w:p>
        </w:tc>
        <w:tc>
          <w:tcPr>
            <w:tcW w:w="1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18,777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22,092</w:t>
            </w:r>
          </w:p>
        </w:tc>
      </w:tr>
      <w:tr>
        <w:trPr>
          <w:trHeight w:val="243"/>
        </w:trPr>
        <w:tc>
          <w:tcPr>
            <w:tcW w:w="8480" w:type="dxa"/>
            <w:vAlign w:val="bottom"/>
          </w:tcPr>
          <w:p>
            <w:pPr>
              <w:ind w:left="220"/>
              <w:spacing w:after="0"/>
              <w:rPr>
                <w:sz w:val="20"/>
                <w:szCs w:val="20"/>
                <w:color w:val="auto"/>
              </w:rPr>
            </w:pPr>
            <w:r>
              <w:rPr>
                <w:rFonts w:ascii="Arial" w:cs="Arial" w:eastAsia="Arial" w:hAnsi="Arial"/>
                <w:sz w:val="18"/>
                <w:szCs w:val="18"/>
                <w:color w:val="auto"/>
              </w:rPr>
              <w:t>Deferred revenue, current</w:t>
            </w:r>
          </w:p>
        </w:tc>
        <w:tc>
          <w:tcPr>
            <w:tcW w:w="1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636,500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543,024</w:t>
            </w:r>
          </w:p>
        </w:tc>
      </w:tr>
      <w:tr>
        <w:trPr>
          <w:trHeight w:val="27"/>
        </w:trPr>
        <w:tc>
          <w:tcPr>
            <w:tcW w:w="84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3"/>
        </w:trPr>
        <w:tc>
          <w:tcPr>
            <w:tcW w:w="848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Total current liabilities</w:t>
            </w:r>
          </w:p>
        </w:tc>
        <w:tc>
          <w:tcPr>
            <w:tcW w:w="1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842,476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759,748</w:t>
            </w:r>
          </w:p>
        </w:tc>
      </w:tr>
      <w:tr>
        <w:trPr>
          <w:trHeight w:val="243"/>
        </w:trPr>
        <w:tc>
          <w:tcPr>
            <w:tcW w:w="8480" w:type="dxa"/>
            <w:vAlign w:val="bottom"/>
          </w:tcPr>
          <w:p>
            <w:pPr>
              <w:ind w:left="220"/>
              <w:spacing w:after="0"/>
              <w:rPr>
                <w:sz w:val="20"/>
                <w:szCs w:val="20"/>
                <w:color w:val="auto"/>
              </w:rPr>
            </w:pPr>
            <w:r>
              <w:rPr>
                <w:rFonts w:ascii="Arial" w:cs="Arial" w:eastAsia="Arial" w:hAnsi="Arial"/>
                <w:sz w:val="18"/>
                <w:szCs w:val="18"/>
                <w:color w:val="auto"/>
              </w:rPr>
              <w:t>Operating lease liabilities, non-current</w:t>
            </w:r>
          </w:p>
        </w:tc>
        <w:tc>
          <w:tcPr>
            <w:tcW w:w="1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127,800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76,582</w:t>
            </w:r>
          </w:p>
        </w:tc>
      </w:tr>
      <w:tr>
        <w:trPr>
          <w:trHeight w:val="27"/>
        </w:trPr>
        <w:tc>
          <w:tcPr>
            <w:tcW w:w="84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4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Convertible senior notes, net</w:t>
            </w:r>
          </w:p>
        </w:tc>
        <w:tc>
          <w:tcPr>
            <w:tcW w:w="1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741,386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738,847</w:t>
            </w:r>
          </w:p>
        </w:tc>
      </w:tr>
      <w:tr>
        <w:trPr>
          <w:trHeight w:val="243"/>
        </w:trPr>
        <w:tc>
          <w:tcPr>
            <w:tcW w:w="8480" w:type="dxa"/>
            <w:vAlign w:val="bottom"/>
          </w:tcPr>
          <w:p>
            <w:pPr>
              <w:ind w:left="220"/>
              <w:spacing w:after="0"/>
              <w:rPr>
                <w:sz w:val="20"/>
                <w:szCs w:val="20"/>
                <w:color w:val="auto"/>
              </w:rPr>
            </w:pPr>
            <w:r>
              <w:rPr>
                <w:rFonts w:ascii="Arial" w:cs="Arial" w:eastAsia="Arial" w:hAnsi="Arial"/>
                <w:sz w:val="18"/>
                <w:szCs w:val="18"/>
                <w:color w:val="auto"/>
              </w:rPr>
              <w:t>Deferred revenue, non-current</w:t>
            </w:r>
          </w:p>
        </w:tc>
        <w:tc>
          <w:tcPr>
            <w:tcW w:w="1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17,505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12,944</w:t>
            </w:r>
          </w:p>
        </w:tc>
      </w:tr>
      <w:tr>
        <w:trPr>
          <w:trHeight w:val="27"/>
        </w:trPr>
        <w:tc>
          <w:tcPr>
            <w:tcW w:w="84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84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Other liabilities</w:t>
            </w:r>
          </w:p>
        </w:tc>
        <w:tc>
          <w:tcPr>
            <w:tcW w:w="1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7,659</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6,226</w:t>
            </w:r>
          </w:p>
        </w:tc>
      </w:tr>
      <w:tr>
        <w:trPr>
          <w:trHeight w:val="237"/>
        </w:trPr>
        <w:tc>
          <w:tcPr>
            <w:tcW w:w="8480" w:type="dxa"/>
            <w:vAlign w:val="bottom"/>
          </w:tcPr>
          <w:p>
            <w:pPr>
              <w:ind w:left="480"/>
              <w:spacing w:after="0"/>
              <w:rPr>
                <w:sz w:val="20"/>
                <w:szCs w:val="20"/>
                <w:color w:val="auto"/>
              </w:rPr>
            </w:pPr>
            <w:r>
              <w:rPr>
                <w:rFonts w:ascii="Arial" w:cs="Arial" w:eastAsia="Arial" w:hAnsi="Arial"/>
                <w:sz w:val="18"/>
                <w:szCs w:val="18"/>
                <w:color w:val="auto"/>
              </w:rPr>
              <w:t>Total liabilities</w:t>
            </w:r>
          </w:p>
        </w:tc>
        <w:tc>
          <w:tcPr>
            <w:tcW w:w="18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1,736,826</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1,594,347</w:t>
            </w:r>
          </w:p>
        </w:tc>
      </w:tr>
      <w:tr>
        <w:trPr>
          <w:trHeight w:val="27"/>
        </w:trPr>
        <w:tc>
          <w:tcPr>
            <w:tcW w:w="84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COMMITMENTS AND CONTINGENCIES (NOTE 8)</w:t>
            </w:r>
          </w:p>
        </w:tc>
        <w:tc>
          <w:tcPr>
            <w:tcW w:w="1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r>
      <w:tr>
        <w:trPr>
          <w:trHeight w:val="243"/>
        </w:trPr>
        <w:tc>
          <w:tcPr>
            <w:tcW w:w="8480" w:type="dxa"/>
            <w:vAlign w:val="bottom"/>
          </w:tcPr>
          <w:p>
            <w:pPr>
              <w:ind w:left="20"/>
              <w:spacing w:after="0"/>
              <w:rPr>
                <w:sz w:val="20"/>
                <w:szCs w:val="20"/>
                <w:color w:val="auto"/>
              </w:rPr>
            </w:pPr>
            <w:r>
              <w:rPr>
                <w:rFonts w:ascii="Arial" w:cs="Arial" w:eastAsia="Arial" w:hAnsi="Arial"/>
                <w:sz w:val="18"/>
                <w:szCs w:val="18"/>
                <w:color w:val="auto"/>
              </w:rPr>
              <w:t>STOCKHOLDERS' EQUITY:</w:t>
            </w:r>
          </w:p>
        </w:tc>
        <w:tc>
          <w:tcPr>
            <w:tcW w:w="1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7"/>
        </w:trPr>
        <w:tc>
          <w:tcPr>
            <w:tcW w:w="84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29"/>
        </w:trPr>
        <w:tc>
          <w:tcPr>
            <w:tcW w:w="848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0"/>
              </w:rPr>
              <w:t>Class A common stock, $0.00001 par value per share; 2,000,000,000 shares authorized as of September 30, 2023</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216"/>
        </w:trPr>
        <w:tc>
          <w:tcPr>
            <w:tcW w:w="848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1"/>
              </w:rPr>
              <w:t>and December 31, 2022; 301,974,045 and 293,573,825 shares issued and outstanding as of September 30, 2023</w:t>
            </w: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r>
      <w:tr>
        <w:trPr>
          <w:trHeight w:val="237"/>
        </w:trPr>
        <w:tc>
          <w:tcPr>
            <w:tcW w:w="84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and December 31, 2022, respectively</w:t>
            </w:r>
          </w:p>
        </w:tc>
        <w:tc>
          <w:tcPr>
            <w:tcW w:w="18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r>
      <w:tr>
        <w:trPr>
          <w:trHeight w:val="229"/>
        </w:trPr>
        <w:tc>
          <w:tcPr>
            <w:tcW w:w="8480" w:type="dxa"/>
            <w:vAlign w:val="bottom"/>
          </w:tcPr>
          <w:p>
            <w:pPr>
              <w:ind w:left="180"/>
              <w:spacing w:after="0"/>
              <w:rPr>
                <w:sz w:val="20"/>
                <w:szCs w:val="20"/>
                <w:color w:val="auto"/>
              </w:rPr>
            </w:pPr>
            <w:r>
              <w:rPr>
                <w:rFonts w:ascii="Arial" w:cs="Arial" w:eastAsia="Arial" w:hAnsi="Arial"/>
                <w:sz w:val="18"/>
                <w:szCs w:val="18"/>
                <w:color w:val="auto"/>
                <w:w w:val="92"/>
              </w:rPr>
              <w:t>Class B common stock, $0.00001 par value per share; 310,000,000 shares authorized as of September 30, 2023</w:t>
            </w:r>
          </w:p>
        </w:tc>
        <w:tc>
          <w:tcPr>
            <w:tcW w:w="1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16"/>
        </w:trPr>
        <w:tc>
          <w:tcPr>
            <w:tcW w:w="8480" w:type="dxa"/>
            <w:vAlign w:val="bottom"/>
          </w:tcPr>
          <w:p>
            <w:pPr>
              <w:ind w:left="180"/>
              <w:spacing w:after="0"/>
              <w:rPr>
                <w:sz w:val="20"/>
                <w:szCs w:val="20"/>
                <w:color w:val="auto"/>
              </w:rPr>
            </w:pPr>
            <w:r>
              <w:rPr>
                <w:rFonts w:ascii="Arial" w:cs="Arial" w:eastAsia="Arial" w:hAnsi="Arial"/>
                <w:sz w:val="18"/>
                <w:szCs w:val="18"/>
                <w:color w:val="auto"/>
                <w:w w:val="90"/>
              </w:rPr>
              <w:t>and December 31, 2022; 26,271,614 and 25,616,018 shares issued and outstanding as of September 30, 2023 and</w:t>
            </w: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30"/>
        </w:trPr>
        <w:tc>
          <w:tcPr>
            <w:tcW w:w="8480" w:type="dxa"/>
            <w:vAlign w:val="bottom"/>
          </w:tcPr>
          <w:p>
            <w:pPr>
              <w:ind w:left="180"/>
              <w:spacing w:after="0"/>
              <w:rPr>
                <w:sz w:val="20"/>
                <w:szCs w:val="20"/>
                <w:color w:val="auto"/>
              </w:rPr>
            </w:pPr>
            <w:r>
              <w:rPr>
                <w:rFonts w:ascii="Arial" w:cs="Arial" w:eastAsia="Arial" w:hAnsi="Arial"/>
                <w:sz w:val="18"/>
                <w:szCs w:val="18"/>
                <w:color w:val="auto"/>
              </w:rPr>
              <w:t>December 31, 2022, respectively</w:t>
            </w:r>
          </w:p>
        </w:tc>
        <w:tc>
          <w:tcPr>
            <w:tcW w:w="180" w:type="dxa"/>
            <w:vAlign w:val="bottom"/>
          </w:tcPr>
          <w:p>
            <w:pPr>
              <w:spacing w:after="0"/>
              <w:rPr>
                <w:sz w:val="20"/>
                <w:szCs w:val="20"/>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84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Additional paid-in capital</w:t>
            </w:r>
          </w:p>
        </w:tc>
        <w:tc>
          <w:tcPr>
            <w:tcW w:w="1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2,028,053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1,625,190</w:t>
            </w:r>
          </w:p>
        </w:tc>
      </w:tr>
      <w:tr>
        <w:trPr>
          <w:trHeight w:val="243"/>
        </w:trPr>
        <w:tc>
          <w:tcPr>
            <w:tcW w:w="8480" w:type="dxa"/>
            <w:vAlign w:val="bottom"/>
          </w:tcPr>
          <w:p>
            <w:pPr>
              <w:ind w:left="20"/>
              <w:spacing w:after="0"/>
              <w:rPr>
                <w:sz w:val="20"/>
                <w:szCs w:val="20"/>
                <w:color w:val="auto"/>
              </w:rPr>
            </w:pPr>
            <w:r>
              <w:rPr>
                <w:rFonts w:ascii="Arial" w:cs="Arial" w:eastAsia="Arial" w:hAnsi="Arial"/>
                <w:sz w:val="18"/>
                <w:szCs w:val="18"/>
                <w:color w:val="auto"/>
              </w:rPr>
              <w:t>Accumulated other comprehensive loss</w:t>
            </w:r>
          </w:p>
        </w:tc>
        <w:tc>
          <w:tcPr>
            <w:tcW w:w="1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(13,889)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(12,422)</w:t>
            </w:r>
          </w:p>
        </w:tc>
      </w:tr>
      <w:tr>
        <w:trPr>
          <w:trHeight w:val="27"/>
        </w:trPr>
        <w:tc>
          <w:tcPr>
            <w:tcW w:w="84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8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Accumulated deficit</w:t>
            </w:r>
          </w:p>
        </w:tc>
        <w:tc>
          <w:tcPr>
            <w:tcW w:w="1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(207,691)</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(202,266)</w:t>
            </w:r>
          </w:p>
        </w:tc>
      </w:tr>
      <w:tr>
        <w:trPr>
          <w:trHeight w:val="236"/>
        </w:trPr>
        <w:tc>
          <w:tcPr>
            <w:tcW w:w="8480" w:type="dxa"/>
            <w:vAlign w:val="bottom"/>
          </w:tcPr>
          <w:p>
            <w:pPr>
              <w:ind w:left="480"/>
              <w:spacing w:after="0"/>
              <w:rPr>
                <w:sz w:val="20"/>
                <w:szCs w:val="20"/>
                <w:color w:val="auto"/>
              </w:rPr>
            </w:pPr>
            <w:r>
              <w:rPr>
                <w:rFonts w:ascii="Arial" w:cs="Arial" w:eastAsia="Arial" w:hAnsi="Arial"/>
                <w:sz w:val="18"/>
                <w:szCs w:val="18"/>
                <w:color w:val="auto"/>
              </w:rPr>
              <w:t>Total stockholders’ equity</w:t>
            </w:r>
          </w:p>
        </w:tc>
        <w:tc>
          <w:tcPr>
            <w:tcW w:w="18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1,806,476</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1,410,505</w:t>
            </w:r>
          </w:p>
        </w:tc>
      </w:tr>
      <w:tr>
        <w:trPr>
          <w:trHeight w:val="27"/>
        </w:trPr>
        <w:tc>
          <w:tcPr>
            <w:tcW w:w="84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88"/>
        </w:trPr>
        <w:tc>
          <w:tcPr>
            <w:tcW w:w="8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LIABILITIES AND STOCKHOLDERS' EQUITY</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3,543,302</w:t>
            </w:r>
          </w:p>
        </w:tc>
        <w:tc>
          <w:tcPr>
            <w:tcW w:w="12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3,004,852</w:t>
            </w:r>
          </w:p>
        </w:tc>
      </w:tr>
      <w:tr>
        <w:trPr>
          <w:trHeight w:val="20"/>
        </w:trPr>
        <w:tc>
          <w:tcPr>
            <w:tcW w:w="84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 to condensed consolidated financial statements.</w:t>
      </w:r>
    </w:p>
    <w:p>
      <w:pPr>
        <w:sectPr>
          <w:pgSz w:w="11900" w:h="16838" w:orient="portrait"/>
          <w:cols w:equalWidth="0" w:num="1">
            <w:col w:w="11240"/>
          </w:cols>
          <w:pgMar w:left="320" w:top="1093" w:right="339" w:bottom="717" w:gutter="0" w:footer="0" w:header="0"/>
        </w:sect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107315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717" w:gutter="0" w:footer="0" w:header="0"/>
          <w:type w:val="continuous"/>
        </w:sectPr>
      </w:pPr>
    </w:p>
    <w:bookmarkStart w:id="4" w:name="page5"/>
    <w:bookmarkEnd w:id="4"/>
    <w:p>
      <w:pPr>
        <w:ind w:left="4940"/>
        <w:spacing w:after="0"/>
        <w:rPr>
          <w:sz w:val="20"/>
          <w:szCs w:val="20"/>
          <w:color w:val="auto"/>
        </w:rPr>
      </w:pPr>
      <w:r>
        <w:rPr>
          <w:rFonts w:ascii="Arial" w:cs="Arial" w:eastAsia="Arial" w:hAnsi="Arial"/>
          <w:sz w:val="18"/>
          <w:szCs w:val="18"/>
          <w:b w:val="1"/>
          <w:bCs w:val="1"/>
          <w:color w:val="auto"/>
        </w:rPr>
        <w:t>DATADOG, INC.</w:t>
      </w:r>
    </w:p>
    <w:p>
      <w:pPr>
        <w:spacing w:after="0" w:line="185" w:lineRule="exact"/>
        <w:rPr>
          <w:sz w:val="20"/>
          <w:szCs w:val="20"/>
          <w:color w:val="auto"/>
        </w:rPr>
      </w:pPr>
    </w:p>
    <w:p>
      <w:pPr>
        <w:ind w:left="2940"/>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 thousands, except per share data)</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(unaudited)</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55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520" w:type="dxa"/>
            <w:vAlign w:val="bottom"/>
            <w:gridSpan w:val="5"/>
          </w:tcPr>
          <w:p>
            <w:pPr>
              <w:ind w:left="400"/>
              <w:spacing w:after="0"/>
              <w:rPr>
                <w:sz w:val="20"/>
                <w:szCs w:val="20"/>
                <w:color w:val="auto"/>
              </w:rPr>
            </w:pPr>
            <w:r>
              <w:rPr>
                <w:rFonts w:ascii="Arial" w:cs="Arial" w:eastAsia="Arial" w:hAnsi="Arial"/>
                <w:sz w:val="14"/>
                <w:szCs w:val="14"/>
                <w:b w:val="1"/>
                <w:bCs w:val="1"/>
                <w:color w:val="auto"/>
              </w:rPr>
              <w:t>Three Months Ended</w:t>
            </w:r>
          </w:p>
        </w:tc>
        <w:tc>
          <w:tcPr>
            <w:tcW w:w="300" w:type="dxa"/>
            <w:vAlign w:val="bottom"/>
          </w:tcPr>
          <w:p>
            <w:pPr>
              <w:spacing w:after="0"/>
              <w:rPr>
                <w:sz w:val="15"/>
                <w:szCs w:val="15"/>
                <w:color w:val="auto"/>
              </w:rPr>
            </w:pPr>
          </w:p>
        </w:tc>
        <w:tc>
          <w:tcPr>
            <w:tcW w:w="2440" w:type="dxa"/>
            <w:vAlign w:val="bottom"/>
            <w:gridSpan w:val="4"/>
          </w:tcPr>
          <w:p>
            <w:pPr>
              <w:jc w:val="right"/>
              <w:ind w:right="671"/>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86"/>
        </w:trPr>
        <w:tc>
          <w:tcPr>
            <w:tcW w:w="55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560" w:type="dxa"/>
            <w:vAlign w:val="bottom"/>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580" w:type="dxa"/>
            <w:vAlign w:val="bottom"/>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9"/>
        </w:trPr>
        <w:tc>
          <w:tcPr>
            <w:tcW w:w="5560" w:type="dxa"/>
            <w:vAlign w:val="bottom"/>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4"/>
        </w:trPr>
        <w:tc>
          <w:tcPr>
            <w:tcW w:w="55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jc w:val="right"/>
              <w:ind w:right="432"/>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60" w:type="dxa"/>
            <w:vAlign w:val="bottom"/>
          </w:tcPr>
          <w:p>
            <w:pPr>
              <w:jc w:val="right"/>
              <w:ind w:right="431"/>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ind w:right="432"/>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60" w:type="dxa"/>
            <w:vAlign w:val="bottom"/>
          </w:tcPr>
          <w:p>
            <w:pPr>
              <w:jc w:val="right"/>
              <w:ind w:right="431"/>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39"/>
        </w:trPr>
        <w:tc>
          <w:tcPr>
            <w:tcW w:w="556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4"/>
        </w:trPr>
        <w:tc>
          <w:tcPr>
            <w:tcW w:w="5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547,536</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436,533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1,538,710</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7"/>
              </w:rPr>
              <w:t>1,205,701</w:t>
            </w:r>
          </w:p>
        </w:tc>
        <w:tc>
          <w:tcPr>
            <w:tcW w:w="0" w:type="dxa"/>
            <w:vAlign w:val="bottom"/>
          </w:tcPr>
          <w:p>
            <w:pPr>
              <w:spacing w:after="0"/>
              <w:rPr>
                <w:sz w:val="1"/>
                <w:szCs w:val="1"/>
                <w:color w:val="auto"/>
              </w:rPr>
            </w:pPr>
          </w:p>
        </w:tc>
      </w:tr>
      <w:tr>
        <w:trPr>
          <w:trHeight w:val="243"/>
        </w:trPr>
        <w:tc>
          <w:tcPr>
            <w:tcW w:w="5560" w:type="dxa"/>
            <w:vAlign w:val="bottom"/>
          </w:tcPr>
          <w:p>
            <w:pPr>
              <w:ind w:left="20"/>
              <w:spacing w:after="0"/>
              <w:rPr>
                <w:sz w:val="20"/>
                <w:szCs w:val="20"/>
                <w:color w:val="auto"/>
              </w:rPr>
            </w:pPr>
            <w:r>
              <w:rPr>
                <w:rFonts w:ascii="Arial" w:cs="Arial" w:eastAsia="Arial" w:hAnsi="Arial"/>
                <w:sz w:val="18"/>
                <w:szCs w:val="18"/>
                <w:color w:val="auto"/>
              </w:rPr>
              <w:t>Cost of revenue</w:t>
            </w: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103,319</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93,599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305,079</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249,986</w:t>
            </w:r>
          </w:p>
        </w:tc>
        <w:tc>
          <w:tcPr>
            <w:tcW w:w="0" w:type="dxa"/>
            <w:vAlign w:val="bottom"/>
          </w:tcPr>
          <w:p>
            <w:pPr>
              <w:spacing w:after="0"/>
              <w:rPr>
                <w:sz w:val="1"/>
                <w:szCs w:val="1"/>
                <w:color w:val="auto"/>
              </w:rPr>
            </w:pPr>
          </w:p>
        </w:tc>
      </w:tr>
      <w:tr>
        <w:trPr>
          <w:trHeight w:val="27"/>
        </w:trPr>
        <w:tc>
          <w:tcPr>
            <w:tcW w:w="55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5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Gross profit</w:t>
            </w: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444,217</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342,934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1,233,631</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955,715</w:t>
            </w:r>
          </w:p>
        </w:tc>
        <w:tc>
          <w:tcPr>
            <w:tcW w:w="0" w:type="dxa"/>
            <w:vAlign w:val="bottom"/>
          </w:tcPr>
          <w:p>
            <w:pPr>
              <w:spacing w:after="0"/>
              <w:rPr>
                <w:sz w:val="1"/>
                <w:szCs w:val="1"/>
                <w:color w:val="auto"/>
              </w:rPr>
            </w:pPr>
          </w:p>
        </w:tc>
      </w:tr>
      <w:tr>
        <w:trPr>
          <w:trHeight w:val="243"/>
        </w:trPr>
        <w:tc>
          <w:tcPr>
            <w:tcW w:w="556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3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5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Research and development</w:t>
            </w: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240,225</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205,388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709,197</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533,695</w:t>
            </w:r>
          </w:p>
        </w:tc>
        <w:tc>
          <w:tcPr>
            <w:tcW w:w="0" w:type="dxa"/>
            <w:vAlign w:val="bottom"/>
          </w:tcPr>
          <w:p>
            <w:pPr>
              <w:spacing w:after="0"/>
              <w:rPr>
                <w:sz w:val="1"/>
                <w:szCs w:val="1"/>
                <w:color w:val="auto"/>
              </w:rPr>
            </w:pPr>
          </w:p>
        </w:tc>
      </w:tr>
      <w:tr>
        <w:trPr>
          <w:trHeight w:val="243"/>
        </w:trPr>
        <w:tc>
          <w:tcPr>
            <w:tcW w:w="5560" w:type="dxa"/>
            <w:vAlign w:val="bottom"/>
          </w:tcPr>
          <w:p>
            <w:pPr>
              <w:ind w:left="220"/>
              <w:spacing w:after="0"/>
              <w:rPr>
                <w:sz w:val="20"/>
                <w:szCs w:val="20"/>
                <w:color w:val="auto"/>
              </w:rPr>
            </w:pPr>
            <w:r>
              <w:rPr>
                <w:rFonts w:ascii="Arial" w:cs="Arial" w:eastAsia="Arial" w:hAnsi="Arial"/>
                <w:sz w:val="18"/>
                <w:szCs w:val="18"/>
                <w:color w:val="auto"/>
              </w:rPr>
              <w:t>Sales and marketing</w:t>
            </w: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156,870</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129,493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449,296</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345,929</w:t>
            </w:r>
          </w:p>
        </w:tc>
        <w:tc>
          <w:tcPr>
            <w:tcW w:w="0" w:type="dxa"/>
            <w:vAlign w:val="bottom"/>
          </w:tcPr>
          <w:p>
            <w:pPr>
              <w:spacing w:after="0"/>
              <w:rPr>
                <w:sz w:val="1"/>
                <w:szCs w:val="1"/>
                <w:color w:val="auto"/>
              </w:rPr>
            </w:pPr>
          </w:p>
        </w:tc>
      </w:tr>
      <w:tr>
        <w:trPr>
          <w:trHeight w:val="27"/>
        </w:trPr>
        <w:tc>
          <w:tcPr>
            <w:tcW w:w="55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5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General and administrative</w:t>
            </w:r>
          </w:p>
        </w:tc>
        <w:tc>
          <w:tcPr>
            <w:tcW w:w="3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51,352</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39,395</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136,344</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100,158</w:t>
            </w:r>
          </w:p>
        </w:tc>
        <w:tc>
          <w:tcPr>
            <w:tcW w:w="0" w:type="dxa"/>
            <w:vAlign w:val="bottom"/>
          </w:tcPr>
          <w:p>
            <w:pPr>
              <w:spacing w:after="0"/>
              <w:rPr>
                <w:sz w:val="1"/>
                <w:szCs w:val="1"/>
                <w:color w:val="auto"/>
              </w:rPr>
            </w:pPr>
          </w:p>
        </w:tc>
      </w:tr>
      <w:tr>
        <w:trPr>
          <w:trHeight w:val="237"/>
        </w:trPr>
        <w:tc>
          <w:tcPr>
            <w:tcW w:w="5560" w:type="dxa"/>
            <w:vAlign w:val="bottom"/>
          </w:tcPr>
          <w:p>
            <w:pPr>
              <w:ind w:left="480"/>
              <w:spacing w:after="0"/>
              <w:rPr>
                <w:sz w:val="20"/>
                <w:szCs w:val="20"/>
                <w:color w:val="auto"/>
              </w:rPr>
            </w:pPr>
            <w:r>
              <w:rPr>
                <w:rFonts w:ascii="Arial" w:cs="Arial" w:eastAsia="Arial" w:hAnsi="Arial"/>
                <w:sz w:val="18"/>
                <w:szCs w:val="18"/>
                <w:color w:val="auto"/>
              </w:rPr>
              <w:t>Total operating expenses</w:t>
            </w:r>
          </w:p>
        </w:tc>
        <w:tc>
          <w:tcPr>
            <w:tcW w:w="32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448,447</w:t>
            </w:r>
          </w:p>
        </w:tc>
        <w:tc>
          <w:tcPr>
            <w:tcW w:w="10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374,276</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1,294,837</w:t>
            </w:r>
          </w:p>
        </w:tc>
        <w:tc>
          <w:tcPr>
            <w:tcW w:w="10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979,782</w:t>
            </w:r>
          </w:p>
        </w:tc>
        <w:tc>
          <w:tcPr>
            <w:tcW w:w="0" w:type="dxa"/>
            <w:vAlign w:val="bottom"/>
          </w:tcPr>
          <w:p>
            <w:pPr>
              <w:spacing w:after="0"/>
              <w:rPr>
                <w:sz w:val="1"/>
                <w:szCs w:val="1"/>
                <w:color w:val="auto"/>
              </w:rPr>
            </w:pPr>
          </w:p>
        </w:tc>
      </w:tr>
      <w:tr>
        <w:trPr>
          <w:trHeight w:val="27"/>
        </w:trPr>
        <w:tc>
          <w:tcPr>
            <w:tcW w:w="55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5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loss</w:t>
            </w: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(4,230)</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(31,342)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(61,206)</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(24,067)</w:t>
            </w:r>
          </w:p>
        </w:tc>
        <w:tc>
          <w:tcPr>
            <w:tcW w:w="0" w:type="dxa"/>
            <w:vAlign w:val="bottom"/>
          </w:tcPr>
          <w:p>
            <w:pPr>
              <w:spacing w:after="0"/>
              <w:rPr>
                <w:sz w:val="1"/>
                <w:szCs w:val="1"/>
                <w:color w:val="auto"/>
              </w:rPr>
            </w:pPr>
          </w:p>
        </w:tc>
      </w:tr>
      <w:tr>
        <w:trPr>
          <w:trHeight w:val="243"/>
        </w:trPr>
        <w:tc>
          <w:tcPr>
            <w:tcW w:w="5560" w:type="dxa"/>
            <w:vAlign w:val="bottom"/>
          </w:tcPr>
          <w:p>
            <w:pPr>
              <w:ind w:left="20"/>
              <w:spacing w:after="0"/>
              <w:rPr>
                <w:sz w:val="20"/>
                <w:szCs w:val="20"/>
                <w:color w:val="auto"/>
              </w:rPr>
            </w:pPr>
            <w:r>
              <w:rPr>
                <w:rFonts w:ascii="Arial" w:cs="Arial" w:eastAsia="Arial" w:hAnsi="Arial"/>
                <w:sz w:val="18"/>
                <w:szCs w:val="18"/>
                <w:color w:val="auto"/>
              </w:rPr>
              <w:t>Other income (loss):</w:t>
            </w:r>
          </w:p>
        </w:tc>
        <w:tc>
          <w:tcPr>
            <w:tcW w:w="3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5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Interest expense</w:t>
            </w: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(1,303)</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(3,728)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(5,010)</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(13,516)</w:t>
            </w:r>
          </w:p>
        </w:tc>
        <w:tc>
          <w:tcPr>
            <w:tcW w:w="0" w:type="dxa"/>
            <w:vAlign w:val="bottom"/>
          </w:tcPr>
          <w:p>
            <w:pPr>
              <w:spacing w:after="0"/>
              <w:rPr>
                <w:sz w:val="1"/>
                <w:szCs w:val="1"/>
                <w:color w:val="auto"/>
              </w:rPr>
            </w:pPr>
          </w:p>
        </w:tc>
      </w:tr>
      <w:tr>
        <w:trPr>
          <w:trHeight w:val="243"/>
        </w:trPr>
        <w:tc>
          <w:tcPr>
            <w:tcW w:w="5560" w:type="dxa"/>
            <w:vAlign w:val="bottom"/>
          </w:tcPr>
          <w:p>
            <w:pPr>
              <w:ind w:left="220"/>
              <w:spacing w:after="0"/>
              <w:rPr>
                <w:sz w:val="20"/>
                <w:szCs w:val="20"/>
                <w:color w:val="auto"/>
              </w:rPr>
            </w:pPr>
            <w:r>
              <w:rPr>
                <w:rFonts w:ascii="Arial" w:cs="Arial" w:eastAsia="Arial" w:hAnsi="Arial"/>
                <w:sz w:val="18"/>
                <w:szCs w:val="18"/>
                <w:color w:val="auto"/>
              </w:rPr>
              <w:t>Interest income and other income, net</w:t>
            </w: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29,833</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12,011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69,184</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25,367</w:t>
            </w:r>
          </w:p>
        </w:tc>
        <w:tc>
          <w:tcPr>
            <w:tcW w:w="0" w:type="dxa"/>
            <w:vAlign w:val="bottom"/>
          </w:tcPr>
          <w:p>
            <w:pPr>
              <w:spacing w:after="0"/>
              <w:rPr>
                <w:sz w:val="1"/>
                <w:szCs w:val="1"/>
                <w:color w:val="auto"/>
              </w:rPr>
            </w:pPr>
          </w:p>
        </w:tc>
      </w:tr>
      <w:tr>
        <w:trPr>
          <w:trHeight w:val="27"/>
        </w:trPr>
        <w:tc>
          <w:tcPr>
            <w:tcW w:w="55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556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Other income, net</w:t>
            </w:r>
          </w:p>
        </w:tc>
        <w:tc>
          <w:tcPr>
            <w:tcW w:w="32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28,530</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8,283</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64,174</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11,851</w:t>
            </w:r>
          </w:p>
        </w:tc>
        <w:tc>
          <w:tcPr>
            <w:tcW w:w="0" w:type="dxa"/>
            <w:vAlign w:val="bottom"/>
          </w:tcPr>
          <w:p>
            <w:pPr>
              <w:spacing w:after="0"/>
              <w:rPr>
                <w:sz w:val="1"/>
                <w:szCs w:val="1"/>
                <w:color w:val="auto"/>
              </w:rPr>
            </w:pPr>
          </w:p>
        </w:tc>
      </w:tr>
      <w:tr>
        <w:trPr>
          <w:trHeight w:val="237"/>
        </w:trPr>
        <w:tc>
          <w:tcPr>
            <w:tcW w:w="5560" w:type="dxa"/>
            <w:vAlign w:val="bottom"/>
          </w:tcPr>
          <w:p>
            <w:pPr>
              <w:ind w:left="20"/>
              <w:spacing w:after="0"/>
              <w:rPr>
                <w:sz w:val="20"/>
                <w:szCs w:val="20"/>
                <w:color w:val="auto"/>
              </w:rPr>
            </w:pPr>
            <w:r>
              <w:rPr>
                <w:rFonts w:ascii="Arial" w:cs="Arial" w:eastAsia="Arial" w:hAnsi="Arial"/>
                <w:sz w:val="18"/>
                <w:szCs w:val="18"/>
                <w:color w:val="auto"/>
              </w:rPr>
              <w:t>Income (loss) before provision for income taxes</w:t>
            </w:r>
          </w:p>
        </w:tc>
        <w:tc>
          <w:tcPr>
            <w:tcW w:w="32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24,300</w:t>
            </w:r>
          </w:p>
        </w:tc>
        <w:tc>
          <w:tcPr>
            <w:tcW w:w="10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(23,059)</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2,968</w:t>
            </w:r>
          </w:p>
        </w:tc>
        <w:tc>
          <w:tcPr>
            <w:tcW w:w="10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(12,216)</w:t>
            </w:r>
          </w:p>
        </w:tc>
        <w:tc>
          <w:tcPr>
            <w:tcW w:w="0" w:type="dxa"/>
            <w:vAlign w:val="bottom"/>
          </w:tcPr>
          <w:p>
            <w:pPr>
              <w:spacing w:after="0"/>
              <w:rPr>
                <w:sz w:val="1"/>
                <w:szCs w:val="1"/>
                <w:color w:val="auto"/>
              </w:rPr>
            </w:pPr>
          </w:p>
        </w:tc>
      </w:tr>
      <w:tr>
        <w:trPr>
          <w:trHeight w:val="27"/>
        </w:trPr>
        <w:tc>
          <w:tcPr>
            <w:tcW w:w="55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Provision for income taxes</w:t>
            </w:r>
          </w:p>
        </w:tc>
        <w:tc>
          <w:tcPr>
            <w:tcW w:w="3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(1,670)</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(2,926)</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(8,393)</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(8,910)</w:t>
            </w:r>
          </w:p>
        </w:tc>
        <w:tc>
          <w:tcPr>
            <w:tcW w:w="0" w:type="dxa"/>
            <w:vAlign w:val="bottom"/>
          </w:tcPr>
          <w:p>
            <w:pPr>
              <w:spacing w:after="0"/>
              <w:rPr>
                <w:sz w:val="1"/>
                <w:szCs w:val="1"/>
                <w:color w:val="auto"/>
              </w:rPr>
            </w:pPr>
          </w:p>
        </w:tc>
      </w:tr>
      <w:tr>
        <w:trPr>
          <w:trHeight w:val="264"/>
        </w:trPr>
        <w:tc>
          <w:tcPr>
            <w:tcW w:w="5560" w:type="dxa"/>
            <w:vAlign w:val="bottom"/>
          </w:tcPr>
          <w:p>
            <w:pPr>
              <w:ind w:left="20"/>
              <w:spacing w:after="0"/>
              <w:rPr>
                <w:sz w:val="20"/>
                <w:szCs w:val="20"/>
                <w:color w:val="auto"/>
              </w:rPr>
            </w:pPr>
            <w:r>
              <w:rPr>
                <w:rFonts w:ascii="Arial" w:cs="Arial" w:eastAsia="Arial" w:hAnsi="Arial"/>
                <w:sz w:val="18"/>
                <w:szCs w:val="18"/>
                <w:color w:val="auto"/>
              </w:rPr>
              <w:t>Net income (loss)</w:t>
            </w: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22,630</w:t>
            </w:r>
          </w:p>
        </w:tc>
        <w:tc>
          <w:tcPr>
            <w:tcW w:w="100" w:type="dxa"/>
            <w:vAlign w:val="bottom"/>
          </w:tcPr>
          <w:p>
            <w:pPr>
              <w:spacing w:after="0"/>
              <w:rPr>
                <w:sz w:val="22"/>
                <w:szCs w:val="22"/>
                <w:color w:val="auto"/>
              </w:rPr>
            </w:pPr>
          </w:p>
        </w:tc>
        <w:tc>
          <w:tcPr>
            <w:tcW w:w="46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(25,985)</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(5,425)</w:t>
            </w:r>
          </w:p>
        </w:tc>
        <w:tc>
          <w:tcPr>
            <w:tcW w:w="100" w:type="dxa"/>
            <w:vAlign w:val="bottom"/>
          </w:tcPr>
          <w:p>
            <w:pPr>
              <w:spacing w:after="0"/>
              <w:rPr>
                <w:sz w:val="22"/>
                <w:szCs w:val="22"/>
                <w:color w:val="auto"/>
              </w:rPr>
            </w:pPr>
          </w:p>
        </w:tc>
        <w:tc>
          <w:tcPr>
            <w:tcW w:w="46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(21,126)</w:t>
            </w:r>
          </w:p>
        </w:tc>
        <w:tc>
          <w:tcPr>
            <w:tcW w:w="0" w:type="dxa"/>
            <w:vAlign w:val="bottom"/>
          </w:tcPr>
          <w:p>
            <w:pPr>
              <w:spacing w:after="0"/>
              <w:rPr>
                <w:sz w:val="1"/>
                <w:szCs w:val="1"/>
                <w:color w:val="auto"/>
              </w:rPr>
            </w:pPr>
          </w:p>
        </w:tc>
      </w:tr>
      <w:tr>
        <w:trPr>
          <w:trHeight w:val="20"/>
        </w:trPr>
        <w:tc>
          <w:tcPr>
            <w:tcW w:w="556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9"/>
        </w:trPr>
        <w:tc>
          <w:tcPr>
            <w:tcW w:w="5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 (loss) attributable to common stockholders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22,630</w:t>
            </w:r>
          </w:p>
        </w:tc>
        <w:tc>
          <w:tcPr>
            <w:tcW w:w="100" w:type="dxa"/>
            <w:vAlign w:val="bottom"/>
            <w:tcBorders>
              <w:bottom w:val="single" w:sz="8" w:color="CCEEFF"/>
            </w:tcBorders>
            <w:shd w:val="clear" w:color="auto" w:fill="CCEEFF"/>
          </w:tcPr>
          <w:p>
            <w:pPr>
              <w:spacing w:after="0"/>
              <w:rPr>
                <w:sz w:val="24"/>
                <w:szCs w:val="24"/>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(25,985)</w:t>
            </w:r>
          </w:p>
        </w:tc>
        <w:tc>
          <w:tcPr>
            <w:tcW w:w="10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(5,425)</w:t>
            </w:r>
          </w:p>
        </w:tc>
        <w:tc>
          <w:tcPr>
            <w:tcW w:w="100" w:type="dxa"/>
            <w:vAlign w:val="bottom"/>
            <w:tcBorders>
              <w:bottom w:val="single" w:sz="8" w:color="CCEEFF"/>
            </w:tcBorders>
            <w:shd w:val="clear" w:color="auto" w:fill="CCEEFF"/>
          </w:tcPr>
          <w:p>
            <w:pPr>
              <w:spacing w:after="0"/>
              <w:rPr>
                <w:sz w:val="24"/>
                <w:szCs w:val="24"/>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(21,126)</w:t>
            </w:r>
          </w:p>
        </w:tc>
        <w:tc>
          <w:tcPr>
            <w:tcW w:w="0" w:type="dxa"/>
            <w:vAlign w:val="bottom"/>
          </w:tcPr>
          <w:p>
            <w:pPr>
              <w:spacing w:after="0"/>
              <w:rPr>
                <w:sz w:val="1"/>
                <w:szCs w:val="1"/>
                <w:color w:val="auto"/>
              </w:rPr>
            </w:pPr>
          </w:p>
        </w:tc>
      </w:tr>
      <w:tr>
        <w:trPr>
          <w:trHeight w:val="20"/>
        </w:trPr>
        <w:tc>
          <w:tcPr>
            <w:tcW w:w="55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Basic net income (loss) per share</w:t>
            </w: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5560" w:type="dxa"/>
            <w:vAlign w:val="bottom"/>
            <w:vMerge w:val="continue"/>
          </w:tcPr>
          <w:p>
            <w:pPr>
              <w:spacing w:after="0"/>
              <w:rPr>
                <w:sz w:val="18"/>
                <w:szCs w:val="18"/>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0.07</w:t>
            </w:r>
          </w:p>
        </w:tc>
        <w:tc>
          <w:tcPr>
            <w:tcW w:w="100" w:type="dxa"/>
            <w:vAlign w:val="bottom"/>
          </w:tcPr>
          <w:p>
            <w:pPr>
              <w:spacing w:after="0"/>
              <w:rPr>
                <w:sz w:val="18"/>
                <w:szCs w:val="18"/>
                <w:color w:val="auto"/>
              </w:rPr>
            </w:pPr>
          </w:p>
        </w:tc>
        <w:tc>
          <w:tcPr>
            <w:tcW w:w="4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(0.08)</w:t>
            </w:r>
          </w:p>
        </w:tc>
        <w:tc>
          <w:tcPr>
            <w:tcW w:w="100" w:type="dxa"/>
            <w:vAlign w:val="bottom"/>
          </w:tcPr>
          <w:p>
            <w:pPr>
              <w:spacing w:after="0"/>
              <w:rPr>
                <w:sz w:val="18"/>
                <w:szCs w:val="18"/>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(0.02)</w:t>
            </w:r>
          </w:p>
        </w:tc>
        <w:tc>
          <w:tcPr>
            <w:tcW w:w="100" w:type="dxa"/>
            <w:vAlign w:val="bottom"/>
          </w:tcPr>
          <w:p>
            <w:pPr>
              <w:spacing w:after="0"/>
              <w:rPr>
                <w:sz w:val="18"/>
                <w:szCs w:val="18"/>
                <w:color w:val="auto"/>
              </w:rPr>
            </w:pPr>
          </w:p>
        </w:tc>
        <w:tc>
          <w:tcPr>
            <w:tcW w:w="4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(0.07)</w:t>
            </w:r>
          </w:p>
        </w:tc>
        <w:tc>
          <w:tcPr>
            <w:tcW w:w="0" w:type="dxa"/>
            <w:vAlign w:val="bottom"/>
          </w:tcPr>
          <w:p>
            <w:pPr>
              <w:spacing w:after="0"/>
              <w:rPr>
                <w:sz w:val="1"/>
                <w:szCs w:val="1"/>
                <w:color w:val="auto"/>
              </w:rPr>
            </w:pPr>
          </w:p>
        </w:tc>
      </w:tr>
      <w:tr>
        <w:trPr>
          <w:trHeight w:val="20"/>
        </w:trPr>
        <w:tc>
          <w:tcPr>
            <w:tcW w:w="556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5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Diluted net income (loss) per share</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0.06</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(0.02)</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(0.07)</w:t>
            </w:r>
          </w:p>
        </w:tc>
        <w:tc>
          <w:tcPr>
            <w:tcW w:w="0" w:type="dxa"/>
            <w:vAlign w:val="bottom"/>
          </w:tcPr>
          <w:p>
            <w:pPr>
              <w:spacing w:after="0"/>
              <w:rPr>
                <w:sz w:val="1"/>
                <w:szCs w:val="1"/>
                <w:color w:val="auto"/>
              </w:rPr>
            </w:pPr>
          </w:p>
        </w:tc>
      </w:tr>
      <w:tr>
        <w:trPr>
          <w:trHeight w:val="20"/>
        </w:trPr>
        <w:tc>
          <w:tcPr>
            <w:tcW w:w="5560" w:type="dxa"/>
            <w:vAlign w:val="bottom"/>
            <w:tcBorders>
              <w:top w:val="single" w:sz="8" w:color="CCEEFF"/>
              <w:bottom w:val="single" w:sz="8" w:color="CCEEFF"/>
            </w:tcBorders>
            <w:vMerge w:val="restart"/>
          </w:tcPr>
          <w:p>
            <w:pPr>
              <w:ind w:left="20"/>
              <w:spacing w:after="0" w:line="163" w:lineRule="exact"/>
              <w:rPr>
                <w:sz w:val="20"/>
                <w:szCs w:val="20"/>
                <w:color w:val="auto"/>
              </w:rPr>
            </w:pPr>
            <w:r>
              <w:rPr>
                <w:rFonts w:ascii="Arial" w:cs="Arial" w:eastAsia="Arial" w:hAnsi="Arial"/>
                <w:sz w:val="18"/>
                <w:szCs w:val="18"/>
                <w:color w:val="auto"/>
                <w:w w:val="95"/>
              </w:rPr>
              <w:t>Weighted average shares used in calculating basic net income (loss) per</w:t>
            </w: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3"/>
        </w:trPr>
        <w:tc>
          <w:tcPr>
            <w:tcW w:w="5560" w:type="dxa"/>
            <w:vAlign w:val="bottom"/>
            <w:vMerge w:val="continue"/>
          </w:tcPr>
          <w:p>
            <w:pPr>
              <w:spacing w:after="0"/>
              <w:rPr>
                <w:sz w:val="10"/>
                <w:szCs w:val="10"/>
                <w:color w:val="auto"/>
              </w:rPr>
            </w:pPr>
          </w:p>
        </w:tc>
        <w:tc>
          <w:tcPr>
            <w:tcW w:w="320" w:type="dxa"/>
            <w:vAlign w:val="bottom"/>
          </w:tcPr>
          <w:p>
            <w:pPr>
              <w:spacing w:after="0"/>
              <w:rPr>
                <w:sz w:val="10"/>
                <w:szCs w:val="10"/>
                <w:color w:val="auto"/>
              </w:rPr>
            </w:pPr>
          </w:p>
        </w:tc>
        <w:tc>
          <w:tcPr>
            <w:tcW w:w="1000" w:type="dxa"/>
            <w:vAlign w:val="bottom"/>
            <w:vMerge w:val="restart"/>
          </w:tcPr>
          <w:p>
            <w:pPr>
              <w:jc w:val="right"/>
              <w:spacing w:after="0"/>
              <w:rPr>
                <w:sz w:val="20"/>
                <w:szCs w:val="20"/>
                <w:color w:val="auto"/>
              </w:rPr>
            </w:pPr>
            <w:r>
              <w:rPr>
                <w:rFonts w:ascii="Arial" w:cs="Arial" w:eastAsia="Arial" w:hAnsi="Arial"/>
                <w:sz w:val="18"/>
                <w:szCs w:val="18"/>
                <w:color w:val="auto"/>
              </w:rPr>
              <w:t>325,557</w:t>
            </w:r>
          </w:p>
        </w:tc>
        <w:tc>
          <w:tcPr>
            <w:tcW w:w="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60" w:type="dxa"/>
            <w:vAlign w:val="bottom"/>
            <w:vMerge w:val="restart"/>
          </w:tcPr>
          <w:p>
            <w:pPr>
              <w:jc w:val="right"/>
              <w:spacing w:after="0"/>
              <w:rPr>
                <w:sz w:val="20"/>
                <w:szCs w:val="20"/>
                <w:color w:val="auto"/>
              </w:rPr>
            </w:pPr>
            <w:r>
              <w:rPr>
                <w:rFonts w:ascii="Arial" w:cs="Arial" w:eastAsia="Arial" w:hAnsi="Arial"/>
                <w:sz w:val="18"/>
                <w:szCs w:val="18"/>
                <w:color w:val="auto"/>
              </w:rPr>
              <w:t>315,990</w:t>
            </w: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20" w:type="dxa"/>
            <w:vAlign w:val="bottom"/>
            <w:vMerge w:val="restart"/>
          </w:tcPr>
          <w:p>
            <w:pPr>
              <w:jc w:val="right"/>
              <w:spacing w:after="0"/>
              <w:rPr>
                <w:sz w:val="20"/>
                <w:szCs w:val="20"/>
                <w:color w:val="auto"/>
              </w:rPr>
            </w:pPr>
            <w:r>
              <w:rPr>
                <w:rFonts w:ascii="Arial" w:cs="Arial" w:eastAsia="Arial" w:hAnsi="Arial"/>
                <w:sz w:val="18"/>
                <w:szCs w:val="18"/>
                <w:color w:val="auto"/>
              </w:rPr>
              <w:t>322,395</w:t>
            </w:r>
          </w:p>
        </w:tc>
        <w:tc>
          <w:tcPr>
            <w:tcW w:w="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60" w:type="dxa"/>
            <w:vAlign w:val="bottom"/>
            <w:vMerge w:val="restart"/>
          </w:tcPr>
          <w:p>
            <w:pPr>
              <w:jc w:val="right"/>
              <w:spacing w:after="0"/>
              <w:rPr>
                <w:sz w:val="20"/>
                <w:szCs w:val="20"/>
                <w:color w:val="auto"/>
              </w:rPr>
            </w:pPr>
            <w:r>
              <w:rPr>
                <w:rFonts w:ascii="Arial" w:cs="Arial" w:eastAsia="Arial" w:hAnsi="Arial"/>
                <w:sz w:val="18"/>
                <w:szCs w:val="18"/>
                <w:color w:val="auto"/>
              </w:rPr>
              <w:t>314,753</w:t>
            </w:r>
          </w:p>
        </w:tc>
        <w:tc>
          <w:tcPr>
            <w:tcW w:w="0" w:type="dxa"/>
            <w:vAlign w:val="bottom"/>
          </w:tcPr>
          <w:p>
            <w:pPr>
              <w:spacing w:after="0"/>
              <w:rPr>
                <w:sz w:val="1"/>
                <w:szCs w:val="1"/>
                <w:color w:val="auto"/>
              </w:rPr>
            </w:pPr>
          </w:p>
        </w:tc>
      </w:tr>
      <w:tr>
        <w:trPr>
          <w:trHeight w:val="216"/>
        </w:trPr>
        <w:tc>
          <w:tcPr>
            <w:tcW w:w="5560" w:type="dxa"/>
            <w:vAlign w:val="bottom"/>
          </w:tcPr>
          <w:p>
            <w:pPr>
              <w:ind w:left="20"/>
              <w:spacing w:after="0"/>
              <w:rPr>
                <w:sz w:val="20"/>
                <w:szCs w:val="20"/>
                <w:color w:val="auto"/>
              </w:rPr>
            </w:pPr>
            <w:r>
              <w:rPr>
                <w:rFonts w:ascii="Arial" w:cs="Arial" w:eastAsia="Arial" w:hAnsi="Arial"/>
                <w:sz w:val="18"/>
                <w:szCs w:val="18"/>
                <w:color w:val="auto"/>
              </w:rPr>
              <w:t>share:</w:t>
            </w:r>
          </w:p>
        </w:tc>
        <w:tc>
          <w:tcPr>
            <w:tcW w:w="3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56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5560" w:type="dxa"/>
            <w:vAlign w:val="bottom"/>
            <w:shd w:val="clear" w:color="auto" w:fill="CCEEFF"/>
          </w:tcPr>
          <w:p>
            <w:pPr>
              <w:ind w:left="20"/>
              <w:spacing w:after="0" w:line="142" w:lineRule="exact"/>
              <w:rPr>
                <w:sz w:val="20"/>
                <w:szCs w:val="20"/>
                <w:color w:val="auto"/>
              </w:rPr>
            </w:pPr>
            <w:r>
              <w:rPr>
                <w:rFonts w:ascii="Arial" w:cs="Arial" w:eastAsia="Arial" w:hAnsi="Arial"/>
                <w:sz w:val="16"/>
                <w:szCs w:val="16"/>
                <w:color w:val="auto"/>
              </w:rPr>
              <w:t>Weighted average shares used in calculating diluted net income (loss) per</w:t>
            </w:r>
          </w:p>
        </w:tc>
        <w:tc>
          <w:tcPr>
            <w:tcW w:w="320" w:type="dxa"/>
            <w:vAlign w:val="bottom"/>
            <w:shd w:val="clear" w:color="auto" w:fill="CCEEFF"/>
          </w:tcPr>
          <w:p>
            <w:pPr>
              <w:spacing w:after="0"/>
              <w:rPr>
                <w:sz w:val="12"/>
                <w:szCs w:val="12"/>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351,309</w:t>
            </w: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315,990</w:t>
            </w:r>
          </w:p>
        </w:tc>
        <w:tc>
          <w:tcPr>
            <w:tcW w:w="1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322,395</w:t>
            </w: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314,753</w:t>
            </w:r>
          </w:p>
        </w:tc>
        <w:tc>
          <w:tcPr>
            <w:tcW w:w="0" w:type="dxa"/>
            <w:vAlign w:val="bottom"/>
          </w:tcPr>
          <w:p>
            <w:pPr>
              <w:spacing w:after="0"/>
              <w:rPr>
                <w:sz w:val="1"/>
                <w:szCs w:val="1"/>
                <w:color w:val="auto"/>
              </w:rPr>
            </w:pPr>
          </w:p>
        </w:tc>
      </w:tr>
      <w:tr>
        <w:trPr>
          <w:trHeight w:val="236"/>
        </w:trPr>
        <w:tc>
          <w:tcPr>
            <w:tcW w:w="5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share:</w:t>
            </w:r>
          </w:p>
        </w:tc>
        <w:tc>
          <w:tcPr>
            <w:tcW w:w="320" w:type="dxa"/>
            <w:vAlign w:val="bottom"/>
            <w:tcBorders>
              <w:bottom w:val="single" w:sz="8" w:color="auto"/>
            </w:tcBorders>
            <w:shd w:val="clear" w:color="auto" w:fill="CCEEFF"/>
          </w:tcPr>
          <w:p>
            <w:pPr>
              <w:spacing w:after="0"/>
              <w:rPr>
                <w:sz w:val="20"/>
                <w:szCs w:val="20"/>
                <w:color w:val="auto"/>
              </w:rPr>
            </w:pPr>
          </w:p>
        </w:tc>
        <w:tc>
          <w:tcPr>
            <w:tcW w:w="100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auto"/>
            </w:tcBorders>
            <w:shd w:val="clear" w:color="auto" w:fill="CCEEFF"/>
          </w:tcPr>
          <w:p>
            <w:pPr>
              <w:spacing w:after="0"/>
              <w:rPr>
                <w:sz w:val="20"/>
                <w:szCs w:val="20"/>
                <w:color w:val="auto"/>
              </w:rPr>
            </w:pPr>
          </w:p>
        </w:tc>
        <w:tc>
          <w:tcPr>
            <w:tcW w:w="86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spacing w:after="0"/>
              <w:rPr>
                <w:sz w:val="20"/>
                <w:szCs w:val="20"/>
                <w:color w:val="auto"/>
              </w:rPr>
            </w:pPr>
          </w:p>
        </w:tc>
        <w:tc>
          <w:tcPr>
            <w:tcW w:w="102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auto"/>
            </w:tcBorders>
            <w:shd w:val="clear" w:color="auto" w:fill="CCEEFF"/>
          </w:tcPr>
          <w:p>
            <w:pPr>
              <w:spacing w:after="0"/>
              <w:rPr>
                <w:sz w:val="20"/>
                <w:szCs w:val="20"/>
                <w:color w:val="auto"/>
              </w:rPr>
            </w:pPr>
          </w:p>
        </w:tc>
        <w:tc>
          <w:tcPr>
            <w:tcW w:w="86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5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9"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093" w:right="4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DATADOG,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(LOSS) INCOME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5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600" w:type="dxa"/>
            <w:vAlign w:val="bottom"/>
            <w:gridSpan w:val="5"/>
          </w:tcPr>
          <w:p>
            <w:pPr>
              <w:ind w:left="400"/>
              <w:spacing w:after="0"/>
              <w:rPr>
                <w:sz w:val="20"/>
                <w:szCs w:val="20"/>
                <w:color w:val="auto"/>
              </w:rPr>
            </w:pPr>
            <w:r>
              <w:rPr>
                <w:rFonts w:ascii="Arial" w:cs="Arial" w:eastAsia="Arial" w:hAnsi="Arial"/>
                <w:sz w:val="14"/>
                <w:szCs w:val="14"/>
                <w:b w:val="1"/>
                <w:bCs w:val="1"/>
                <w:color w:val="auto"/>
              </w:rPr>
              <w:t>Three Months Ended</w:t>
            </w:r>
          </w:p>
        </w:tc>
        <w:tc>
          <w:tcPr>
            <w:tcW w:w="320" w:type="dxa"/>
            <w:vAlign w:val="bottom"/>
          </w:tcPr>
          <w:p>
            <w:pPr>
              <w:spacing w:after="0"/>
              <w:rPr>
                <w:sz w:val="14"/>
                <w:szCs w:val="14"/>
                <w:color w:val="auto"/>
              </w:rPr>
            </w:pPr>
          </w:p>
        </w:tc>
        <w:tc>
          <w:tcPr>
            <w:tcW w:w="2440" w:type="dxa"/>
            <w:vAlign w:val="bottom"/>
            <w:gridSpan w:val="4"/>
          </w:tcPr>
          <w:p>
            <w:pPr>
              <w:ind w:left="440"/>
              <w:spacing w:after="0"/>
              <w:rPr>
                <w:sz w:val="20"/>
                <w:szCs w:val="20"/>
                <w:color w:val="auto"/>
              </w:rPr>
            </w:pPr>
            <w:r>
              <w:rPr>
                <w:rFonts w:ascii="Arial" w:cs="Arial" w:eastAsia="Arial" w:hAnsi="Arial"/>
                <w:sz w:val="14"/>
                <w:szCs w:val="14"/>
                <w:b w:val="1"/>
                <w:bCs w:val="1"/>
                <w:color w:val="auto"/>
              </w:rPr>
              <w:t>Nine Months Ended</w:t>
            </w:r>
          </w:p>
        </w:tc>
      </w:tr>
      <w:tr>
        <w:trPr>
          <w:trHeight w:val="186"/>
        </w:trPr>
        <w:tc>
          <w:tcPr>
            <w:tcW w:w="55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560" w:type="dxa"/>
            <w:vAlign w:val="bottom"/>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8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560" w:type="dxa"/>
            <w:vAlign w:val="bottom"/>
            <w:gridSpan w:val="3"/>
          </w:tcPr>
          <w:p>
            <w:pPr>
              <w:ind w:left="620"/>
              <w:spacing w:after="0"/>
              <w:rPr>
                <w:sz w:val="20"/>
                <w:szCs w:val="20"/>
                <w:color w:val="auto"/>
              </w:rPr>
            </w:pPr>
            <w:r>
              <w:rPr>
                <w:rFonts w:ascii="Arial" w:cs="Arial" w:eastAsia="Arial" w:hAnsi="Arial"/>
                <w:sz w:val="14"/>
                <w:szCs w:val="14"/>
                <w:b w:val="1"/>
                <w:bCs w:val="1"/>
                <w:color w:val="auto"/>
                <w:w w:val="96"/>
              </w:rPr>
              <w:t>September 30,</w:t>
            </w:r>
          </w:p>
        </w:tc>
        <w:tc>
          <w:tcPr>
            <w:tcW w:w="880" w:type="dxa"/>
            <w:vAlign w:val="bottom"/>
          </w:tcPr>
          <w:p>
            <w:pPr>
              <w:spacing w:after="0"/>
              <w:rPr>
                <w:sz w:val="16"/>
                <w:szCs w:val="16"/>
                <w:color w:val="auto"/>
              </w:rPr>
            </w:pPr>
          </w:p>
        </w:tc>
      </w:tr>
      <w:tr>
        <w:trPr>
          <w:trHeight w:val="53"/>
        </w:trPr>
        <w:tc>
          <w:tcPr>
            <w:tcW w:w="5560" w:type="dxa"/>
            <w:vAlign w:val="bottom"/>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160" w:type="dxa"/>
            <w:vAlign w:val="bottom"/>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r>
      <w:tr>
        <w:trPr>
          <w:trHeight w:val="184"/>
        </w:trPr>
        <w:tc>
          <w:tcPr>
            <w:tcW w:w="55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jc w:val="right"/>
              <w:ind w:right="437"/>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80" w:type="dxa"/>
            <w:vAlign w:val="bottom"/>
          </w:tcPr>
          <w:p>
            <w:pPr>
              <w:jc w:val="right"/>
              <w:ind w:right="433"/>
              <w:spacing w:after="0"/>
              <w:rPr>
                <w:sz w:val="20"/>
                <w:szCs w:val="20"/>
                <w:color w:val="auto"/>
              </w:rPr>
            </w:pPr>
            <w:r>
              <w:rPr>
                <w:rFonts w:ascii="Arial" w:cs="Arial" w:eastAsia="Arial" w:hAnsi="Arial"/>
                <w:sz w:val="14"/>
                <w:szCs w:val="14"/>
                <w:b w:val="1"/>
                <w:bCs w:val="1"/>
                <w:color w:val="auto"/>
              </w:rPr>
              <w:t>2022</w:t>
            </w:r>
          </w:p>
        </w:tc>
        <w:tc>
          <w:tcPr>
            <w:tcW w:w="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ind w:left="200"/>
              <w:spacing w:after="0"/>
              <w:rPr>
                <w:sz w:val="20"/>
                <w:szCs w:val="20"/>
                <w:color w:val="auto"/>
              </w:rPr>
            </w:pPr>
            <w:r>
              <w:rPr>
                <w:rFonts w:ascii="Arial" w:cs="Arial" w:eastAsia="Arial" w:hAnsi="Arial"/>
                <w:sz w:val="14"/>
                <w:szCs w:val="14"/>
                <w:b w:val="1"/>
                <w:bCs w:val="1"/>
                <w:color w:val="auto"/>
              </w:rPr>
              <w:t>2023</w:t>
            </w: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80" w:type="dxa"/>
            <w:vAlign w:val="bottom"/>
          </w:tcPr>
          <w:p>
            <w:pPr>
              <w:jc w:val="right"/>
              <w:ind w:right="433"/>
              <w:spacing w:after="0"/>
              <w:rPr>
                <w:sz w:val="20"/>
                <w:szCs w:val="20"/>
                <w:color w:val="auto"/>
              </w:rPr>
            </w:pPr>
            <w:r>
              <w:rPr>
                <w:rFonts w:ascii="Arial" w:cs="Arial" w:eastAsia="Arial" w:hAnsi="Arial"/>
                <w:sz w:val="14"/>
                <w:szCs w:val="14"/>
                <w:b w:val="1"/>
                <w:bCs w:val="1"/>
                <w:color w:val="auto"/>
              </w:rPr>
              <w:t>2022</w:t>
            </w:r>
          </w:p>
        </w:tc>
      </w:tr>
      <w:tr>
        <w:trPr>
          <w:trHeight w:val="39"/>
        </w:trPr>
        <w:tc>
          <w:tcPr>
            <w:tcW w:w="556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16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r>
      <w:tr>
        <w:trPr>
          <w:trHeight w:val="243"/>
        </w:trPr>
        <w:tc>
          <w:tcPr>
            <w:tcW w:w="5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 (loss)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22,630</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(25,985)</w:t>
            </w:r>
          </w:p>
        </w:tc>
        <w:tc>
          <w:tcPr>
            <w:tcW w:w="1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w w:val="91"/>
              </w:rPr>
              <w:t>(5,425)</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(21,126)</w:t>
            </w:r>
          </w:p>
        </w:tc>
      </w:tr>
      <w:tr>
        <w:trPr>
          <w:trHeight w:val="230"/>
        </w:trPr>
        <w:tc>
          <w:tcPr>
            <w:tcW w:w="5560" w:type="dxa"/>
            <w:vAlign w:val="bottom"/>
          </w:tcPr>
          <w:p>
            <w:pPr>
              <w:ind w:left="20"/>
              <w:spacing w:after="0"/>
              <w:rPr>
                <w:sz w:val="20"/>
                <w:szCs w:val="20"/>
                <w:color w:val="auto"/>
              </w:rPr>
            </w:pPr>
            <w:r>
              <w:rPr>
                <w:rFonts w:ascii="Arial" w:cs="Arial" w:eastAsia="Arial" w:hAnsi="Arial"/>
                <w:sz w:val="18"/>
                <w:szCs w:val="18"/>
                <w:color w:val="auto"/>
              </w:rPr>
              <w:t>Other comprehensive loss:</w:t>
            </w:r>
          </w:p>
        </w:tc>
        <w:tc>
          <w:tcPr>
            <w:tcW w:w="3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250"/>
        </w:trPr>
        <w:tc>
          <w:tcPr>
            <w:tcW w:w="556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Foreign currency translation adjustments</w:t>
            </w: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(2,822)</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(5,678)</w:t>
            </w:r>
          </w:p>
        </w:tc>
        <w:tc>
          <w:tcPr>
            <w:tcW w:w="1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w w:val="91"/>
              </w:rPr>
              <w:t>(2,761)</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(8,782)</w:t>
            </w:r>
          </w:p>
        </w:tc>
      </w:tr>
      <w:tr>
        <w:trPr>
          <w:trHeight w:val="243"/>
        </w:trPr>
        <w:tc>
          <w:tcPr>
            <w:tcW w:w="5560" w:type="dxa"/>
            <w:vAlign w:val="bottom"/>
          </w:tcPr>
          <w:p>
            <w:pPr>
              <w:ind w:left="240"/>
              <w:spacing w:after="0"/>
              <w:rPr>
                <w:sz w:val="20"/>
                <w:szCs w:val="20"/>
                <w:color w:val="auto"/>
              </w:rPr>
            </w:pPr>
            <w:r>
              <w:rPr>
                <w:rFonts w:ascii="Arial" w:cs="Arial" w:eastAsia="Arial" w:hAnsi="Arial"/>
                <w:sz w:val="18"/>
                <w:szCs w:val="18"/>
                <w:color w:val="auto"/>
              </w:rPr>
              <w:t>Unrealized gain (loss) on available-for-sale marketable securities</w:t>
            </w: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1,251</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(1,137)</w:t>
            </w:r>
          </w:p>
        </w:tc>
        <w:tc>
          <w:tcPr>
            <w:tcW w:w="1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ind w:left="540"/>
              <w:spacing w:after="0"/>
              <w:rPr>
                <w:sz w:val="20"/>
                <w:szCs w:val="20"/>
                <w:color w:val="auto"/>
              </w:rPr>
            </w:pPr>
            <w:r>
              <w:rPr>
                <w:rFonts w:ascii="Arial" w:cs="Arial" w:eastAsia="Arial" w:hAnsi="Arial"/>
                <w:sz w:val="18"/>
                <w:szCs w:val="18"/>
                <w:color w:val="auto"/>
                <w:w w:val="97"/>
              </w:rPr>
              <w:t>1,294</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(12,712)</w:t>
            </w:r>
          </w:p>
        </w:tc>
      </w:tr>
      <w:tr>
        <w:trPr>
          <w:trHeight w:val="27"/>
        </w:trPr>
        <w:tc>
          <w:tcPr>
            <w:tcW w:w="55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64"/>
        </w:trPr>
        <w:tc>
          <w:tcPr>
            <w:tcW w:w="556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Other comprehensive loss</w:t>
            </w:r>
          </w:p>
        </w:tc>
        <w:tc>
          <w:tcPr>
            <w:tcW w:w="32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(1,571)</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(6,815)</w:t>
            </w:r>
          </w:p>
        </w:tc>
        <w:tc>
          <w:tcPr>
            <w:tcW w:w="16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w w:val="91"/>
              </w:rPr>
              <w:t>(1,467)</w:t>
            </w:r>
          </w:p>
        </w:tc>
        <w:tc>
          <w:tcPr>
            <w:tcW w:w="1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(21,494)</w:t>
            </w:r>
          </w:p>
        </w:tc>
      </w:tr>
      <w:tr>
        <w:trPr>
          <w:trHeight w:val="257"/>
        </w:trPr>
        <w:tc>
          <w:tcPr>
            <w:tcW w:w="5560" w:type="dxa"/>
            <w:vAlign w:val="bottom"/>
          </w:tcPr>
          <w:p>
            <w:pPr>
              <w:ind w:left="20"/>
              <w:spacing w:after="0"/>
              <w:rPr>
                <w:sz w:val="20"/>
                <w:szCs w:val="20"/>
                <w:color w:val="auto"/>
              </w:rPr>
            </w:pPr>
            <w:r>
              <w:rPr>
                <w:rFonts w:ascii="Arial" w:cs="Arial" w:eastAsia="Arial" w:hAnsi="Arial"/>
                <w:sz w:val="18"/>
                <w:szCs w:val="18"/>
                <w:color w:val="auto"/>
              </w:rPr>
              <w:t>Comprehensive income (loss)</w:t>
            </w: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21,059</w:t>
            </w:r>
          </w:p>
        </w:tc>
        <w:tc>
          <w:tcPr>
            <w:tcW w:w="100" w:type="dxa"/>
            <w:vAlign w:val="bottom"/>
          </w:tcPr>
          <w:p>
            <w:pPr>
              <w:spacing w:after="0"/>
              <w:rPr>
                <w:sz w:val="22"/>
                <w:szCs w:val="22"/>
                <w:color w:val="auto"/>
              </w:rPr>
            </w:pPr>
          </w:p>
        </w:tc>
        <w:tc>
          <w:tcPr>
            <w:tcW w:w="46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(32,800)</w:t>
            </w:r>
          </w:p>
        </w:tc>
        <w:tc>
          <w:tcPr>
            <w:tcW w:w="16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ind w:left="460"/>
              <w:spacing w:after="0"/>
              <w:rPr>
                <w:sz w:val="20"/>
                <w:szCs w:val="20"/>
                <w:color w:val="auto"/>
              </w:rPr>
            </w:pPr>
            <w:r>
              <w:rPr>
                <w:rFonts w:ascii="Arial" w:cs="Arial" w:eastAsia="Arial" w:hAnsi="Arial"/>
                <w:sz w:val="18"/>
                <w:szCs w:val="18"/>
                <w:color w:val="auto"/>
                <w:w w:val="91"/>
              </w:rPr>
              <w:t>(6,892)</w:t>
            </w:r>
          </w:p>
        </w:tc>
        <w:tc>
          <w:tcPr>
            <w:tcW w:w="120" w:type="dxa"/>
            <w:vAlign w:val="bottom"/>
          </w:tcPr>
          <w:p>
            <w:pPr>
              <w:spacing w:after="0"/>
              <w:rPr>
                <w:sz w:val="22"/>
                <w:szCs w:val="22"/>
                <w:color w:val="auto"/>
              </w:rPr>
            </w:pPr>
          </w:p>
        </w:tc>
        <w:tc>
          <w:tcPr>
            <w:tcW w:w="44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(42,620)</w:t>
            </w:r>
          </w:p>
        </w:tc>
      </w:tr>
      <w:tr>
        <w:trPr>
          <w:trHeight w:val="27"/>
        </w:trPr>
        <w:tc>
          <w:tcPr>
            <w:tcW w:w="556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bl>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DATADOG,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STOCKHOLDERS’ EQUITY (DEFICIT)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860" w:type="dxa"/>
            <w:vAlign w:val="bottom"/>
          </w:tcPr>
          <w:p>
            <w:pPr>
              <w:spacing w:after="0"/>
              <w:rPr>
                <w:sz w:val="14"/>
                <w:szCs w:val="14"/>
                <w:color w:val="auto"/>
              </w:rPr>
            </w:pPr>
          </w:p>
        </w:tc>
        <w:tc>
          <w:tcPr>
            <w:tcW w:w="2380" w:type="dxa"/>
            <w:vAlign w:val="bottom"/>
            <w:gridSpan w:val="3"/>
          </w:tcPr>
          <w:p>
            <w:pPr>
              <w:jc w:val="right"/>
              <w:ind w:right="405"/>
              <w:spacing w:after="0"/>
              <w:rPr>
                <w:sz w:val="20"/>
                <w:szCs w:val="20"/>
                <w:color w:val="auto"/>
              </w:rPr>
            </w:pPr>
            <w:r>
              <w:rPr>
                <w:rFonts w:ascii="Arial" w:cs="Arial" w:eastAsia="Arial" w:hAnsi="Arial"/>
                <w:sz w:val="13"/>
                <w:szCs w:val="13"/>
                <w:b w:val="1"/>
                <w:bCs w:val="1"/>
                <w:color w:val="auto"/>
              </w:rPr>
              <w:t>Class A and Class B</w:t>
            </w: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80" w:type="dxa"/>
            <w:vAlign w:val="bottom"/>
            <w:gridSpan w:val="2"/>
            <w:vMerge w:val="restart"/>
          </w:tcPr>
          <w:p>
            <w:pPr>
              <w:jc w:val="center"/>
              <w:ind w:right="360"/>
              <w:spacing w:after="0"/>
              <w:rPr>
                <w:sz w:val="20"/>
                <w:szCs w:val="20"/>
                <w:color w:val="auto"/>
              </w:rPr>
            </w:pPr>
            <w:r>
              <w:rPr>
                <w:rFonts w:ascii="Arial" w:cs="Arial" w:eastAsia="Arial" w:hAnsi="Arial"/>
                <w:sz w:val="13"/>
                <w:szCs w:val="13"/>
                <w:b w:val="1"/>
                <w:bCs w:val="1"/>
                <w:color w:val="auto"/>
                <w:w w:val="91"/>
              </w:rPr>
              <w:t>Additional</w:t>
            </w:r>
          </w:p>
        </w:tc>
        <w:tc>
          <w:tcPr>
            <w:tcW w:w="1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vMerge w:val="restart"/>
          </w:tcPr>
          <w:p>
            <w:pPr>
              <w:jc w:val="center"/>
              <w:ind w:right="104"/>
              <w:spacing w:after="0"/>
              <w:rPr>
                <w:sz w:val="20"/>
                <w:szCs w:val="20"/>
                <w:color w:val="auto"/>
              </w:rPr>
            </w:pPr>
            <w:r>
              <w:rPr>
                <w:rFonts w:ascii="Arial" w:cs="Arial" w:eastAsia="Arial" w:hAnsi="Arial"/>
                <w:sz w:val="13"/>
                <w:szCs w:val="13"/>
                <w:b w:val="1"/>
                <w:bCs w:val="1"/>
                <w:color w:val="auto"/>
                <w:w w:val="89"/>
              </w:rPr>
              <w:t>Total</w:t>
            </w:r>
          </w:p>
        </w:tc>
        <w:tc>
          <w:tcPr>
            <w:tcW w:w="0" w:type="dxa"/>
            <w:vAlign w:val="bottom"/>
          </w:tcPr>
          <w:p>
            <w:pPr>
              <w:spacing w:after="0"/>
              <w:rPr>
                <w:sz w:val="1"/>
                <w:szCs w:val="1"/>
                <w:color w:val="auto"/>
              </w:rPr>
            </w:pPr>
          </w:p>
        </w:tc>
      </w:tr>
      <w:tr>
        <w:trPr>
          <w:trHeight w:val="54"/>
        </w:trPr>
        <w:tc>
          <w:tcPr>
            <w:tcW w:w="2860" w:type="dxa"/>
            <w:vAlign w:val="bottom"/>
          </w:tcPr>
          <w:p>
            <w:pPr>
              <w:spacing w:after="0"/>
              <w:rPr>
                <w:sz w:val="4"/>
                <w:szCs w:val="4"/>
                <w:color w:val="auto"/>
              </w:rPr>
            </w:pPr>
          </w:p>
        </w:tc>
        <w:tc>
          <w:tcPr>
            <w:tcW w:w="2380" w:type="dxa"/>
            <w:vAlign w:val="bottom"/>
            <w:gridSpan w:val="3"/>
            <w:vMerge w:val="restart"/>
          </w:tcPr>
          <w:p>
            <w:pPr>
              <w:jc w:val="right"/>
              <w:ind w:right="545"/>
              <w:spacing w:after="0"/>
              <w:rPr>
                <w:sz w:val="20"/>
                <w:szCs w:val="20"/>
                <w:color w:val="auto"/>
              </w:rPr>
            </w:pPr>
            <w:r>
              <w:rPr>
                <w:rFonts w:ascii="Arial" w:cs="Arial" w:eastAsia="Arial" w:hAnsi="Arial"/>
                <w:sz w:val="13"/>
                <w:szCs w:val="13"/>
                <w:b w:val="1"/>
                <w:bCs w:val="1"/>
                <w:color w:val="auto"/>
              </w:rPr>
              <w:t>Common Stock</w:t>
            </w:r>
          </w:p>
        </w:tc>
        <w:tc>
          <w:tcPr>
            <w:tcW w:w="320" w:type="dxa"/>
            <w:vAlign w:val="bottom"/>
          </w:tcPr>
          <w:p>
            <w:pPr>
              <w:spacing w:after="0"/>
              <w:rPr>
                <w:sz w:val="4"/>
                <w:szCs w:val="4"/>
                <w:color w:val="auto"/>
              </w:rPr>
            </w:pPr>
          </w:p>
        </w:tc>
        <w:tc>
          <w:tcPr>
            <w:tcW w:w="1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180" w:type="dxa"/>
            <w:vAlign w:val="bottom"/>
            <w:gridSpan w:val="2"/>
            <w:vMerge w:val="continue"/>
          </w:tcPr>
          <w:p>
            <w:pPr>
              <w:spacing w:after="0"/>
              <w:rPr>
                <w:sz w:val="4"/>
                <w:szCs w:val="4"/>
                <w:color w:val="auto"/>
              </w:rPr>
            </w:pPr>
          </w:p>
        </w:tc>
        <w:tc>
          <w:tcPr>
            <w:tcW w:w="100" w:type="dxa"/>
            <w:vAlign w:val="bottom"/>
          </w:tcPr>
          <w:p>
            <w:pPr>
              <w:spacing w:after="0"/>
              <w:rPr>
                <w:sz w:val="4"/>
                <w:szCs w:val="4"/>
                <w:color w:val="auto"/>
              </w:rPr>
            </w:pPr>
          </w:p>
        </w:tc>
        <w:tc>
          <w:tcPr>
            <w:tcW w:w="120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26"/>
        </w:trPr>
        <w:tc>
          <w:tcPr>
            <w:tcW w:w="2860" w:type="dxa"/>
            <w:vAlign w:val="bottom"/>
          </w:tcPr>
          <w:p>
            <w:pPr>
              <w:spacing w:after="0"/>
              <w:rPr>
                <w:sz w:val="10"/>
                <w:szCs w:val="10"/>
                <w:color w:val="auto"/>
              </w:rPr>
            </w:pPr>
          </w:p>
        </w:tc>
        <w:tc>
          <w:tcPr>
            <w:tcW w:w="2380" w:type="dxa"/>
            <w:vAlign w:val="bottom"/>
            <w:tcBorders>
              <w:bottom w:val="single" w:sz="8" w:color="auto"/>
            </w:tcBorders>
            <w:gridSpan w:val="3"/>
            <w:vMerge w:val="continue"/>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180" w:type="dxa"/>
            <w:vAlign w:val="bottom"/>
            <w:gridSpan w:val="2"/>
          </w:tcPr>
          <w:p>
            <w:pPr>
              <w:jc w:val="center"/>
              <w:ind w:right="360"/>
              <w:spacing w:after="0" w:line="106" w:lineRule="exact"/>
              <w:rPr>
                <w:sz w:val="20"/>
                <w:szCs w:val="20"/>
                <w:color w:val="auto"/>
              </w:rPr>
            </w:pPr>
            <w:r>
              <w:rPr>
                <w:rFonts w:ascii="Arial" w:cs="Arial" w:eastAsia="Arial" w:hAnsi="Arial"/>
                <w:sz w:val="12"/>
                <w:szCs w:val="12"/>
                <w:b w:val="1"/>
                <w:bCs w:val="1"/>
                <w:color w:val="auto"/>
                <w:w w:val="94"/>
              </w:rPr>
              <w:t>Paid-in</w:t>
            </w:r>
          </w:p>
        </w:tc>
        <w:tc>
          <w:tcPr>
            <w:tcW w:w="100" w:type="dxa"/>
            <w:vAlign w:val="bottom"/>
          </w:tcPr>
          <w:p>
            <w:pPr>
              <w:spacing w:after="0"/>
              <w:rPr>
                <w:sz w:val="10"/>
                <w:szCs w:val="10"/>
                <w:color w:val="auto"/>
              </w:rPr>
            </w:pPr>
          </w:p>
        </w:tc>
        <w:tc>
          <w:tcPr>
            <w:tcW w:w="1320" w:type="dxa"/>
            <w:vAlign w:val="bottom"/>
            <w:gridSpan w:val="2"/>
          </w:tcPr>
          <w:p>
            <w:pPr>
              <w:ind w:left="20"/>
              <w:spacing w:after="0" w:line="106" w:lineRule="exact"/>
              <w:rPr>
                <w:sz w:val="20"/>
                <w:szCs w:val="20"/>
                <w:color w:val="auto"/>
              </w:rPr>
            </w:pPr>
            <w:r>
              <w:rPr>
                <w:rFonts w:ascii="Arial" w:cs="Arial" w:eastAsia="Arial" w:hAnsi="Arial"/>
                <w:sz w:val="12"/>
                <w:szCs w:val="12"/>
                <w:b w:val="1"/>
                <w:bCs w:val="1"/>
                <w:color w:val="auto"/>
              </w:rPr>
              <w:t>Accumulated Other</w:t>
            </w:r>
          </w:p>
        </w:tc>
        <w:tc>
          <w:tcPr>
            <w:tcW w:w="200" w:type="dxa"/>
            <w:vAlign w:val="bottom"/>
          </w:tcPr>
          <w:p>
            <w:pPr>
              <w:spacing w:after="0"/>
              <w:rPr>
                <w:sz w:val="10"/>
                <w:szCs w:val="10"/>
                <w:color w:val="auto"/>
              </w:rPr>
            </w:pPr>
          </w:p>
        </w:tc>
        <w:tc>
          <w:tcPr>
            <w:tcW w:w="1220" w:type="dxa"/>
            <w:vAlign w:val="bottom"/>
            <w:gridSpan w:val="2"/>
          </w:tcPr>
          <w:p>
            <w:pPr>
              <w:jc w:val="center"/>
              <w:ind w:right="320"/>
              <w:spacing w:after="0" w:line="106" w:lineRule="exact"/>
              <w:rPr>
                <w:sz w:val="20"/>
                <w:szCs w:val="20"/>
                <w:color w:val="auto"/>
              </w:rPr>
            </w:pPr>
            <w:r>
              <w:rPr>
                <w:rFonts w:ascii="Arial" w:cs="Arial" w:eastAsia="Arial" w:hAnsi="Arial"/>
                <w:sz w:val="12"/>
                <w:szCs w:val="12"/>
                <w:b w:val="1"/>
                <w:bCs w:val="1"/>
                <w:color w:val="auto"/>
                <w:w w:val="92"/>
              </w:rPr>
              <w:t>Accumulated</w:t>
            </w:r>
          </w:p>
        </w:tc>
        <w:tc>
          <w:tcPr>
            <w:tcW w:w="160" w:type="dxa"/>
            <w:vAlign w:val="bottom"/>
          </w:tcPr>
          <w:p>
            <w:pPr>
              <w:spacing w:after="0"/>
              <w:rPr>
                <w:sz w:val="10"/>
                <w:szCs w:val="10"/>
                <w:color w:val="auto"/>
              </w:rPr>
            </w:pPr>
          </w:p>
        </w:tc>
        <w:tc>
          <w:tcPr>
            <w:tcW w:w="1140" w:type="dxa"/>
            <w:vAlign w:val="bottom"/>
          </w:tcPr>
          <w:p>
            <w:pPr>
              <w:jc w:val="center"/>
              <w:ind w:right="84"/>
              <w:spacing w:after="0" w:line="106" w:lineRule="exact"/>
              <w:rPr>
                <w:sz w:val="20"/>
                <w:szCs w:val="20"/>
                <w:color w:val="auto"/>
              </w:rPr>
            </w:pPr>
            <w:r>
              <w:rPr>
                <w:rFonts w:ascii="Arial" w:cs="Arial" w:eastAsia="Arial" w:hAnsi="Arial"/>
                <w:sz w:val="12"/>
                <w:szCs w:val="12"/>
                <w:b w:val="1"/>
                <w:bCs w:val="1"/>
                <w:color w:val="auto"/>
                <w:w w:val="93"/>
              </w:rPr>
              <w:t>Stockholders'</w:t>
            </w:r>
          </w:p>
        </w:tc>
        <w:tc>
          <w:tcPr>
            <w:tcW w:w="0" w:type="dxa"/>
            <w:vAlign w:val="bottom"/>
          </w:tcPr>
          <w:p>
            <w:pPr>
              <w:spacing w:after="0"/>
              <w:rPr>
                <w:sz w:val="1"/>
                <w:szCs w:val="1"/>
                <w:color w:val="auto"/>
              </w:rPr>
            </w:pPr>
          </w:p>
        </w:tc>
      </w:tr>
      <w:tr>
        <w:trPr>
          <w:trHeight w:val="189"/>
        </w:trPr>
        <w:tc>
          <w:tcPr>
            <w:tcW w:w="2860" w:type="dxa"/>
            <w:vAlign w:val="bottom"/>
          </w:tcPr>
          <w:p>
            <w:pPr>
              <w:spacing w:after="0"/>
              <w:rPr>
                <w:sz w:val="16"/>
                <w:szCs w:val="16"/>
                <w:color w:val="auto"/>
              </w:rPr>
            </w:pPr>
          </w:p>
        </w:tc>
        <w:tc>
          <w:tcPr>
            <w:tcW w:w="1420" w:type="dxa"/>
            <w:vAlign w:val="bottom"/>
            <w:gridSpan w:val="2"/>
          </w:tcPr>
          <w:p>
            <w:pPr>
              <w:ind w:left="480"/>
              <w:spacing w:after="0"/>
              <w:rPr>
                <w:sz w:val="20"/>
                <w:szCs w:val="20"/>
                <w:color w:val="auto"/>
              </w:rPr>
            </w:pPr>
            <w:r>
              <w:rPr>
                <w:rFonts w:ascii="Arial" w:cs="Arial" w:eastAsia="Arial" w:hAnsi="Arial"/>
                <w:sz w:val="13"/>
                <w:szCs w:val="13"/>
                <w:b w:val="1"/>
                <w:bCs w:val="1"/>
                <w:color w:val="auto"/>
              </w:rPr>
              <w:t>Shares</w:t>
            </w:r>
          </w:p>
        </w:tc>
        <w:tc>
          <w:tcPr>
            <w:tcW w:w="960" w:type="dxa"/>
            <w:vAlign w:val="bottom"/>
          </w:tcPr>
          <w:p>
            <w:pPr>
              <w:jc w:val="right"/>
              <w:ind w:right="25"/>
              <w:spacing w:after="0"/>
              <w:rPr>
                <w:sz w:val="20"/>
                <w:szCs w:val="20"/>
                <w:color w:val="auto"/>
              </w:rPr>
            </w:pPr>
            <w:r>
              <w:rPr>
                <w:rFonts w:ascii="Arial" w:cs="Arial" w:eastAsia="Arial" w:hAnsi="Arial"/>
                <w:sz w:val="13"/>
                <w:szCs w:val="13"/>
                <w:b w:val="1"/>
                <w:bCs w:val="1"/>
                <w:color w:val="auto"/>
              </w:rPr>
              <w:t>Amount</w:t>
            </w:r>
          </w:p>
        </w:tc>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80" w:type="dxa"/>
            <w:vAlign w:val="bottom"/>
            <w:gridSpan w:val="2"/>
          </w:tcPr>
          <w:p>
            <w:pPr>
              <w:jc w:val="center"/>
              <w:ind w:right="340"/>
              <w:spacing w:after="0"/>
              <w:rPr>
                <w:sz w:val="20"/>
                <w:szCs w:val="20"/>
                <w:color w:val="auto"/>
              </w:rPr>
            </w:pPr>
            <w:r>
              <w:rPr>
                <w:rFonts w:ascii="Arial" w:cs="Arial" w:eastAsia="Arial" w:hAnsi="Arial"/>
                <w:sz w:val="13"/>
                <w:szCs w:val="13"/>
                <w:b w:val="1"/>
                <w:bCs w:val="1"/>
                <w:color w:val="auto"/>
                <w:w w:val="92"/>
              </w:rPr>
              <w:t>Capital</w:t>
            </w:r>
          </w:p>
        </w:tc>
        <w:tc>
          <w:tcPr>
            <w:tcW w:w="100" w:type="dxa"/>
            <w:vAlign w:val="bottom"/>
          </w:tcPr>
          <w:p>
            <w:pPr>
              <w:spacing w:after="0"/>
              <w:rPr>
                <w:sz w:val="16"/>
                <w:szCs w:val="16"/>
                <w:color w:val="auto"/>
              </w:rPr>
            </w:pPr>
          </w:p>
        </w:tc>
        <w:tc>
          <w:tcPr>
            <w:tcW w:w="1320" w:type="dxa"/>
            <w:vAlign w:val="bottom"/>
            <w:gridSpan w:val="2"/>
          </w:tcPr>
          <w:p>
            <w:pPr>
              <w:spacing w:after="0"/>
              <w:rPr>
                <w:sz w:val="20"/>
                <w:szCs w:val="20"/>
                <w:color w:val="auto"/>
              </w:rPr>
            </w:pPr>
            <w:r>
              <w:rPr>
                <w:rFonts w:ascii="Arial" w:cs="Arial" w:eastAsia="Arial" w:hAnsi="Arial"/>
                <w:sz w:val="13"/>
                <w:szCs w:val="13"/>
                <w:b w:val="1"/>
                <w:bCs w:val="1"/>
                <w:color w:val="auto"/>
                <w:w w:val="98"/>
              </w:rPr>
              <w:t>Comprehensive Loss</w:t>
            </w:r>
          </w:p>
        </w:tc>
        <w:tc>
          <w:tcPr>
            <w:tcW w:w="200" w:type="dxa"/>
            <w:vAlign w:val="bottom"/>
          </w:tcPr>
          <w:p>
            <w:pPr>
              <w:spacing w:after="0"/>
              <w:rPr>
                <w:sz w:val="16"/>
                <w:szCs w:val="16"/>
                <w:color w:val="auto"/>
              </w:rPr>
            </w:pPr>
          </w:p>
        </w:tc>
        <w:tc>
          <w:tcPr>
            <w:tcW w:w="1220" w:type="dxa"/>
            <w:vAlign w:val="bottom"/>
            <w:gridSpan w:val="2"/>
          </w:tcPr>
          <w:p>
            <w:pPr>
              <w:jc w:val="center"/>
              <w:ind w:right="340"/>
              <w:spacing w:after="0"/>
              <w:rPr>
                <w:sz w:val="20"/>
                <w:szCs w:val="20"/>
                <w:color w:val="auto"/>
              </w:rPr>
            </w:pPr>
            <w:r>
              <w:rPr>
                <w:rFonts w:ascii="Arial" w:cs="Arial" w:eastAsia="Arial" w:hAnsi="Arial"/>
                <w:sz w:val="13"/>
                <w:szCs w:val="13"/>
                <w:b w:val="1"/>
                <w:bCs w:val="1"/>
                <w:color w:val="auto"/>
                <w:w w:val="90"/>
              </w:rPr>
              <w:t>Deficit</w:t>
            </w:r>
          </w:p>
        </w:tc>
        <w:tc>
          <w:tcPr>
            <w:tcW w:w="160" w:type="dxa"/>
            <w:vAlign w:val="bottom"/>
          </w:tcPr>
          <w:p>
            <w:pPr>
              <w:spacing w:after="0"/>
              <w:rPr>
                <w:sz w:val="16"/>
                <w:szCs w:val="16"/>
                <w:color w:val="auto"/>
              </w:rPr>
            </w:pPr>
          </w:p>
        </w:tc>
        <w:tc>
          <w:tcPr>
            <w:tcW w:w="1140" w:type="dxa"/>
            <w:vAlign w:val="bottom"/>
          </w:tcPr>
          <w:p>
            <w:pPr>
              <w:jc w:val="center"/>
              <w:ind w:right="104"/>
              <w:spacing w:after="0"/>
              <w:rPr>
                <w:sz w:val="20"/>
                <w:szCs w:val="20"/>
                <w:color w:val="auto"/>
              </w:rPr>
            </w:pPr>
            <w:r>
              <w:rPr>
                <w:rFonts w:ascii="Arial" w:cs="Arial" w:eastAsia="Arial" w:hAnsi="Arial"/>
                <w:sz w:val="13"/>
                <w:szCs w:val="13"/>
                <w:b w:val="1"/>
                <w:bCs w:val="1"/>
                <w:color w:val="auto"/>
                <w:w w:val="91"/>
              </w:rPr>
              <w:t>Equity (Deficit)</w:t>
            </w:r>
          </w:p>
        </w:tc>
        <w:tc>
          <w:tcPr>
            <w:tcW w:w="0" w:type="dxa"/>
            <w:vAlign w:val="bottom"/>
          </w:tcPr>
          <w:p>
            <w:pPr>
              <w:spacing w:after="0"/>
              <w:rPr>
                <w:sz w:val="1"/>
                <w:szCs w:val="1"/>
                <w:color w:val="auto"/>
              </w:rPr>
            </w:pPr>
          </w:p>
        </w:tc>
      </w:tr>
      <w:tr>
        <w:trPr>
          <w:trHeight w:val="240"/>
        </w:trPr>
        <w:tc>
          <w:tcPr>
            <w:tcW w:w="2860" w:type="dxa"/>
            <w:vAlign w:val="bottom"/>
          </w:tcPr>
          <w:p>
            <w:pPr>
              <w:ind w:left="20"/>
              <w:spacing w:after="0"/>
              <w:rPr>
                <w:sz w:val="20"/>
                <w:szCs w:val="20"/>
                <w:color w:val="auto"/>
              </w:rPr>
            </w:pPr>
            <w:r>
              <w:rPr>
                <w:rFonts w:ascii="Arial" w:cs="Arial" w:eastAsia="Arial" w:hAnsi="Arial"/>
                <w:sz w:val="16"/>
                <w:szCs w:val="16"/>
                <w:color w:val="auto"/>
              </w:rPr>
              <w:t>BALANCE—June 30, 2023</w:t>
            </w: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324,576,728</w:t>
            </w:r>
          </w:p>
        </w:tc>
        <w:tc>
          <w:tcPr>
            <w:tcW w:w="120" w:type="dxa"/>
            <w:vAlign w:val="bottom"/>
          </w:tcPr>
          <w:p>
            <w:pPr>
              <w:spacing w:after="0"/>
              <w:rPr>
                <w:sz w:val="20"/>
                <w:szCs w:val="20"/>
                <w:color w:val="auto"/>
              </w:rPr>
            </w:pPr>
          </w:p>
        </w:tc>
        <w:tc>
          <w:tcPr>
            <w:tcW w:w="960" w:type="dxa"/>
            <w:vAlign w:val="bottom"/>
            <w:tcBorders>
              <w:top w:val="single" w:sz="8" w:color="auto"/>
            </w:tcBorders>
          </w:tcPr>
          <w:p>
            <w:pPr>
              <w:jc w:val="right"/>
              <w:ind w:right="785"/>
              <w:spacing w:after="0"/>
              <w:rPr>
                <w:sz w:val="20"/>
                <w:szCs w:val="20"/>
                <w:color w:val="auto"/>
              </w:rPr>
            </w:pPr>
            <w:r>
              <w:rPr>
                <w:rFonts w:ascii="Arial" w:cs="Arial" w:eastAsia="Arial" w:hAnsi="Arial"/>
                <w:sz w:val="16"/>
                <w:szCs w:val="16"/>
                <w:color w:val="auto"/>
                <w:w w:val="89"/>
              </w:rPr>
              <w:t>$</w:t>
            </w:r>
          </w:p>
        </w:tc>
        <w:tc>
          <w:tcPr>
            <w:tcW w:w="3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w:t>
            </w:r>
          </w:p>
        </w:tc>
        <w:tc>
          <w:tcPr>
            <w:tcW w:w="120" w:type="dxa"/>
            <w:vAlign w:val="bottom"/>
          </w:tcPr>
          <w:p>
            <w:pPr>
              <w:spacing w:after="0"/>
              <w:rPr>
                <w:sz w:val="20"/>
                <w:szCs w:val="20"/>
                <w:color w:val="auto"/>
              </w:rPr>
            </w:pPr>
          </w:p>
        </w:tc>
        <w:tc>
          <w:tcPr>
            <w:tcW w:w="24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1,891,995</w:t>
            </w:r>
          </w:p>
        </w:tc>
        <w:tc>
          <w:tcPr>
            <w:tcW w:w="120" w:type="dxa"/>
            <w:vAlign w:val="bottom"/>
          </w:tcPr>
          <w:p>
            <w:pPr>
              <w:spacing w:after="0"/>
              <w:rPr>
                <w:sz w:val="20"/>
                <w:szCs w:val="20"/>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(12,318)</w:t>
            </w:r>
          </w:p>
        </w:tc>
        <w:tc>
          <w:tcPr>
            <w:tcW w:w="120" w:type="dxa"/>
            <w:vAlign w:val="bottom"/>
          </w:tcPr>
          <w:p>
            <w:pPr>
              <w:spacing w:after="0"/>
              <w:rPr>
                <w:sz w:val="20"/>
                <w:szCs w:val="20"/>
                <w:color w:val="auto"/>
              </w:rPr>
            </w:pPr>
          </w:p>
        </w:tc>
        <w:tc>
          <w:tcPr>
            <w:tcW w:w="2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(230,321)</w:t>
            </w:r>
          </w:p>
        </w:tc>
        <w:tc>
          <w:tcPr>
            <w:tcW w:w="120" w:type="dxa"/>
            <w:vAlign w:val="bottom"/>
          </w:tcPr>
          <w:p>
            <w:pPr>
              <w:spacing w:after="0"/>
              <w:rPr>
                <w:sz w:val="20"/>
                <w:szCs w:val="20"/>
                <w:color w:val="auto"/>
              </w:rPr>
            </w:pPr>
          </w:p>
        </w:tc>
        <w:tc>
          <w:tcPr>
            <w:tcW w:w="160" w:type="dxa"/>
            <w:vAlign w:val="bottom"/>
            <w:tcBorders>
              <w:top w:val="single" w:sz="8" w:color="auto"/>
            </w:tcBorders>
          </w:tcPr>
          <w:p>
            <w:pPr>
              <w:jc w:val="right"/>
              <w:ind w:right="4"/>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1,649,359</w:t>
            </w:r>
          </w:p>
        </w:tc>
        <w:tc>
          <w:tcPr>
            <w:tcW w:w="0" w:type="dxa"/>
            <w:vAlign w:val="bottom"/>
          </w:tcPr>
          <w:p>
            <w:pPr>
              <w:spacing w:after="0"/>
              <w:rPr>
                <w:sz w:val="1"/>
                <w:szCs w:val="1"/>
                <w:color w:val="auto"/>
              </w:rPr>
            </w:pPr>
          </w:p>
        </w:tc>
      </w:tr>
      <w:tr>
        <w:trPr>
          <w:trHeight w:val="223"/>
        </w:trPr>
        <w:tc>
          <w:tcPr>
            <w:tcW w:w="2860" w:type="dxa"/>
            <w:vAlign w:val="bottom"/>
            <w:shd w:val="clear" w:color="auto" w:fill="CCEEFF"/>
          </w:tcPr>
          <w:p>
            <w:pPr>
              <w:ind w:left="20"/>
              <w:spacing w:after="0"/>
              <w:rPr>
                <w:sz w:val="20"/>
                <w:szCs w:val="20"/>
                <w:color w:val="auto"/>
              </w:rPr>
            </w:pPr>
            <w:r>
              <w:rPr>
                <w:rFonts w:ascii="Arial" w:cs="Arial" w:eastAsia="Arial" w:hAnsi="Arial"/>
                <w:sz w:val="16"/>
                <w:szCs w:val="16"/>
                <w:color w:val="auto"/>
                <w:w w:val="96"/>
              </w:rPr>
              <w:t>Issuance of common stock upon exercise</w:t>
            </w:r>
          </w:p>
        </w:tc>
        <w:tc>
          <w:tcPr>
            <w:tcW w:w="1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2860" w:type="dxa"/>
            <w:vAlign w:val="bottom"/>
            <w:shd w:val="clear" w:color="auto" w:fill="CCEEFF"/>
          </w:tcPr>
          <w:p>
            <w:pPr>
              <w:ind w:left="180"/>
              <w:spacing w:after="0"/>
              <w:rPr>
                <w:sz w:val="20"/>
                <w:szCs w:val="20"/>
                <w:color w:val="auto"/>
              </w:rPr>
            </w:pPr>
            <w:r>
              <w:rPr>
                <w:rFonts w:ascii="Arial" w:cs="Arial" w:eastAsia="Arial" w:hAnsi="Arial"/>
                <w:sz w:val="16"/>
                <w:szCs w:val="16"/>
                <w:color w:val="auto"/>
              </w:rPr>
              <w:t>of stock options</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2,360,179</w:t>
            </w: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4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9,873</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ind w:left="98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9,873</w:t>
            </w:r>
          </w:p>
        </w:tc>
        <w:tc>
          <w:tcPr>
            <w:tcW w:w="0" w:type="dxa"/>
            <w:vAlign w:val="bottom"/>
          </w:tcPr>
          <w:p>
            <w:pPr>
              <w:spacing w:after="0"/>
              <w:rPr>
                <w:sz w:val="1"/>
                <w:szCs w:val="1"/>
                <w:color w:val="auto"/>
              </w:rPr>
            </w:pPr>
          </w:p>
        </w:tc>
      </w:tr>
      <w:tr>
        <w:trPr>
          <w:trHeight w:val="220"/>
        </w:trPr>
        <w:tc>
          <w:tcPr>
            <w:tcW w:w="2860" w:type="dxa"/>
            <w:vAlign w:val="bottom"/>
          </w:tcPr>
          <w:p>
            <w:pPr>
              <w:ind w:left="20"/>
              <w:spacing w:after="0"/>
              <w:rPr>
                <w:sz w:val="20"/>
                <w:szCs w:val="20"/>
                <w:color w:val="auto"/>
              </w:rPr>
            </w:pPr>
            <w:r>
              <w:rPr>
                <w:rFonts w:ascii="Arial" w:cs="Arial" w:eastAsia="Arial" w:hAnsi="Arial"/>
                <w:sz w:val="16"/>
                <w:szCs w:val="16"/>
                <w:color w:val="auto"/>
              </w:rPr>
              <w:t>Vesting of restricted and performance</w:t>
            </w:r>
          </w:p>
        </w:tc>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860" w:type="dxa"/>
            <w:vAlign w:val="bottom"/>
          </w:tcPr>
          <w:p>
            <w:pPr>
              <w:ind w:left="180"/>
              <w:spacing w:after="0"/>
              <w:rPr>
                <w:sz w:val="20"/>
                <w:szCs w:val="20"/>
                <w:color w:val="auto"/>
              </w:rPr>
            </w:pPr>
            <w:r>
              <w:rPr>
                <w:rFonts w:ascii="Arial" w:cs="Arial" w:eastAsia="Arial" w:hAnsi="Arial"/>
                <w:sz w:val="16"/>
                <w:szCs w:val="16"/>
                <w:color w:val="auto"/>
              </w:rPr>
              <w:t>stock units</w:t>
            </w:r>
          </w:p>
        </w:tc>
        <w:tc>
          <w:tcPr>
            <w:tcW w:w="1300" w:type="dxa"/>
            <w:vAlign w:val="bottom"/>
          </w:tcPr>
          <w:p>
            <w:pPr>
              <w:jc w:val="right"/>
              <w:spacing w:after="0"/>
              <w:rPr>
                <w:sz w:val="20"/>
                <w:szCs w:val="20"/>
                <w:color w:val="auto"/>
              </w:rPr>
            </w:pPr>
            <w:r>
              <w:rPr>
                <w:rFonts w:ascii="Arial" w:cs="Arial" w:eastAsia="Arial" w:hAnsi="Arial"/>
                <w:sz w:val="16"/>
                <w:szCs w:val="16"/>
                <w:color w:val="auto"/>
              </w:rPr>
              <w:t>1,311,795</w:t>
            </w: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320" w:type="dxa"/>
            <w:vAlign w:val="bottom"/>
            <w:gridSpan w:val="2"/>
          </w:tcPr>
          <w:p>
            <w:pPr>
              <w:ind w:left="9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9"/>
        </w:trPr>
        <w:tc>
          <w:tcPr>
            <w:tcW w:w="2860" w:type="dxa"/>
            <w:vAlign w:val="bottom"/>
            <w:shd w:val="clear" w:color="auto" w:fill="CCEEFF"/>
          </w:tcPr>
          <w:p>
            <w:pPr>
              <w:ind w:left="20"/>
              <w:spacing w:after="0"/>
              <w:rPr>
                <w:sz w:val="20"/>
                <w:szCs w:val="20"/>
                <w:color w:val="auto"/>
              </w:rPr>
            </w:pPr>
            <w:r>
              <w:rPr>
                <w:rFonts w:ascii="Arial" w:cs="Arial" w:eastAsia="Arial" w:hAnsi="Arial"/>
                <w:sz w:val="16"/>
                <w:szCs w:val="16"/>
                <w:color w:val="auto"/>
                <w:w w:val="91"/>
              </w:rPr>
              <w:t>Issuance (retirement) of restricted shares of</w:t>
            </w:r>
          </w:p>
        </w:tc>
        <w:tc>
          <w:tcPr>
            <w:tcW w:w="1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2860" w:type="dxa"/>
            <w:vAlign w:val="bottom"/>
            <w:shd w:val="clear" w:color="auto" w:fill="CCEEFF"/>
          </w:tcPr>
          <w:p>
            <w:pPr>
              <w:ind w:left="180"/>
              <w:spacing w:after="0"/>
              <w:rPr>
                <w:sz w:val="20"/>
                <w:szCs w:val="20"/>
                <w:color w:val="auto"/>
              </w:rPr>
            </w:pPr>
            <w:r>
              <w:rPr>
                <w:rFonts w:ascii="Arial" w:cs="Arial" w:eastAsia="Arial" w:hAnsi="Arial"/>
                <w:sz w:val="16"/>
                <w:szCs w:val="16"/>
                <w:color w:val="auto"/>
              </w:rPr>
              <w:t>common stock from acquisition</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(3,043)</w:t>
            </w: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4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ind w:left="98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0"/>
        </w:trPr>
        <w:tc>
          <w:tcPr>
            <w:tcW w:w="2860" w:type="dxa"/>
            <w:vAlign w:val="bottom"/>
          </w:tcPr>
          <w:p>
            <w:pPr>
              <w:ind w:left="20"/>
              <w:spacing w:after="0"/>
              <w:rPr>
                <w:sz w:val="20"/>
                <w:szCs w:val="20"/>
                <w:color w:val="auto"/>
              </w:rPr>
            </w:pPr>
            <w:r>
              <w:rPr>
                <w:rFonts w:ascii="Arial" w:cs="Arial" w:eastAsia="Arial" w:hAnsi="Arial"/>
                <w:sz w:val="16"/>
                <w:szCs w:val="16"/>
                <w:color w:val="auto"/>
              </w:rPr>
              <w:t>Stock-based compensation</w:t>
            </w:r>
          </w:p>
        </w:tc>
        <w:tc>
          <w:tcPr>
            <w:tcW w:w="14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960" w:type="dxa"/>
            <w:vAlign w:val="bottom"/>
          </w:tcPr>
          <w:p>
            <w:pPr>
              <w:spacing w:after="0"/>
              <w:rPr>
                <w:sz w:val="20"/>
                <w:szCs w:val="20"/>
                <w:color w:val="auto"/>
              </w:rPr>
            </w:pPr>
          </w:p>
        </w:tc>
        <w:tc>
          <w:tcPr>
            <w:tcW w:w="4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126,185</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20" w:type="dxa"/>
            <w:vAlign w:val="bottom"/>
            <w:gridSpan w:val="2"/>
          </w:tcPr>
          <w:p>
            <w:pPr>
              <w:ind w:left="9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126,185</w:t>
            </w:r>
          </w:p>
        </w:tc>
        <w:tc>
          <w:tcPr>
            <w:tcW w:w="0" w:type="dxa"/>
            <w:vAlign w:val="bottom"/>
          </w:tcPr>
          <w:p>
            <w:pPr>
              <w:spacing w:after="0"/>
              <w:rPr>
                <w:sz w:val="1"/>
                <w:szCs w:val="1"/>
                <w:color w:val="auto"/>
              </w:rPr>
            </w:pPr>
          </w:p>
        </w:tc>
      </w:tr>
      <w:tr>
        <w:trPr>
          <w:trHeight w:val="223"/>
        </w:trPr>
        <w:tc>
          <w:tcPr>
            <w:tcW w:w="28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Change in accumulated other</w:t>
            </w:r>
          </w:p>
        </w:tc>
        <w:tc>
          <w:tcPr>
            <w:tcW w:w="1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2860" w:type="dxa"/>
            <w:vAlign w:val="bottom"/>
            <w:shd w:val="clear" w:color="auto" w:fill="CCEEFF"/>
          </w:tcPr>
          <w:p>
            <w:pPr>
              <w:ind w:left="180"/>
              <w:spacing w:after="0"/>
              <w:rPr>
                <w:sz w:val="20"/>
                <w:szCs w:val="20"/>
                <w:color w:val="auto"/>
              </w:rPr>
            </w:pPr>
            <w:r>
              <w:rPr>
                <w:rFonts w:ascii="Arial" w:cs="Arial" w:eastAsia="Arial" w:hAnsi="Arial"/>
                <w:sz w:val="16"/>
                <w:szCs w:val="16"/>
                <w:color w:val="auto"/>
              </w:rPr>
              <w:t>comprehensive loss</w:t>
            </w:r>
          </w:p>
        </w:tc>
        <w:tc>
          <w:tcPr>
            <w:tcW w:w="14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spacing w:after="0"/>
              <w:rPr>
                <w:sz w:val="19"/>
                <w:szCs w:val="19"/>
                <w:color w:val="auto"/>
              </w:rPr>
            </w:pPr>
          </w:p>
        </w:tc>
        <w:tc>
          <w:tcPr>
            <w:tcW w:w="4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(1,571)</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(1,571)</w:t>
            </w:r>
          </w:p>
        </w:tc>
        <w:tc>
          <w:tcPr>
            <w:tcW w:w="0" w:type="dxa"/>
            <w:vAlign w:val="bottom"/>
          </w:tcPr>
          <w:p>
            <w:pPr>
              <w:spacing w:after="0"/>
              <w:rPr>
                <w:sz w:val="1"/>
                <w:szCs w:val="1"/>
                <w:color w:val="auto"/>
              </w:rPr>
            </w:pPr>
          </w:p>
        </w:tc>
      </w:tr>
      <w:tr>
        <w:trPr>
          <w:trHeight w:val="240"/>
        </w:trPr>
        <w:tc>
          <w:tcPr>
            <w:tcW w:w="2860" w:type="dxa"/>
            <w:vAlign w:val="bottom"/>
          </w:tcPr>
          <w:p>
            <w:pPr>
              <w:ind w:left="20"/>
              <w:spacing w:after="0"/>
              <w:rPr>
                <w:sz w:val="20"/>
                <w:szCs w:val="20"/>
                <w:color w:val="auto"/>
              </w:rPr>
            </w:pPr>
            <w:r>
              <w:rPr>
                <w:rFonts w:ascii="Arial" w:cs="Arial" w:eastAsia="Arial" w:hAnsi="Arial"/>
                <w:sz w:val="16"/>
                <w:szCs w:val="16"/>
                <w:color w:val="auto"/>
              </w:rPr>
              <w:t>Net income</w:t>
            </w:r>
          </w:p>
        </w:tc>
        <w:tc>
          <w:tcPr>
            <w:tcW w:w="14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960" w:type="dxa"/>
            <w:vAlign w:val="bottom"/>
          </w:tcPr>
          <w:p>
            <w:pPr>
              <w:spacing w:after="0"/>
              <w:rPr>
                <w:sz w:val="20"/>
                <w:szCs w:val="20"/>
                <w:color w:val="auto"/>
              </w:rPr>
            </w:pPr>
          </w:p>
        </w:tc>
        <w:tc>
          <w:tcPr>
            <w:tcW w:w="4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1320" w:type="dxa"/>
            <w:vAlign w:val="bottom"/>
            <w:gridSpan w:val="2"/>
          </w:tcPr>
          <w:p>
            <w:pPr>
              <w:ind w:left="9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22,630</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22,630</w:t>
            </w:r>
          </w:p>
        </w:tc>
        <w:tc>
          <w:tcPr>
            <w:tcW w:w="0" w:type="dxa"/>
            <w:vAlign w:val="bottom"/>
          </w:tcPr>
          <w:p>
            <w:pPr>
              <w:spacing w:after="0"/>
              <w:rPr>
                <w:sz w:val="1"/>
                <w:szCs w:val="1"/>
                <w:color w:val="auto"/>
              </w:rPr>
            </w:pPr>
          </w:p>
        </w:tc>
      </w:tr>
      <w:tr>
        <w:trPr>
          <w:trHeight w:val="264"/>
        </w:trPr>
        <w:tc>
          <w:tcPr>
            <w:tcW w:w="28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BALANCE—September 30, 2023</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328,245,659</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960" w:type="dxa"/>
            <w:vAlign w:val="bottom"/>
            <w:tcBorders>
              <w:top w:val="single" w:sz="8" w:color="auto"/>
              <w:bottom w:val="single" w:sz="8" w:color="auto"/>
            </w:tcBorders>
            <w:shd w:val="clear" w:color="auto" w:fill="CCEEFF"/>
          </w:tcPr>
          <w:p>
            <w:pPr>
              <w:jc w:val="right"/>
              <w:ind w:right="785"/>
              <w:spacing w:after="0"/>
              <w:rPr>
                <w:sz w:val="20"/>
                <w:szCs w:val="20"/>
                <w:color w:val="auto"/>
              </w:rPr>
            </w:pPr>
            <w:r>
              <w:rPr>
                <w:rFonts w:ascii="Arial" w:cs="Arial" w:eastAsia="Arial" w:hAnsi="Arial"/>
                <w:sz w:val="16"/>
                <w:szCs w:val="16"/>
                <w:color w:val="auto"/>
                <w:w w:val="89"/>
              </w:rPr>
              <w:t>$</w:t>
            </w:r>
          </w:p>
        </w:tc>
        <w:tc>
          <w:tcPr>
            <w:tcW w:w="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2,028,053</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(13,889)</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20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(207,691)</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1,806,476</w:t>
            </w:r>
          </w:p>
        </w:tc>
        <w:tc>
          <w:tcPr>
            <w:tcW w:w="0" w:type="dxa"/>
            <w:vAlign w:val="bottom"/>
          </w:tcPr>
          <w:p>
            <w:pPr>
              <w:spacing w:after="0"/>
              <w:rPr>
                <w:sz w:val="1"/>
                <w:szCs w:val="1"/>
                <w:color w:val="auto"/>
              </w:rPr>
            </w:pPr>
          </w:p>
        </w:tc>
      </w:tr>
      <w:tr>
        <w:trPr>
          <w:trHeight w:val="20"/>
        </w:trPr>
        <w:tc>
          <w:tcPr>
            <w:tcW w:w="286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860" w:type="dxa"/>
            <w:vAlign w:val="bottom"/>
          </w:tcPr>
          <w:p>
            <w:pPr>
              <w:spacing w:after="0"/>
              <w:rPr>
                <w:sz w:val="12"/>
                <w:szCs w:val="12"/>
                <w:color w:val="auto"/>
              </w:rPr>
            </w:pPr>
          </w:p>
        </w:tc>
        <w:tc>
          <w:tcPr>
            <w:tcW w:w="2380" w:type="dxa"/>
            <w:vAlign w:val="bottom"/>
            <w:gridSpan w:val="3"/>
          </w:tcPr>
          <w:p>
            <w:pPr>
              <w:jc w:val="right"/>
              <w:ind w:right="425"/>
              <w:spacing w:after="0"/>
              <w:rPr>
                <w:sz w:val="20"/>
                <w:szCs w:val="20"/>
                <w:color w:val="auto"/>
              </w:rPr>
            </w:pPr>
            <w:r>
              <w:rPr>
                <w:rFonts w:ascii="Arial" w:cs="Arial" w:eastAsia="Arial" w:hAnsi="Arial"/>
                <w:sz w:val="13"/>
                <w:szCs w:val="13"/>
                <w:b w:val="1"/>
                <w:bCs w:val="1"/>
                <w:color w:val="auto"/>
              </w:rPr>
              <w:t>Class A and Class B</w:t>
            </w: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0" w:type="dxa"/>
            <w:vAlign w:val="bottom"/>
            <w:gridSpan w:val="2"/>
            <w:vMerge w:val="restart"/>
          </w:tcPr>
          <w:p>
            <w:pPr>
              <w:jc w:val="center"/>
              <w:ind w:right="360"/>
              <w:spacing w:after="0"/>
              <w:rPr>
                <w:sz w:val="20"/>
                <w:szCs w:val="20"/>
                <w:color w:val="auto"/>
              </w:rPr>
            </w:pPr>
            <w:r>
              <w:rPr>
                <w:rFonts w:ascii="Arial" w:cs="Arial" w:eastAsia="Arial" w:hAnsi="Arial"/>
                <w:sz w:val="13"/>
                <w:szCs w:val="13"/>
                <w:b w:val="1"/>
                <w:bCs w:val="1"/>
                <w:color w:val="auto"/>
                <w:w w:val="88"/>
              </w:rPr>
              <w:t>Additional</w:t>
            </w:r>
          </w:p>
        </w:tc>
        <w:tc>
          <w:tcPr>
            <w:tcW w:w="1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vMerge w:val="restart"/>
          </w:tcPr>
          <w:p>
            <w:pPr>
              <w:jc w:val="center"/>
              <w:ind w:right="124"/>
              <w:spacing w:after="0"/>
              <w:rPr>
                <w:sz w:val="20"/>
                <w:szCs w:val="20"/>
                <w:color w:val="auto"/>
              </w:rPr>
            </w:pPr>
            <w:r>
              <w:rPr>
                <w:rFonts w:ascii="Arial" w:cs="Arial" w:eastAsia="Arial" w:hAnsi="Arial"/>
                <w:sz w:val="13"/>
                <w:szCs w:val="13"/>
                <w:b w:val="1"/>
                <w:bCs w:val="1"/>
                <w:color w:val="auto"/>
                <w:w w:val="83"/>
              </w:rPr>
              <w:t>Total</w:t>
            </w:r>
          </w:p>
        </w:tc>
        <w:tc>
          <w:tcPr>
            <w:tcW w:w="0" w:type="dxa"/>
            <w:vAlign w:val="bottom"/>
          </w:tcPr>
          <w:p>
            <w:pPr>
              <w:spacing w:after="0"/>
              <w:rPr>
                <w:sz w:val="1"/>
                <w:szCs w:val="1"/>
                <w:color w:val="auto"/>
              </w:rPr>
            </w:pPr>
          </w:p>
        </w:tc>
      </w:tr>
      <w:tr>
        <w:trPr>
          <w:trHeight w:val="54"/>
        </w:trPr>
        <w:tc>
          <w:tcPr>
            <w:tcW w:w="2860" w:type="dxa"/>
            <w:vAlign w:val="bottom"/>
          </w:tcPr>
          <w:p>
            <w:pPr>
              <w:spacing w:after="0"/>
              <w:rPr>
                <w:sz w:val="4"/>
                <w:szCs w:val="4"/>
                <w:color w:val="auto"/>
              </w:rPr>
            </w:pPr>
          </w:p>
        </w:tc>
        <w:tc>
          <w:tcPr>
            <w:tcW w:w="2380" w:type="dxa"/>
            <w:vAlign w:val="bottom"/>
            <w:gridSpan w:val="3"/>
            <w:vMerge w:val="restart"/>
          </w:tcPr>
          <w:p>
            <w:pPr>
              <w:jc w:val="right"/>
              <w:ind w:right="545"/>
              <w:spacing w:after="0"/>
              <w:rPr>
                <w:sz w:val="20"/>
                <w:szCs w:val="20"/>
                <w:color w:val="auto"/>
              </w:rPr>
            </w:pPr>
            <w:r>
              <w:rPr>
                <w:rFonts w:ascii="Arial" w:cs="Arial" w:eastAsia="Arial" w:hAnsi="Arial"/>
                <w:sz w:val="13"/>
                <w:szCs w:val="13"/>
                <w:b w:val="1"/>
                <w:bCs w:val="1"/>
                <w:color w:val="auto"/>
              </w:rPr>
              <w:t>Common Stock</w:t>
            </w:r>
          </w:p>
        </w:tc>
        <w:tc>
          <w:tcPr>
            <w:tcW w:w="320" w:type="dxa"/>
            <w:vAlign w:val="bottom"/>
          </w:tcPr>
          <w:p>
            <w:pPr>
              <w:spacing w:after="0"/>
              <w:rPr>
                <w:sz w:val="4"/>
                <w:szCs w:val="4"/>
                <w:color w:val="auto"/>
              </w:rPr>
            </w:pPr>
          </w:p>
        </w:tc>
        <w:tc>
          <w:tcPr>
            <w:tcW w:w="1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100" w:type="dxa"/>
            <w:vAlign w:val="bottom"/>
          </w:tcPr>
          <w:p>
            <w:pPr>
              <w:spacing w:after="0"/>
              <w:rPr>
                <w:sz w:val="4"/>
                <w:szCs w:val="4"/>
                <w:color w:val="auto"/>
              </w:rPr>
            </w:pPr>
          </w:p>
        </w:tc>
        <w:tc>
          <w:tcPr>
            <w:tcW w:w="12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10"/>
        </w:trPr>
        <w:tc>
          <w:tcPr>
            <w:tcW w:w="2860" w:type="dxa"/>
            <w:vAlign w:val="bottom"/>
          </w:tcPr>
          <w:p>
            <w:pPr>
              <w:spacing w:after="0"/>
              <w:rPr>
                <w:sz w:val="9"/>
                <w:szCs w:val="9"/>
                <w:color w:val="auto"/>
              </w:rPr>
            </w:pPr>
          </w:p>
        </w:tc>
        <w:tc>
          <w:tcPr>
            <w:tcW w:w="2380" w:type="dxa"/>
            <w:vAlign w:val="bottom"/>
            <w:gridSpan w:val="3"/>
            <w:vMerge w:val="continue"/>
          </w:tcPr>
          <w:p>
            <w:pPr>
              <w:spacing w:after="0"/>
              <w:rPr>
                <w:sz w:val="9"/>
                <w:szCs w:val="9"/>
                <w:color w:val="auto"/>
              </w:rPr>
            </w:pPr>
          </w:p>
        </w:tc>
        <w:tc>
          <w:tcPr>
            <w:tcW w:w="3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0" w:type="dxa"/>
            <w:vAlign w:val="bottom"/>
            <w:gridSpan w:val="2"/>
            <w:vMerge w:val="restart"/>
          </w:tcPr>
          <w:p>
            <w:pPr>
              <w:jc w:val="center"/>
              <w:ind w:right="360"/>
              <w:spacing w:after="0" w:line="120" w:lineRule="exact"/>
              <w:rPr>
                <w:sz w:val="20"/>
                <w:szCs w:val="20"/>
                <w:color w:val="auto"/>
              </w:rPr>
            </w:pPr>
            <w:r>
              <w:rPr>
                <w:rFonts w:ascii="Arial" w:cs="Arial" w:eastAsia="Arial" w:hAnsi="Arial"/>
                <w:sz w:val="13"/>
                <w:szCs w:val="13"/>
                <w:b w:val="1"/>
                <w:bCs w:val="1"/>
                <w:color w:val="auto"/>
                <w:w w:val="92"/>
              </w:rPr>
              <w:t>Paid-in</w:t>
            </w:r>
          </w:p>
        </w:tc>
        <w:tc>
          <w:tcPr>
            <w:tcW w:w="100" w:type="dxa"/>
            <w:vAlign w:val="bottom"/>
          </w:tcPr>
          <w:p>
            <w:pPr>
              <w:spacing w:after="0"/>
              <w:rPr>
                <w:sz w:val="9"/>
                <w:szCs w:val="9"/>
                <w:color w:val="auto"/>
              </w:rPr>
            </w:pPr>
          </w:p>
        </w:tc>
        <w:tc>
          <w:tcPr>
            <w:tcW w:w="1320" w:type="dxa"/>
            <w:vAlign w:val="bottom"/>
            <w:gridSpan w:val="2"/>
            <w:vMerge w:val="restart"/>
          </w:tcPr>
          <w:p>
            <w:pPr>
              <w:ind w:left="20"/>
              <w:spacing w:after="0" w:line="120" w:lineRule="exact"/>
              <w:rPr>
                <w:sz w:val="20"/>
                <w:szCs w:val="20"/>
                <w:color w:val="auto"/>
              </w:rPr>
            </w:pPr>
            <w:r>
              <w:rPr>
                <w:rFonts w:ascii="Arial" w:cs="Arial" w:eastAsia="Arial" w:hAnsi="Arial"/>
                <w:sz w:val="13"/>
                <w:szCs w:val="13"/>
                <w:b w:val="1"/>
                <w:bCs w:val="1"/>
                <w:color w:val="auto"/>
              </w:rPr>
              <w:t>Accumulated Other</w:t>
            </w:r>
          </w:p>
        </w:tc>
        <w:tc>
          <w:tcPr>
            <w:tcW w:w="180" w:type="dxa"/>
            <w:vAlign w:val="bottom"/>
          </w:tcPr>
          <w:p>
            <w:pPr>
              <w:spacing w:after="0"/>
              <w:rPr>
                <w:sz w:val="9"/>
                <w:szCs w:val="9"/>
                <w:color w:val="auto"/>
              </w:rPr>
            </w:pPr>
          </w:p>
        </w:tc>
        <w:tc>
          <w:tcPr>
            <w:tcW w:w="1240" w:type="dxa"/>
            <w:vAlign w:val="bottom"/>
            <w:gridSpan w:val="2"/>
            <w:vMerge w:val="restart"/>
          </w:tcPr>
          <w:p>
            <w:pPr>
              <w:ind w:left="100"/>
              <w:spacing w:after="0" w:line="120" w:lineRule="exact"/>
              <w:rPr>
                <w:sz w:val="20"/>
                <w:szCs w:val="20"/>
                <w:color w:val="auto"/>
              </w:rPr>
            </w:pPr>
            <w:r>
              <w:rPr>
                <w:rFonts w:ascii="Arial" w:cs="Arial" w:eastAsia="Arial" w:hAnsi="Arial"/>
                <w:sz w:val="13"/>
                <w:szCs w:val="13"/>
                <w:b w:val="1"/>
                <w:bCs w:val="1"/>
                <w:color w:val="auto"/>
              </w:rPr>
              <w:t>Accumulated</w:t>
            </w:r>
          </w:p>
        </w:tc>
        <w:tc>
          <w:tcPr>
            <w:tcW w:w="160" w:type="dxa"/>
            <w:vAlign w:val="bottom"/>
          </w:tcPr>
          <w:p>
            <w:pPr>
              <w:spacing w:after="0"/>
              <w:rPr>
                <w:sz w:val="9"/>
                <w:szCs w:val="9"/>
                <w:color w:val="auto"/>
              </w:rPr>
            </w:pPr>
          </w:p>
        </w:tc>
        <w:tc>
          <w:tcPr>
            <w:tcW w:w="1140" w:type="dxa"/>
            <w:vAlign w:val="bottom"/>
            <w:vMerge w:val="restart"/>
          </w:tcPr>
          <w:p>
            <w:pPr>
              <w:jc w:val="center"/>
              <w:ind w:right="124"/>
              <w:spacing w:after="0" w:line="120" w:lineRule="exact"/>
              <w:rPr>
                <w:sz w:val="20"/>
                <w:szCs w:val="20"/>
                <w:color w:val="auto"/>
              </w:rPr>
            </w:pPr>
            <w:r>
              <w:rPr>
                <w:rFonts w:ascii="Arial" w:cs="Arial" w:eastAsia="Arial" w:hAnsi="Arial"/>
                <w:sz w:val="13"/>
                <w:szCs w:val="13"/>
                <w:b w:val="1"/>
                <w:bCs w:val="1"/>
                <w:color w:val="auto"/>
                <w:w w:val="86"/>
              </w:rPr>
              <w:t>Stockholders'</w:t>
            </w:r>
          </w:p>
        </w:tc>
        <w:tc>
          <w:tcPr>
            <w:tcW w:w="0" w:type="dxa"/>
            <w:vAlign w:val="bottom"/>
          </w:tcPr>
          <w:p>
            <w:pPr>
              <w:spacing w:after="0"/>
              <w:rPr>
                <w:sz w:val="1"/>
                <w:szCs w:val="1"/>
                <w:color w:val="auto"/>
              </w:rPr>
            </w:pPr>
          </w:p>
        </w:tc>
      </w:tr>
      <w:tr>
        <w:trPr>
          <w:trHeight w:val="29"/>
        </w:trPr>
        <w:tc>
          <w:tcPr>
            <w:tcW w:w="2860" w:type="dxa"/>
            <w:vAlign w:val="bottom"/>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gridSpan w:val="2"/>
            <w:vMerge w:val="continue"/>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gridSpan w:val="2"/>
            <w:vMerge w:val="continue"/>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gridSpan w:val="2"/>
            <w:vMerge w:val="continue"/>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860" w:type="dxa"/>
            <w:vAlign w:val="bottom"/>
          </w:tcPr>
          <w:p>
            <w:pPr>
              <w:spacing w:after="0"/>
              <w:rPr>
                <w:sz w:val="14"/>
                <w:szCs w:val="14"/>
                <w:color w:val="auto"/>
              </w:rPr>
            </w:pPr>
          </w:p>
        </w:tc>
        <w:tc>
          <w:tcPr>
            <w:tcW w:w="1420" w:type="dxa"/>
            <w:vAlign w:val="bottom"/>
            <w:gridSpan w:val="2"/>
          </w:tcPr>
          <w:p>
            <w:pPr>
              <w:ind w:left="480"/>
              <w:spacing w:after="0"/>
              <w:rPr>
                <w:sz w:val="20"/>
                <w:szCs w:val="20"/>
                <w:color w:val="auto"/>
              </w:rPr>
            </w:pPr>
            <w:r>
              <w:rPr>
                <w:rFonts w:ascii="Arial" w:cs="Arial" w:eastAsia="Arial" w:hAnsi="Arial"/>
                <w:sz w:val="13"/>
                <w:szCs w:val="13"/>
                <w:b w:val="1"/>
                <w:bCs w:val="1"/>
                <w:color w:val="auto"/>
              </w:rPr>
              <w:t>Shares</w:t>
            </w:r>
          </w:p>
        </w:tc>
        <w:tc>
          <w:tcPr>
            <w:tcW w:w="960" w:type="dxa"/>
            <w:vAlign w:val="bottom"/>
          </w:tcPr>
          <w:p>
            <w:pPr>
              <w:jc w:val="right"/>
              <w:ind w:right="25"/>
              <w:spacing w:after="0"/>
              <w:rPr>
                <w:sz w:val="20"/>
                <w:szCs w:val="20"/>
                <w:color w:val="auto"/>
              </w:rPr>
            </w:pPr>
            <w:r>
              <w:rPr>
                <w:rFonts w:ascii="Arial" w:cs="Arial" w:eastAsia="Arial" w:hAnsi="Arial"/>
                <w:sz w:val="13"/>
                <w:szCs w:val="13"/>
                <w:b w:val="1"/>
                <w:bCs w:val="1"/>
                <w:color w:val="auto"/>
              </w:rPr>
              <w:t>Amount</w:t>
            </w: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0" w:type="dxa"/>
            <w:vAlign w:val="bottom"/>
            <w:gridSpan w:val="2"/>
          </w:tcPr>
          <w:p>
            <w:pPr>
              <w:jc w:val="center"/>
              <w:ind w:right="320"/>
              <w:spacing w:after="0"/>
              <w:rPr>
                <w:sz w:val="20"/>
                <w:szCs w:val="20"/>
                <w:color w:val="auto"/>
              </w:rPr>
            </w:pPr>
            <w:r>
              <w:rPr>
                <w:rFonts w:ascii="Arial" w:cs="Arial" w:eastAsia="Arial" w:hAnsi="Arial"/>
                <w:sz w:val="13"/>
                <w:szCs w:val="13"/>
                <w:b w:val="1"/>
                <w:bCs w:val="1"/>
                <w:color w:val="auto"/>
                <w:w w:val="92"/>
              </w:rPr>
              <w:t>Capital</w:t>
            </w:r>
          </w:p>
        </w:tc>
        <w:tc>
          <w:tcPr>
            <w:tcW w:w="100" w:type="dxa"/>
            <w:vAlign w:val="bottom"/>
          </w:tcPr>
          <w:p>
            <w:pPr>
              <w:spacing w:after="0"/>
              <w:rPr>
                <w:sz w:val="14"/>
                <w:szCs w:val="14"/>
                <w:color w:val="auto"/>
              </w:rPr>
            </w:pPr>
          </w:p>
        </w:tc>
        <w:tc>
          <w:tcPr>
            <w:tcW w:w="1320" w:type="dxa"/>
            <w:vAlign w:val="bottom"/>
            <w:gridSpan w:val="2"/>
          </w:tcPr>
          <w:p>
            <w:pPr>
              <w:spacing w:after="0"/>
              <w:rPr>
                <w:sz w:val="20"/>
                <w:szCs w:val="20"/>
                <w:color w:val="auto"/>
              </w:rPr>
            </w:pPr>
            <w:r>
              <w:rPr>
                <w:rFonts w:ascii="Arial" w:cs="Arial" w:eastAsia="Arial" w:hAnsi="Arial"/>
                <w:sz w:val="13"/>
                <w:szCs w:val="13"/>
                <w:b w:val="1"/>
                <w:bCs w:val="1"/>
                <w:color w:val="auto"/>
                <w:w w:val="98"/>
              </w:rPr>
              <w:t>Comprehensive Loss</w:t>
            </w:r>
          </w:p>
        </w:tc>
        <w:tc>
          <w:tcPr>
            <w:tcW w:w="180" w:type="dxa"/>
            <w:vAlign w:val="bottom"/>
          </w:tcPr>
          <w:p>
            <w:pPr>
              <w:spacing w:after="0"/>
              <w:rPr>
                <w:sz w:val="14"/>
                <w:szCs w:val="14"/>
                <w:color w:val="auto"/>
              </w:rPr>
            </w:pPr>
          </w:p>
        </w:tc>
        <w:tc>
          <w:tcPr>
            <w:tcW w:w="1240" w:type="dxa"/>
            <w:vAlign w:val="bottom"/>
            <w:gridSpan w:val="2"/>
          </w:tcPr>
          <w:p>
            <w:pPr>
              <w:ind w:left="280"/>
              <w:spacing w:after="0"/>
              <w:rPr>
                <w:sz w:val="20"/>
                <w:szCs w:val="20"/>
                <w:color w:val="auto"/>
              </w:rPr>
            </w:pPr>
            <w:r>
              <w:rPr>
                <w:rFonts w:ascii="Arial" w:cs="Arial" w:eastAsia="Arial" w:hAnsi="Arial"/>
                <w:sz w:val="13"/>
                <w:szCs w:val="13"/>
                <w:b w:val="1"/>
                <w:bCs w:val="1"/>
                <w:color w:val="auto"/>
              </w:rPr>
              <w:t>Deficit</w:t>
            </w:r>
          </w:p>
        </w:tc>
        <w:tc>
          <w:tcPr>
            <w:tcW w:w="160" w:type="dxa"/>
            <w:vAlign w:val="bottom"/>
          </w:tcPr>
          <w:p>
            <w:pPr>
              <w:spacing w:after="0"/>
              <w:rPr>
                <w:sz w:val="14"/>
                <w:szCs w:val="14"/>
                <w:color w:val="auto"/>
              </w:rPr>
            </w:pPr>
          </w:p>
        </w:tc>
        <w:tc>
          <w:tcPr>
            <w:tcW w:w="1140" w:type="dxa"/>
            <w:vAlign w:val="bottom"/>
          </w:tcPr>
          <w:p>
            <w:pPr>
              <w:jc w:val="center"/>
              <w:ind w:right="104"/>
              <w:spacing w:after="0"/>
              <w:rPr>
                <w:sz w:val="20"/>
                <w:szCs w:val="20"/>
                <w:color w:val="auto"/>
              </w:rPr>
            </w:pPr>
            <w:r>
              <w:rPr>
                <w:rFonts w:ascii="Arial" w:cs="Arial" w:eastAsia="Arial" w:hAnsi="Arial"/>
                <w:sz w:val="13"/>
                <w:szCs w:val="13"/>
                <w:b w:val="1"/>
                <w:bCs w:val="1"/>
                <w:color w:val="auto"/>
                <w:w w:val="91"/>
              </w:rPr>
              <w:t>Equity (Deficit)</w:t>
            </w:r>
          </w:p>
        </w:tc>
        <w:tc>
          <w:tcPr>
            <w:tcW w:w="0" w:type="dxa"/>
            <w:vAlign w:val="bottom"/>
          </w:tcPr>
          <w:p>
            <w:pPr>
              <w:spacing w:after="0"/>
              <w:rPr>
                <w:sz w:val="1"/>
                <w:szCs w:val="1"/>
                <w:color w:val="auto"/>
              </w:rPr>
            </w:pPr>
          </w:p>
        </w:tc>
      </w:tr>
      <w:tr>
        <w:trPr>
          <w:trHeight w:val="30"/>
        </w:trPr>
        <w:tc>
          <w:tcPr>
            <w:tcW w:w="286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6"/>
        </w:trPr>
        <w:tc>
          <w:tcPr>
            <w:tcW w:w="286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BALANCE—June 30, 2022</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316,415,782</w:t>
            </w:r>
          </w:p>
        </w:tc>
        <w:tc>
          <w:tcPr>
            <w:tcW w:w="120" w:type="dxa"/>
            <w:vAlign w:val="bottom"/>
            <w:shd w:val="clear" w:color="auto" w:fill="CCEEFF"/>
          </w:tcPr>
          <w:p>
            <w:pPr>
              <w:spacing w:after="0"/>
              <w:rPr>
                <w:sz w:val="20"/>
                <w:szCs w:val="20"/>
                <w:color w:val="auto"/>
              </w:rPr>
            </w:pPr>
          </w:p>
        </w:tc>
        <w:tc>
          <w:tcPr>
            <w:tcW w:w="960" w:type="dxa"/>
            <w:vAlign w:val="bottom"/>
            <w:shd w:val="clear" w:color="auto" w:fill="CCEEFF"/>
          </w:tcPr>
          <w:p>
            <w:pPr>
              <w:jc w:val="right"/>
              <w:ind w:right="785"/>
              <w:spacing w:after="0"/>
              <w:rPr>
                <w:sz w:val="20"/>
                <w:szCs w:val="20"/>
                <w:color w:val="auto"/>
              </w:rPr>
            </w:pPr>
            <w:r>
              <w:rPr>
                <w:rFonts w:ascii="Arial" w:cs="Arial" w:eastAsia="Arial" w:hAnsi="Arial"/>
                <w:sz w:val="16"/>
                <w:szCs w:val="16"/>
                <w:color w:val="auto"/>
                <w:w w:val="89"/>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1,380,873</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(18,509)</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(147,247)</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w w:val="71"/>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1,215,120</w:t>
            </w:r>
          </w:p>
        </w:tc>
        <w:tc>
          <w:tcPr>
            <w:tcW w:w="0" w:type="dxa"/>
            <w:vAlign w:val="bottom"/>
          </w:tcPr>
          <w:p>
            <w:pPr>
              <w:spacing w:after="0"/>
              <w:rPr>
                <w:sz w:val="1"/>
                <w:szCs w:val="1"/>
                <w:color w:val="auto"/>
              </w:rPr>
            </w:pPr>
          </w:p>
        </w:tc>
      </w:tr>
      <w:tr>
        <w:trPr>
          <w:trHeight w:val="206"/>
        </w:trPr>
        <w:tc>
          <w:tcPr>
            <w:tcW w:w="2860" w:type="dxa"/>
            <w:vAlign w:val="bottom"/>
          </w:tcPr>
          <w:p>
            <w:pPr>
              <w:ind w:left="20"/>
              <w:spacing w:after="0"/>
              <w:rPr>
                <w:sz w:val="20"/>
                <w:szCs w:val="20"/>
                <w:color w:val="auto"/>
              </w:rPr>
            </w:pPr>
            <w:r>
              <w:rPr>
                <w:rFonts w:ascii="Arial" w:cs="Arial" w:eastAsia="Arial" w:hAnsi="Arial"/>
                <w:sz w:val="16"/>
                <w:szCs w:val="16"/>
                <w:color w:val="auto"/>
                <w:w w:val="96"/>
              </w:rPr>
              <w:t>Issuance of common stock upon exercise</w:t>
            </w:r>
          </w:p>
        </w:tc>
        <w:tc>
          <w:tcPr>
            <w:tcW w:w="1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2860" w:type="dxa"/>
            <w:vAlign w:val="bottom"/>
          </w:tcPr>
          <w:p>
            <w:pPr>
              <w:ind w:left="180"/>
              <w:spacing w:after="0"/>
              <w:rPr>
                <w:sz w:val="20"/>
                <w:szCs w:val="20"/>
                <w:color w:val="auto"/>
              </w:rPr>
            </w:pPr>
            <w:r>
              <w:rPr>
                <w:rFonts w:ascii="Arial" w:cs="Arial" w:eastAsia="Arial" w:hAnsi="Arial"/>
                <w:sz w:val="16"/>
                <w:szCs w:val="16"/>
                <w:color w:val="auto"/>
              </w:rPr>
              <w:t>of stock options</w:t>
            </w:r>
          </w:p>
        </w:tc>
        <w:tc>
          <w:tcPr>
            <w:tcW w:w="1300" w:type="dxa"/>
            <w:vAlign w:val="bottom"/>
          </w:tcPr>
          <w:p>
            <w:pPr>
              <w:jc w:val="right"/>
              <w:spacing w:after="0"/>
              <w:rPr>
                <w:sz w:val="20"/>
                <w:szCs w:val="20"/>
                <w:color w:val="auto"/>
              </w:rPr>
            </w:pPr>
            <w:r>
              <w:rPr>
                <w:rFonts w:ascii="Arial" w:cs="Arial" w:eastAsia="Arial" w:hAnsi="Arial"/>
                <w:sz w:val="16"/>
                <w:szCs w:val="16"/>
                <w:color w:val="auto"/>
              </w:rPr>
              <w:t>415,291</w:t>
            </w:r>
          </w:p>
        </w:tc>
        <w:tc>
          <w:tcPr>
            <w:tcW w:w="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4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1,837</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20" w:type="dxa"/>
            <w:vAlign w:val="bottom"/>
            <w:gridSpan w:val="2"/>
          </w:tcPr>
          <w:p>
            <w:pPr>
              <w:ind w:left="9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240" w:type="dxa"/>
            <w:vAlign w:val="bottom"/>
            <w:gridSpan w:val="2"/>
          </w:tcPr>
          <w:p>
            <w:pPr>
              <w:ind w:left="9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1,837</w:t>
            </w:r>
          </w:p>
        </w:tc>
        <w:tc>
          <w:tcPr>
            <w:tcW w:w="0" w:type="dxa"/>
            <w:vAlign w:val="bottom"/>
          </w:tcPr>
          <w:p>
            <w:pPr>
              <w:spacing w:after="0"/>
              <w:rPr>
                <w:sz w:val="1"/>
                <w:szCs w:val="1"/>
                <w:color w:val="auto"/>
              </w:rPr>
            </w:pPr>
          </w:p>
        </w:tc>
      </w:tr>
      <w:tr>
        <w:trPr>
          <w:trHeight w:val="246"/>
        </w:trPr>
        <w:tc>
          <w:tcPr>
            <w:tcW w:w="2860" w:type="dxa"/>
            <w:vAlign w:val="bottom"/>
            <w:shd w:val="clear" w:color="auto" w:fill="CCEEFF"/>
          </w:tcPr>
          <w:p>
            <w:pPr>
              <w:ind w:left="20"/>
              <w:spacing w:after="0"/>
              <w:rPr>
                <w:sz w:val="20"/>
                <w:szCs w:val="20"/>
                <w:color w:val="auto"/>
              </w:rPr>
            </w:pPr>
            <w:r>
              <w:rPr>
                <w:rFonts w:ascii="Arial" w:cs="Arial" w:eastAsia="Arial" w:hAnsi="Arial"/>
                <w:sz w:val="16"/>
                <w:szCs w:val="16"/>
                <w:color w:val="auto"/>
              </w:rPr>
              <w:t>Vesting of restricted stock units</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693,673</w:t>
            </w:r>
          </w:p>
        </w:tc>
        <w:tc>
          <w:tcPr>
            <w:tcW w:w="12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4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1"/>
                <w:szCs w:val="21"/>
                <w:color w:val="auto"/>
              </w:rPr>
            </w:pPr>
          </w:p>
        </w:tc>
        <w:tc>
          <w:tcPr>
            <w:tcW w:w="1320" w:type="dxa"/>
            <w:vAlign w:val="bottom"/>
            <w:gridSpan w:val="2"/>
            <w:shd w:val="clear" w:color="auto" w:fill="CCEEFF"/>
          </w:tcPr>
          <w:p>
            <w:pPr>
              <w:ind w:left="98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ind w:left="90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3"/>
        </w:trPr>
        <w:tc>
          <w:tcPr>
            <w:tcW w:w="2860" w:type="dxa"/>
            <w:vAlign w:val="bottom"/>
          </w:tcPr>
          <w:p>
            <w:pPr>
              <w:ind w:left="20"/>
              <w:spacing w:after="0"/>
              <w:rPr>
                <w:sz w:val="20"/>
                <w:szCs w:val="20"/>
                <w:color w:val="auto"/>
              </w:rPr>
            </w:pPr>
            <w:r>
              <w:rPr>
                <w:rFonts w:ascii="Arial" w:cs="Arial" w:eastAsia="Arial" w:hAnsi="Arial"/>
                <w:sz w:val="16"/>
                <w:szCs w:val="16"/>
                <w:color w:val="auto"/>
              </w:rPr>
              <w:t>Stock-based compensation</w:t>
            </w:r>
          </w:p>
        </w:tc>
        <w:tc>
          <w:tcPr>
            <w:tcW w:w="14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960" w:type="dxa"/>
            <w:vAlign w:val="bottom"/>
          </w:tcPr>
          <w:p>
            <w:pPr>
              <w:spacing w:after="0"/>
              <w:rPr>
                <w:sz w:val="20"/>
                <w:szCs w:val="20"/>
                <w:color w:val="auto"/>
              </w:rPr>
            </w:pPr>
          </w:p>
        </w:tc>
        <w:tc>
          <w:tcPr>
            <w:tcW w:w="4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105,282</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20" w:type="dxa"/>
            <w:vAlign w:val="bottom"/>
            <w:gridSpan w:val="2"/>
          </w:tcPr>
          <w:p>
            <w:pPr>
              <w:ind w:left="9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240" w:type="dxa"/>
            <w:vAlign w:val="bottom"/>
            <w:gridSpan w:val="2"/>
          </w:tcPr>
          <w:p>
            <w:pPr>
              <w:ind w:left="9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105,282</w:t>
            </w:r>
          </w:p>
        </w:tc>
        <w:tc>
          <w:tcPr>
            <w:tcW w:w="0" w:type="dxa"/>
            <w:vAlign w:val="bottom"/>
          </w:tcPr>
          <w:p>
            <w:pPr>
              <w:spacing w:after="0"/>
              <w:rPr>
                <w:sz w:val="1"/>
                <w:szCs w:val="1"/>
                <w:color w:val="auto"/>
              </w:rPr>
            </w:pPr>
          </w:p>
        </w:tc>
      </w:tr>
      <w:tr>
        <w:trPr>
          <w:trHeight w:val="216"/>
        </w:trPr>
        <w:tc>
          <w:tcPr>
            <w:tcW w:w="28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Change in accumulated other</w:t>
            </w:r>
          </w:p>
        </w:tc>
        <w:tc>
          <w:tcPr>
            <w:tcW w:w="1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9"/>
        </w:trPr>
        <w:tc>
          <w:tcPr>
            <w:tcW w:w="2860" w:type="dxa"/>
            <w:vAlign w:val="bottom"/>
            <w:shd w:val="clear" w:color="auto" w:fill="CCEEFF"/>
          </w:tcPr>
          <w:p>
            <w:pPr>
              <w:ind w:left="180"/>
              <w:spacing w:after="0"/>
              <w:rPr>
                <w:sz w:val="20"/>
                <w:szCs w:val="20"/>
                <w:color w:val="auto"/>
              </w:rPr>
            </w:pPr>
            <w:r>
              <w:rPr>
                <w:rFonts w:ascii="Arial" w:cs="Arial" w:eastAsia="Arial" w:hAnsi="Arial"/>
                <w:sz w:val="16"/>
                <w:szCs w:val="16"/>
                <w:color w:val="auto"/>
              </w:rPr>
              <w:t>comprehensive loss</w:t>
            </w:r>
          </w:p>
        </w:tc>
        <w:tc>
          <w:tcPr>
            <w:tcW w:w="14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spacing w:after="0"/>
              <w:rPr>
                <w:sz w:val="20"/>
                <w:szCs w:val="20"/>
                <w:color w:val="auto"/>
              </w:rPr>
            </w:pPr>
          </w:p>
        </w:tc>
        <w:tc>
          <w:tcPr>
            <w:tcW w:w="4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0"/>
                <w:szCs w:val="20"/>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(6,815)</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ind w:left="90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(6,815)</w:t>
            </w:r>
          </w:p>
        </w:tc>
        <w:tc>
          <w:tcPr>
            <w:tcW w:w="0" w:type="dxa"/>
            <w:vAlign w:val="bottom"/>
          </w:tcPr>
          <w:p>
            <w:pPr>
              <w:spacing w:after="0"/>
              <w:rPr>
                <w:sz w:val="1"/>
                <w:szCs w:val="1"/>
                <w:color w:val="auto"/>
              </w:rPr>
            </w:pPr>
          </w:p>
        </w:tc>
      </w:tr>
      <w:tr>
        <w:trPr>
          <w:trHeight w:val="237"/>
        </w:trPr>
        <w:tc>
          <w:tcPr>
            <w:tcW w:w="2860" w:type="dxa"/>
            <w:vAlign w:val="bottom"/>
          </w:tcPr>
          <w:p>
            <w:pPr>
              <w:ind w:left="20"/>
              <w:spacing w:after="0"/>
              <w:rPr>
                <w:sz w:val="20"/>
                <w:szCs w:val="20"/>
                <w:color w:val="auto"/>
              </w:rPr>
            </w:pPr>
            <w:r>
              <w:rPr>
                <w:rFonts w:ascii="Arial" w:cs="Arial" w:eastAsia="Arial" w:hAnsi="Arial"/>
                <w:sz w:val="16"/>
                <w:szCs w:val="16"/>
                <w:color w:val="auto"/>
              </w:rPr>
              <w:t>Net loss</w:t>
            </w:r>
          </w:p>
        </w:tc>
        <w:tc>
          <w:tcPr>
            <w:tcW w:w="14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960" w:type="dxa"/>
            <w:vAlign w:val="bottom"/>
          </w:tcPr>
          <w:p>
            <w:pPr>
              <w:spacing w:after="0"/>
              <w:rPr>
                <w:sz w:val="20"/>
                <w:szCs w:val="20"/>
                <w:color w:val="auto"/>
              </w:rPr>
            </w:pPr>
          </w:p>
        </w:tc>
        <w:tc>
          <w:tcPr>
            <w:tcW w:w="4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1320" w:type="dxa"/>
            <w:vAlign w:val="bottom"/>
            <w:gridSpan w:val="2"/>
          </w:tcPr>
          <w:p>
            <w:pPr>
              <w:ind w:left="9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(25,985)</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(25,985)</w:t>
            </w:r>
          </w:p>
        </w:tc>
        <w:tc>
          <w:tcPr>
            <w:tcW w:w="0" w:type="dxa"/>
            <w:vAlign w:val="bottom"/>
          </w:tcPr>
          <w:p>
            <w:pPr>
              <w:spacing w:after="0"/>
              <w:rPr>
                <w:sz w:val="1"/>
                <w:szCs w:val="1"/>
                <w:color w:val="auto"/>
              </w:rPr>
            </w:pPr>
          </w:p>
        </w:tc>
      </w:tr>
      <w:tr>
        <w:trPr>
          <w:trHeight w:val="268"/>
        </w:trPr>
        <w:tc>
          <w:tcPr>
            <w:tcW w:w="28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BALANCE—September 30, 2022</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317,524,746</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960" w:type="dxa"/>
            <w:vAlign w:val="bottom"/>
            <w:tcBorders>
              <w:top w:val="single" w:sz="8" w:color="auto"/>
              <w:bottom w:val="single" w:sz="8" w:color="auto"/>
            </w:tcBorders>
            <w:shd w:val="clear" w:color="auto" w:fill="CCEEFF"/>
          </w:tcPr>
          <w:p>
            <w:pPr>
              <w:jc w:val="right"/>
              <w:ind w:right="785"/>
              <w:spacing w:after="0"/>
              <w:rPr>
                <w:sz w:val="20"/>
                <w:szCs w:val="20"/>
                <w:color w:val="auto"/>
              </w:rPr>
            </w:pPr>
            <w:r>
              <w:rPr>
                <w:rFonts w:ascii="Arial" w:cs="Arial" w:eastAsia="Arial" w:hAnsi="Arial"/>
                <w:sz w:val="16"/>
                <w:szCs w:val="16"/>
                <w:color w:val="auto"/>
                <w:w w:val="89"/>
              </w:rPr>
              <w:t>$</w:t>
            </w:r>
          </w:p>
        </w:tc>
        <w:tc>
          <w:tcPr>
            <w:tcW w:w="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22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1,487,992</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(25,324)</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(173,232)</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1,289,439</w:t>
            </w:r>
          </w:p>
        </w:tc>
        <w:tc>
          <w:tcPr>
            <w:tcW w:w="0" w:type="dxa"/>
            <w:vAlign w:val="bottom"/>
          </w:tcPr>
          <w:p>
            <w:pPr>
              <w:spacing w:after="0"/>
              <w:rPr>
                <w:sz w:val="1"/>
                <w:szCs w:val="1"/>
                <w:color w:val="auto"/>
              </w:rPr>
            </w:pPr>
          </w:p>
        </w:tc>
      </w:tr>
      <w:tr>
        <w:trPr>
          <w:trHeight w:val="20"/>
        </w:trPr>
        <w:tc>
          <w:tcPr>
            <w:tcW w:w="286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DATADOG,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STOCKHOLDERS’ EQUITY (DEFICIT) (continued)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8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320" w:type="dxa"/>
            <w:vAlign w:val="bottom"/>
            <w:gridSpan w:val="5"/>
          </w:tcPr>
          <w:p>
            <w:pPr>
              <w:jc w:val="right"/>
              <w:ind w:right="457"/>
              <w:spacing w:after="0"/>
              <w:rPr>
                <w:sz w:val="20"/>
                <w:szCs w:val="20"/>
                <w:color w:val="auto"/>
              </w:rPr>
            </w:pPr>
            <w:r>
              <w:rPr>
                <w:rFonts w:ascii="Arial" w:cs="Arial" w:eastAsia="Arial" w:hAnsi="Arial"/>
                <w:sz w:val="13"/>
                <w:szCs w:val="13"/>
                <w:b w:val="1"/>
                <w:bCs w:val="1"/>
                <w:color w:val="auto"/>
              </w:rPr>
              <w:t>Class A and Class B</w:t>
            </w: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40" w:type="dxa"/>
            <w:vAlign w:val="bottom"/>
            <w:gridSpan w:val="3"/>
            <w:vMerge w:val="restart"/>
          </w:tcPr>
          <w:p>
            <w:pPr>
              <w:ind w:left="80"/>
              <w:spacing w:after="0"/>
              <w:rPr>
                <w:sz w:val="20"/>
                <w:szCs w:val="20"/>
                <w:color w:val="auto"/>
              </w:rPr>
            </w:pPr>
            <w:r>
              <w:rPr>
                <w:rFonts w:ascii="Arial" w:cs="Arial" w:eastAsia="Arial" w:hAnsi="Arial"/>
                <w:sz w:val="13"/>
                <w:szCs w:val="13"/>
                <w:b w:val="1"/>
                <w:bCs w:val="1"/>
                <w:color w:val="auto"/>
              </w:rPr>
              <w:t>Additional</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40" w:type="dxa"/>
            <w:vAlign w:val="bottom"/>
            <w:vMerge w:val="restart"/>
          </w:tcPr>
          <w:p>
            <w:pPr>
              <w:jc w:val="center"/>
              <w:ind w:right="103"/>
              <w:spacing w:after="0"/>
              <w:rPr>
                <w:sz w:val="20"/>
                <w:szCs w:val="20"/>
                <w:color w:val="auto"/>
              </w:rPr>
            </w:pPr>
            <w:r>
              <w:rPr>
                <w:rFonts w:ascii="Arial" w:cs="Arial" w:eastAsia="Arial" w:hAnsi="Arial"/>
                <w:sz w:val="13"/>
                <w:szCs w:val="13"/>
                <w:b w:val="1"/>
                <w:bCs w:val="1"/>
                <w:color w:val="auto"/>
                <w:w w:val="89"/>
              </w:rPr>
              <w:t>Total</w:t>
            </w:r>
          </w:p>
        </w:tc>
        <w:tc>
          <w:tcPr>
            <w:tcW w:w="0" w:type="dxa"/>
            <w:vAlign w:val="bottom"/>
          </w:tcPr>
          <w:p>
            <w:pPr>
              <w:spacing w:after="0"/>
              <w:rPr>
                <w:sz w:val="1"/>
                <w:szCs w:val="1"/>
                <w:color w:val="auto"/>
              </w:rPr>
            </w:pPr>
          </w:p>
        </w:tc>
      </w:tr>
      <w:tr>
        <w:trPr>
          <w:trHeight w:val="54"/>
        </w:trPr>
        <w:tc>
          <w:tcPr>
            <w:tcW w:w="284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320" w:type="dxa"/>
            <w:vAlign w:val="bottom"/>
            <w:gridSpan w:val="5"/>
            <w:vMerge w:val="restart"/>
          </w:tcPr>
          <w:p>
            <w:pPr>
              <w:jc w:val="right"/>
              <w:ind w:right="597"/>
              <w:spacing w:after="0"/>
              <w:rPr>
                <w:sz w:val="20"/>
                <w:szCs w:val="20"/>
                <w:color w:val="auto"/>
              </w:rPr>
            </w:pPr>
            <w:r>
              <w:rPr>
                <w:rFonts w:ascii="Arial" w:cs="Arial" w:eastAsia="Arial" w:hAnsi="Arial"/>
                <w:sz w:val="13"/>
                <w:szCs w:val="13"/>
                <w:b w:val="1"/>
                <w:bCs w:val="1"/>
                <w:color w:val="auto"/>
              </w:rPr>
              <w:t>Common Stock</w:t>
            </w:r>
          </w:p>
        </w:tc>
        <w:tc>
          <w:tcPr>
            <w:tcW w:w="2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1140" w:type="dxa"/>
            <w:vAlign w:val="bottom"/>
            <w:gridSpan w:val="3"/>
            <w:vMerge w:val="continue"/>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10"/>
        </w:trPr>
        <w:tc>
          <w:tcPr>
            <w:tcW w:w="284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320" w:type="dxa"/>
            <w:vAlign w:val="bottom"/>
            <w:gridSpan w:val="5"/>
            <w:vMerge w:val="continue"/>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140" w:type="dxa"/>
            <w:vAlign w:val="bottom"/>
            <w:gridSpan w:val="3"/>
            <w:vMerge w:val="restart"/>
          </w:tcPr>
          <w:p>
            <w:pPr>
              <w:ind w:left="180"/>
              <w:spacing w:after="0" w:line="120" w:lineRule="exact"/>
              <w:rPr>
                <w:sz w:val="20"/>
                <w:szCs w:val="20"/>
                <w:color w:val="auto"/>
              </w:rPr>
            </w:pPr>
            <w:r>
              <w:rPr>
                <w:rFonts w:ascii="Arial" w:cs="Arial" w:eastAsia="Arial" w:hAnsi="Arial"/>
                <w:sz w:val="13"/>
                <w:szCs w:val="13"/>
                <w:b w:val="1"/>
                <w:bCs w:val="1"/>
                <w:color w:val="auto"/>
              </w:rPr>
              <w:t>Paid-in</w:t>
            </w:r>
          </w:p>
        </w:tc>
        <w:tc>
          <w:tcPr>
            <w:tcW w:w="80" w:type="dxa"/>
            <w:vAlign w:val="bottom"/>
          </w:tcPr>
          <w:p>
            <w:pPr>
              <w:spacing w:after="0"/>
              <w:rPr>
                <w:sz w:val="9"/>
                <w:szCs w:val="9"/>
                <w:color w:val="auto"/>
              </w:rPr>
            </w:pPr>
          </w:p>
        </w:tc>
        <w:tc>
          <w:tcPr>
            <w:tcW w:w="1340" w:type="dxa"/>
            <w:vAlign w:val="bottom"/>
            <w:gridSpan w:val="4"/>
            <w:vMerge w:val="restart"/>
          </w:tcPr>
          <w:p>
            <w:pPr>
              <w:ind w:left="40"/>
              <w:spacing w:after="0" w:line="120" w:lineRule="exact"/>
              <w:rPr>
                <w:sz w:val="20"/>
                <w:szCs w:val="20"/>
                <w:color w:val="auto"/>
              </w:rPr>
            </w:pPr>
            <w:r>
              <w:rPr>
                <w:rFonts w:ascii="Arial" w:cs="Arial" w:eastAsia="Arial" w:hAnsi="Arial"/>
                <w:sz w:val="13"/>
                <w:szCs w:val="13"/>
                <w:b w:val="1"/>
                <w:bCs w:val="1"/>
                <w:color w:val="auto"/>
              </w:rPr>
              <w:t>Accumulated Other</w:t>
            </w: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180" w:type="dxa"/>
            <w:vAlign w:val="bottom"/>
            <w:gridSpan w:val="2"/>
            <w:vMerge w:val="restart"/>
          </w:tcPr>
          <w:p>
            <w:pPr>
              <w:ind w:left="60"/>
              <w:spacing w:after="0" w:line="120" w:lineRule="exact"/>
              <w:rPr>
                <w:sz w:val="20"/>
                <w:szCs w:val="20"/>
                <w:color w:val="auto"/>
              </w:rPr>
            </w:pPr>
            <w:r>
              <w:rPr>
                <w:rFonts w:ascii="Arial" w:cs="Arial" w:eastAsia="Arial" w:hAnsi="Arial"/>
                <w:sz w:val="13"/>
                <w:szCs w:val="13"/>
                <w:b w:val="1"/>
                <w:bCs w:val="1"/>
                <w:color w:val="auto"/>
              </w:rPr>
              <w:t>Accumulated</w:t>
            </w:r>
          </w:p>
        </w:tc>
        <w:tc>
          <w:tcPr>
            <w:tcW w:w="1300" w:type="dxa"/>
            <w:vAlign w:val="bottom"/>
            <w:gridSpan w:val="2"/>
            <w:vMerge w:val="restart"/>
          </w:tcPr>
          <w:p>
            <w:pPr>
              <w:jc w:val="center"/>
              <w:spacing w:after="0" w:line="120" w:lineRule="exact"/>
              <w:rPr>
                <w:sz w:val="20"/>
                <w:szCs w:val="20"/>
                <w:color w:val="auto"/>
              </w:rPr>
            </w:pPr>
            <w:r>
              <w:rPr>
                <w:rFonts w:ascii="Arial" w:cs="Arial" w:eastAsia="Arial" w:hAnsi="Arial"/>
                <w:sz w:val="13"/>
                <w:szCs w:val="13"/>
                <w:b w:val="1"/>
                <w:bCs w:val="1"/>
                <w:color w:val="auto"/>
                <w:w w:val="88"/>
              </w:rPr>
              <w:t>Stockholders' Equity</w:t>
            </w:r>
          </w:p>
        </w:tc>
        <w:tc>
          <w:tcPr>
            <w:tcW w:w="0" w:type="dxa"/>
            <w:vAlign w:val="bottom"/>
          </w:tcPr>
          <w:p>
            <w:pPr>
              <w:spacing w:after="0"/>
              <w:rPr>
                <w:sz w:val="1"/>
                <w:szCs w:val="1"/>
                <w:color w:val="auto"/>
              </w:rPr>
            </w:pPr>
          </w:p>
        </w:tc>
      </w:tr>
      <w:tr>
        <w:trPr>
          <w:trHeight w:val="29"/>
        </w:trPr>
        <w:tc>
          <w:tcPr>
            <w:tcW w:w="28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gridSpan w:val="3"/>
            <w:vMerge w:val="continue"/>
          </w:tcPr>
          <w:p>
            <w:pPr>
              <w:spacing w:after="0"/>
              <w:rPr>
                <w:sz w:val="2"/>
                <w:szCs w:val="2"/>
                <w:color w:val="auto"/>
              </w:rPr>
            </w:pPr>
          </w:p>
        </w:tc>
        <w:tc>
          <w:tcPr>
            <w:tcW w:w="80" w:type="dxa"/>
            <w:vAlign w:val="bottom"/>
          </w:tcPr>
          <w:p>
            <w:pPr>
              <w:spacing w:after="0"/>
              <w:rPr>
                <w:sz w:val="2"/>
                <w:szCs w:val="2"/>
                <w:color w:val="auto"/>
              </w:rPr>
            </w:pPr>
          </w:p>
        </w:tc>
        <w:tc>
          <w:tcPr>
            <w:tcW w:w="1340" w:type="dxa"/>
            <w:vAlign w:val="bottom"/>
            <w:gridSpan w:val="4"/>
            <w:vMerge w:val="continue"/>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gridSpan w:val="2"/>
            <w:vMerge w:val="continue"/>
          </w:tcPr>
          <w:p>
            <w:pPr>
              <w:spacing w:after="0"/>
              <w:rPr>
                <w:sz w:val="2"/>
                <w:szCs w:val="2"/>
                <w:color w:val="auto"/>
              </w:rPr>
            </w:pPr>
          </w:p>
        </w:tc>
        <w:tc>
          <w:tcPr>
            <w:tcW w:w="1300" w:type="dxa"/>
            <w:vAlign w:val="bottom"/>
            <w:gridSpan w:val="2"/>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8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20" w:type="dxa"/>
            <w:vAlign w:val="bottom"/>
            <w:gridSpan w:val="3"/>
          </w:tcPr>
          <w:p>
            <w:pPr>
              <w:ind w:left="380"/>
              <w:spacing w:after="0"/>
              <w:rPr>
                <w:sz w:val="20"/>
                <w:szCs w:val="20"/>
                <w:color w:val="auto"/>
              </w:rPr>
            </w:pPr>
            <w:r>
              <w:rPr>
                <w:rFonts w:ascii="Arial" w:cs="Arial" w:eastAsia="Arial" w:hAnsi="Arial"/>
                <w:sz w:val="13"/>
                <w:szCs w:val="13"/>
                <w:b w:val="1"/>
                <w:bCs w:val="1"/>
                <w:color w:val="auto"/>
              </w:rPr>
              <w:t>Shares</w:t>
            </w:r>
          </w:p>
        </w:tc>
        <w:tc>
          <w:tcPr>
            <w:tcW w:w="80" w:type="dxa"/>
            <w:vAlign w:val="bottom"/>
          </w:tcPr>
          <w:p>
            <w:pPr>
              <w:spacing w:after="0"/>
              <w:rPr>
                <w:sz w:val="14"/>
                <w:szCs w:val="14"/>
                <w:color w:val="auto"/>
              </w:rPr>
            </w:pPr>
          </w:p>
        </w:tc>
        <w:tc>
          <w:tcPr>
            <w:tcW w:w="920" w:type="dxa"/>
            <w:vAlign w:val="bottom"/>
          </w:tcPr>
          <w:p>
            <w:pPr>
              <w:jc w:val="right"/>
              <w:ind w:right="77"/>
              <w:spacing w:after="0"/>
              <w:rPr>
                <w:sz w:val="20"/>
                <w:szCs w:val="20"/>
                <w:color w:val="auto"/>
              </w:rPr>
            </w:pPr>
            <w:r>
              <w:rPr>
                <w:rFonts w:ascii="Arial" w:cs="Arial" w:eastAsia="Arial" w:hAnsi="Arial"/>
                <w:sz w:val="13"/>
                <w:szCs w:val="13"/>
                <w:b w:val="1"/>
                <w:bCs w:val="1"/>
                <w:color w:val="auto"/>
              </w:rPr>
              <w:t>Amount</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40" w:type="dxa"/>
            <w:vAlign w:val="bottom"/>
            <w:gridSpan w:val="3"/>
          </w:tcPr>
          <w:p>
            <w:pPr>
              <w:ind w:left="180"/>
              <w:spacing w:after="0"/>
              <w:rPr>
                <w:sz w:val="20"/>
                <w:szCs w:val="20"/>
                <w:color w:val="auto"/>
              </w:rPr>
            </w:pPr>
            <w:r>
              <w:rPr>
                <w:rFonts w:ascii="Arial" w:cs="Arial" w:eastAsia="Arial" w:hAnsi="Arial"/>
                <w:sz w:val="13"/>
                <w:szCs w:val="13"/>
                <w:b w:val="1"/>
                <w:bCs w:val="1"/>
                <w:color w:val="auto"/>
              </w:rPr>
              <w:t>Capital</w:t>
            </w:r>
          </w:p>
        </w:tc>
        <w:tc>
          <w:tcPr>
            <w:tcW w:w="80" w:type="dxa"/>
            <w:vAlign w:val="bottom"/>
          </w:tcPr>
          <w:p>
            <w:pPr>
              <w:spacing w:after="0"/>
              <w:rPr>
                <w:sz w:val="14"/>
                <w:szCs w:val="14"/>
                <w:color w:val="auto"/>
              </w:rPr>
            </w:pPr>
          </w:p>
        </w:tc>
        <w:tc>
          <w:tcPr>
            <w:tcW w:w="1340" w:type="dxa"/>
            <w:vAlign w:val="bottom"/>
            <w:gridSpan w:val="4"/>
          </w:tcPr>
          <w:p>
            <w:pPr>
              <w:ind w:left="20"/>
              <w:spacing w:after="0"/>
              <w:rPr>
                <w:sz w:val="20"/>
                <w:szCs w:val="20"/>
                <w:color w:val="auto"/>
              </w:rPr>
            </w:pPr>
            <w:r>
              <w:rPr>
                <w:rFonts w:ascii="Arial" w:cs="Arial" w:eastAsia="Arial" w:hAnsi="Arial"/>
                <w:sz w:val="13"/>
                <w:szCs w:val="13"/>
                <w:b w:val="1"/>
                <w:bCs w:val="1"/>
                <w:color w:val="auto"/>
                <w:w w:val="98"/>
              </w:rPr>
              <w:t>Comprehensive Loss</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gridSpan w:val="2"/>
          </w:tcPr>
          <w:p>
            <w:pPr>
              <w:ind w:left="220"/>
              <w:spacing w:after="0"/>
              <w:rPr>
                <w:sz w:val="20"/>
                <w:szCs w:val="20"/>
                <w:color w:val="auto"/>
              </w:rPr>
            </w:pPr>
            <w:r>
              <w:rPr>
                <w:rFonts w:ascii="Arial" w:cs="Arial" w:eastAsia="Arial" w:hAnsi="Arial"/>
                <w:sz w:val="13"/>
                <w:szCs w:val="13"/>
                <w:b w:val="1"/>
                <w:bCs w:val="1"/>
                <w:color w:val="auto"/>
              </w:rPr>
              <w:t>Deficit</w:t>
            </w:r>
          </w:p>
        </w:tc>
        <w:tc>
          <w:tcPr>
            <w:tcW w:w="160" w:type="dxa"/>
            <w:vAlign w:val="bottom"/>
          </w:tcPr>
          <w:p>
            <w:pPr>
              <w:spacing w:after="0"/>
              <w:rPr>
                <w:sz w:val="14"/>
                <w:szCs w:val="14"/>
                <w:color w:val="auto"/>
              </w:rPr>
            </w:pPr>
          </w:p>
        </w:tc>
        <w:tc>
          <w:tcPr>
            <w:tcW w:w="1140" w:type="dxa"/>
            <w:vAlign w:val="bottom"/>
          </w:tcPr>
          <w:p>
            <w:pPr>
              <w:jc w:val="center"/>
              <w:ind w:right="103"/>
              <w:spacing w:after="0"/>
              <w:rPr>
                <w:sz w:val="20"/>
                <w:szCs w:val="20"/>
                <w:color w:val="auto"/>
              </w:rPr>
            </w:pPr>
            <w:r>
              <w:rPr>
                <w:rFonts w:ascii="Arial" w:cs="Arial" w:eastAsia="Arial" w:hAnsi="Arial"/>
                <w:sz w:val="13"/>
                <w:szCs w:val="13"/>
                <w:b w:val="1"/>
                <w:bCs w:val="1"/>
                <w:color w:val="auto"/>
                <w:w w:val="90"/>
              </w:rPr>
              <w:t>(Deficit)</w:t>
            </w:r>
          </w:p>
        </w:tc>
        <w:tc>
          <w:tcPr>
            <w:tcW w:w="0" w:type="dxa"/>
            <w:vAlign w:val="bottom"/>
          </w:tcPr>
          <w:p>
            <w:pPr>
              <w:spacing w:after="0"/>
              <w:rPr>
                <w:sz w:val="1"/>
                <w:szCs w:val="1"/>
                <w:color w:val="auto"/>
              </w:rPr>
            </w:pPr>
          </w:p>
        </w:tc>
      </w:tr>
      <w:tr>
        <w:trPr>
          <w:trHeight w:val="29"/>
        </w:trPr>
        <w:tc>
          <w:tcPr>
            <w:tcW w:w="284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8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BALANCE—December 31, 2022</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319,189,843</w:t>
            </w: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837"/>
              <w:spacing w:after="0"/>
              <w:rPr>
                <w:sz w:val="20"/>
                <w:szCs w:val="20"/>
                <w:color w:val="auto"/>
              </w:rPr>
            </w:pPr>
            <w:r>
              <w:rPr>
                <w:rFonts w:ascii="Arial" w:cs="Arial" w:eastAsia="Arial" w:hAnsi="Arial"/>
                <w:sz w:val="16"/>
                <w:szCs w:val="16"/>
                <w:color w:val="auto"/>
                <w:w w:val="89"/>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1,625,190</w:t>
            </w:r>
          </w:p>
        </w:tc>
        <w:tc>
          <w:tcPr>
            <w:tcW w:w="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80" w:type="dxa"/>
            <w:vAlign w:val="bottom"/>
            <w:gridSpan w:val="2"/>
            <w:shd w:val="clear" w:color="auto" w:fill="CCEEFF"/>
          </w:tcPr>
          <w:p>
            <w:pPr>
              <w:jc w:val="right"/>
              <w:ind w:right="17"/>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(12,422)</w:t>
            </w:r>
          </w:p>
        </w:tc>
        <w:tc>
          <w:tcPr>
            <w:tcW w:w="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2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(202,266)</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1,410,505</w:t>
            </w:r>
          </w:p>
        </w:tc>
        <w:tc>
          <w:tcPr>
            <w:tcW w:w="0" w:type="dxa"/>
            <w:vAlign w:val="bottom"/>
          </w:tcPr>
          <w:p>
            <w:pPr>
              <w:spacing w:after="0"/>
              <w:rPr>
                <w:sz w:val="1"/>
                <w:szCs w:val="1"/>
                <w:color w:val="auto"/>
              </w:rPr>
            </w:pPr>
          </w:p>
        </w:tc>
      </w:tr>
      <w:tr>
        <w:trPr>
          <w:trHeight w:val="206"/>
        </w:trPr>
        <w:tc>
          <w:tcPr>
            <w:tcW w:w="2860" w:type="dxa"/>
            <w:vAlign w:val="bottom"/>
            <w:gridSpan w:val="2"/>
          </w:tcPr>
          <w:p>
            <w:pPr>
              <w:ind w:left="20"/>
              <w:spacing w:after="0"/>
              <w:rPr>
                <w:sz w:val="20"/>
                <w:szCs w:val="20"/>
                <w:color w:val="auto"/>
              </w:rPr>
            </w:pPr>
            <w:r>
              <w:rPr>
                <w:rFonts w:ascii="Arial" w:cs="Arial" w:eastAsia="Arial" w:hAnsi="Arial"/>
                <w:sz w:val="16"/>
                <w:szCs w:val="16"/>
                <w:color w:val="auto"/>
                <w:w w:val="96"/>
              </w:rPr>
              <w:t>Issuance of common stock upon exercise</w:t>
            </w:r>
          </w:p>
        </w:tc>
        <w:tc>
          <w:tcPr>
            <w:tcW w:w="1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860" w:type="dxa"/>
            <w:vAlign w:val="bottom"/>
            <w:gridSpan w:val="2"/>
          </w:tcPr>
          <w:p>
            <w:pPr>
              <w:ind w:left="180"/>
              <w:spacing w:after="0"/>
              <w:rPr>
                <w:sz w:val="20"/>
                <w:szCs w:val="20"/>
                <w:color w:val="auto"/>
              </w:rPr>
            </w:pPr>
            <w:r>
              <w:rPr>
                <w:rFonts w:ascii="Arial" w:cs="Arial" w:eastAsia="Arial" w:hAnsi="Arial"/>
                <w:sz w:val="16"/>
                <w:szCs w:val="16"/>
                <w:color w:val="auto"/>
              </w:rPr>
              <w:t>of stock options</w:t>
            </w:r>
          </w:p>
        </w:tc>
        <w:tc>
          <w:tcPr>
            <w:tcW w:w="1300" w:type="dxa"/>
            <w:vAlign w:val="bottom"/>
            <w:gridSpan w:val="2"/>
          </w:tcPr>
          <w:p>
            <w:pPr>
              <w:jc w:val="right"/>
              <w:spacing w:after="0"/>
              <w:rPr>
                <w:sz w:val="20"/>
                <w:szCs w:val="20"/>
                <w:color w:val="auto"/>
              </w:rPr>
            </w:pPr>
            <w:r>
              <w:rPr>
                <w:rFonts w:ascii="Arial" w:cs="Arial" w:eastAsia="Arial" w:hAnsi="Arial"/>
                <w:sz w:val="16"/>
                <w:szCs w:val="16"/>
                <w:color w:val="auto"/>
              </w:rPr>
              <w:t>5,103,045</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400" w:type="dxa"/>
            <w:vAlign w:val="bottom"/>
            <w:gridSpan w:val="3"/>
          </w:tcPr>
          <w:p>
            <w:pPr>
              <w:jc w:val="right"/>
              <w:ind w:right="18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17,390</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gridSpan w:val="3"/>
          </w:tcPr>
          <w:p>
            <w:pPr>
              <w:ind w:left="90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gridSpan w:val="2"/>
          </w:tcPr>
          <w:p>
            <w:pPr>
              <w:ind w:left="8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17,390</w:t>
            </w:r>
          </w:p>
        </w:tc>
        <w:tc>
          <w:tcPr>
            <w:tcW w:w="0" w:type="dxa"/>
            <w:vAlign w:val="bottom"/>
          </w:tcPr>
          <w:p>
            <w:pPr>
              <w:spacing w:after="0"/>
              <w:rPr>
                <w:sz w:val="1"/>
                <w:szCs w:val="1"/>
                <w:color w:val="auto"/>
              </w:rPr>
            </w:pPr>
          </w:p>
        </w:tc>
      </w:tr>
      <w:tr>
        <w:trPr>
          <w:trHeight w:val="216"/>
        </w:trPr>
        <w:tc>
          <w:tcPr>
            <w:tcW w:w="28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Vesting of restricted and performance</w:t>
            </w: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9"/>
        </w:trPr>
        <w:tc>
          <w:tcPr>
            <w:tcW w:w="286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stock units</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3,540,441</w:t>
            </w: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400" w:type="dxa"/>
            <w:vAlign w:val="bottom"/>
            <w:gridSpan w:val="3"/>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40" w:type="dxa"/>
            <w:vAlign w:val="bottom"/>
            <w:gridSpan w:val="3"/>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40" w:type="dxa"/>
            <w:vAlign w:val="bottom"/>
            <w:gridSpan w:val="3"/>
            <w:shd w:val="clear" w:color="auto" w:fill="CCEEFF"/>
          </w:tcPr>
          <w:p>
            <w:pPr>
              <w:ind w:left="90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ind w:left="84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6"/>
        </w:trPr>
        <w:tc>
          <w:tcPr>
            <w:tcW w:w="2860" w:type="dxa"/>
            <w:vAlign w:val="bottom"/>
            <w:gridSpan w:val="2"/>
          </w:tcPr>
          <w:p>
            <w:pPr>
              <w:ind w:left="20"/>
              <w:spacing w:after="0"/>
              <w:rPr>
                <w:sz w:val="20"/>
                <w:szCs w:val="20"/>
                <w:color w:val="auto"/>
              </w:rPr>
            </w:pPr>
            <w:r>
              <w:rPr>
                <w:rFonts w:ascii="Arial" w:cs="Arial" w:eastAsia="Arial" w:hAnsi="Arial"/>
                <w:sz w:val="16"/>
                <w:szCs w:val="16"/>
                <w:color w:val="auto"/>
                <w:w w:val="91"/>
              </w:rPr>
              <w:t>Issuance (retirement) of restricted shares of</w:t>
            </w:r>
          </w:p>
        </w:tc>
        <w:tc>
          <w:tcPr>
            <w:tcW w:w="1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2860" w:type="dxa"/>
            <w:vAlign w:val="bottom"/>
            <w:gridSpan w:val="2"/>
          </w:tcPr>
          <w:p>
            <w:pPr>
              <w:ind w:left="180"/>
              <w:spacing w:after="0"/>
              <w:rPr>
                <w:sz w:val="20"/>
                <w:szCs w:val="20"/>
                <w:color w:val="auto"/>
              </w:rPr>
            </w:pPr>
            <w:r>
              <w:rPr>
                <w:rFonts w:ascii="Arial" w:cs="Arial" w:eastAsia="Arial" w:hAnsi="Arial"/>
                <w:sz w:val="16"/>
                <w:szCs w:val="16"/>
                <w:color w:val="auto"/>
              </w:rPr>
              <w:t>common stock from acquisitions</w:t>
            </w:r>
          </w:p>
        </w:tc>
        <w:tc>
          <w:tcPr>
            <w:tcW w:w="1300" w:type="dxa"/>
            <w:vAlign w:val="bottom"/>
            <w:gridSpan w:val="2"/>
          </w:tcPr>
          <w:p>
            <w:pPr>
              <w:jc w:val="right"/>
              <w:spacing w:after="0"/>
              <w:rPr>
                <w:sz w:val="20"/>
                <w:szCs w:val="20"/>
                <w:color w:val="auto"/>
              </w:rPr>
            </w:pPr>
            <w:r>
              <w:rPr>
                <w:rFonts w:ascii="Arial" w:cs="Arial" w:eastAsia="Arial" w:hAnsi="Arial"/>
                <w:sz w:val="16"/>
                <w:szCs w:val="16"/>
                <w:color w:val="auto"/>
              </w:rPr>
              <w:t>127,119</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00" w:type="dxa"/>
            <w:vAlign w:val="bottom"/>
            <w:gridSpan w:val="3"/>
          </w:tcPr>
          <w:p>
            <w:pPr>
              <w:jc w:val="right"/>
              <w:ind w:right="18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gridSpan w:val="3"/>
          </w:tcPr>
          <w:p>
            <w:pPr>
              <w:jc w:val="right"/>
              <w:ind w:right="18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gridSpan w:val="3"/>
          </w:tcPr>
          <w:p>
            <w:pPr>
              <w:ind w:left="90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gridSpan w:val="2"/>
          </w:tcPr>
          <w:p>
            <w:pPr>
              <w:ind w:left="8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9"/>
        </w:trPr>
        <w:tc>
          <w:tcPr>
            <w:tcW w:w="28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Issuance of common stock under the</w:t>
            </w: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9"/>
        </w:trPr>
        <w:tc>
          <w:tcPr>
            <w:tcW w:w="286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Employee Stock Purchase Plan</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285,211</w:t>
            </w: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400" w:type="dxa"/>
            <w:vAlign w:val="bottom"/>
            <w:gridSpan w:val="3"/>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19,986</w:t>
            </w:r>
          </w:p>
        </w:tc>
        <w:tc>
          <w:tcPr>
            <w:tcW w:w="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40" w:type="dxa"/>
            <w:vAlign w:val="bottom"/>
            <w:gridSpan w:val="3"/>
            <w:shd w:val="clear" w:color="auto" w:fill="CCEEFF"/>
          </w:tcPr>
          <w:p>
            <w:pPr>
              <w:ind w:left="90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ind w:left="84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19,986</w:t>
            </w:r>
          </w:p>
        </w:tc>
        <w:tc>
          <w:tcPr>
            <w:tcW w:w="0" w:type="dxa"/>
            <w:vAlign w:val="bottom"/>
          </w:tcPr>
          <w:p>
            <w:pPr>
              <w:spacing w:after="0"/>
              <w:rPr>
                <w:sz w:val="1"/>
                <w:szCs w:val="1"/>
                <w:color w:val="auto"/>
              </w:rPr>
            </w:pPr>
          </w:p>
        </w:tc>
      </w:tr>
      <w:tr>
        <w:trPr>
          <w:trHeight w:val="233"/>
        </w:trPr>
        <w:tc>
          <w:tcPr>
            <w:tcW w:w="2860" w:type="dxa"/>
            <w:vAlign w:val="bottom"/>
            <w:gridSpan w:val="2"/>
          </w:tcPr>
          <w:p>
            <w:pPr>
              <w:ind w:left="20"/>
              <w:spacing w:after="0"/>
              <w:rPr>
                <w:sz w:val="20"/>
                <w:szCs w:val="20"/>
                <w:color w:val="auto"/>
              </w:rPr>
            </w:pPr>
            <w:r>
              <w:rPr>
                <w:rFonts w:ascii="Arial" w:cs="Arial" w:eastAsia="Arial" w:hAnsi="Arial"/>
                <w:sz w:val="16"/>
                <w:szCs w:val="16"/>
                <w:color w:val="auto"/>
              </w:rPr>
              <w:t>Stock-based compensation</w:t>
            </w:r>
          </w:p>
        </w:tc>
        <w:tc>
          <w:tcPr>
            <w:tcW w:w="100" w:type="dxa"/>
            <w:vAlign w:val="bottom"/>
          </w:tcPr>
          <w:p>
            <w:pPr>
              <w:spacing w:after="0"/>
              <w:rPr>
                <w:sz w:val="20"/>
                <w:szCs w:val="20"/>
                <w:color w:val="auto"/>
              </w:rPr>
            </w:pPr>
          </w:p>
        </w:tc>
        <w:tc>
          <w:tcPr>
            <w:tcW w:w="1320" w:type="dxa"/>
            <w:vAlign w:val="bottom"/>
            <w:gridSpan w:val="3"/>
          </w:tcPr>
          <w:p>
            <w:pPr>
              <w:jc w:val="right"/>
              <w:ind w:right="18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00" w:type="dxa"/>
            <w:vAlign w:val="bottom"/>
            <w:gridSpan w:val="3"/>
          </w:tcPr>
          <w:p>
            <w:pPr>
              <w:jc w:val="right"/>
              <w:ind w:right="18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365,487</w:t>
            </w: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gridSpan w:val="3"/>
          </w:tcPr>
          <w:p>
            <w:pPr>
              <w:ind w:left="90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gridSpan w:val="2"/>
          </w:tcPr>
          <w:p>
            <w:pPr>
              <w:ind w:left="8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365,487</w:t>
            </w:r>
          </w:p>
        </w:tc>
        <w:tc>
          <w:tcPr>
            <w:tcW w:w="0" w:type="dxa"/>
            <w:vAlign w:val="bottom"/>
          </w:tcPr>
          <w:p>
            <w:pPr>
              <w:spacing w:after="0"/>
              <w:rPr>
                <w:sz w:val="1"/>
                <w:szCs w:val="1"/>
                <w:color w:val="auto"/>
              </w:rPr>
            </w:pPr>
          </w:p>
        </w:tc>
      </w:tr>
      <w:tr>
        <w:trPr>
          <w:trHeight w:val="216"/>
        </w:trPr>
        <w:tc>
          <w:tcPr>
            <w:tcW w:w="28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Change in accumulated other</w:t>
            </w: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9"/>
        </w:trPr>
        <w:tc>
          <w:tcPr>
            <w:tcW w:w="286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comprehensive loss</w:t>
            </w:r>
          </w:p>
        </w:tc>
        <w:tc>
          <w:tcPr>
            <w:tcW w:w="100" w:type="dxa"/>
            <w:vAlign w:val="bottom"/>
            <w:shd w:val="clear" w:color="auto" w:fill="CCEEFF"/>
          </w:tcPr>
          <w:p>
            <w:pPr>
              <w:spacing w:after="0"/>
              <w:rPr>
                <w:sz w:val="20"/>
                <w:szCs w:val="20"/>
                <w:color w:val="auto"/>
              </w:rPr>
            </w:pPr>
          </w:p>
        </w:tc>
        <w:tc>
          <w:tcPr>
            <w:tcW w:w="1320" w:type="dxa"/>
            <w:vAlign w:val="bottom"/>
            <w:gridSpan w:val="3"/>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400" w:type="dxa"/>
            <w:vAlign w:val="bottom"/>
            <w:gridSpan w:val="3"/>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40" w:type="dxa"/>
            <w:vAlign w:val="bottom"/>
            <w:gridSpan w:val="3"/>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(1,467)</w:t>
            </w:r>
          </w:p>
        </w:tc>
        <w:tc>
          <w:tcPr>
            <w:tcW w:w="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ind w:left="84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(1,467)</w:t>
            </w:r>
          </w:p>
        </w:tc>
        <w:tc>
          <w:tcPr>
            <w:tcW w:w="0" w:type="dxa"/>
            <w:vAlign w:val="bottom"/>
          </w:tcPr>
          <w:p>
            <w:pPr>
              <w:spacing w:after="0"/>
              <w:rPr>
                <w:sz w:val="1"/>
                <w:szCs w:val="1"/>
                <w:color w:val="auto"/>
              </w:rPr>
            </w:pPr>
          </w:p>
        </w:tc>
      </w:tr>
      <w:tr>
        <w:trPr>
          <w:trHeight w:val="236"/>
        </w:trPr>
        <w:tc>
          <w:tcPr>
            <w:tcW w:w="2860" w:type="dxa"/>
            <w:vAlign w:val="bottom"/>
            <w:gridSpan w:val="2"/>
          </w:tcPr>
          <w:p>
            <w:pPr>
              <w:ind w:left="20"/>
              <w:spacing w:after="0"/>
              <w:rPr>
                <w:sz w:val="20"/>
                <w:szCs w:val="20"/>
                <w:color w:val="auto"/>
              </w:rPr>
            </w:pPr>
            <w:r>
              <w:rPr>
                <w:rFonts w:ascii="Arial" w:cs="Arial" w:eastAsia="Arial" w:hAnsi="Arial"/>
                <w:sz w:val="16"/>
                <w:szCs w:val="16"/>
                <w:color w:val="auto"/>
              </w:rPr>
              <w:t>Net loss</w:t>
            </w:r>
          </w:p>
        </w:tc>
        <w:tc>
          <w:tcPr>
            <w:tcW w:w="100" w:type="dxa"/>
            <w:vAlign w:val="bottom"/>
          </w:tcPr>
          <w:p>
            <w:pPr>
              <w:spacing w:after="0"/>
              <w:rPr>
                <w:sz w:val="20"/>
                <w:szCs w:val="20"/>
                <w:color w:val="auto"/>
              </w:rPr>
            </w:pPr>
          </w:p>
        </w:tc>
        <w:tc>
          <w:tcPr>
            <w:tcW w:w="1320" w:type="dxa"/>
            <w:vAlign w:val="bottom"/>
            <w:gridSpan w:val="3"/>
          </w:tcPr>
          <w:p>
            <w:pPr>
              <w:jc w:val="right"/>
              <w:ind w:right="18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00" w:type="dxa"/>
            <w:vAlign w:val="bottom"/>
            <w:gridSpan w:val="3"/>
          </w:tcPr>
          <w:p>
            <w:pPr>
              <w:jc w:val="right"/>
              <w:ind w:right="18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gridSpan w:val="3"/>
          </w:tcPr>
          <w:p>
            <w:pPr>
              <w:jc w:val="right"/>
              <w:ind w:right="18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gridSpan w:val="3"/>
          </w:tcPr>
          <w:p>
            <w:pPr>
              <w:ind w:left="90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(5,425)</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(5,425)</w:t>
            </w:r>
          </w:p>
        </w:tc>
        <w:tc>
          <w:tcPr>
            <w:tcW w:w="0" w:type="dxa"/>
            <w:vAlign w:val="bottom"/>
          </w:tcPr>
          <w:p>
            <w:pPr>
              <w:spacing w:after="0"/>
              <w:rPr>
                <w:sz w:val="1"/>
                <w:szCs w:val="1"/>
                <w:color w:val="auto"/>
              </w:rPr>
            </w:pPr>
          </w:p>
        </w:tc>
      </w:tr>
      <w:tr>
        <w:trPr>
          <w:trHeight w:val="268"/>
        </w:trPr>
        <w:tc>
          <w:tcPr>
            <w:tcW w:w="286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BALANCE—September 30, 2023</w:t>
            </w:r>
          </w:p>
        </w:tc>
        <w:tc>
          <w:tcPr>
            <w:tcW w:w="13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color w:val="auto"/>
              </w:rPr>
              <w:t>328,245,659</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20" w:type="dxa"/>
            <w:vAlign w:val="bottom"/>
            <w:tcBorders>
              <w:top w:val="single" w:sz="8" w:color="CCEEFF"/>
              <w:bottom w:val="single" w:sz="8" w:color="CCEEFF"/>
            </w:tcBorders>
            <w:shd w:val="clear" w:color="auto" w:fill="CCEEFF"/>
          </w:tcPr>
          <w:p>
            <w:pPr>
              <w:spacing w:after="0"/>
              <w:rPr>
                <w:sz w:val="22"/>
                <w:szCs w:val="22"/>
                <w:color w:val="auto"/>
              </w:rPr>
            </w:pPr>
          </w:p>
        </w:tc>
        <w:tc>
          <w:tcPr>
            <w:tcW w:w="1000" w:type="dxa"/>
            <w:vAlign w:val="bottom"/>
            <w:tcBorders>
              <w:top w:val="single" w:sz="8" w:color="auto"/>
              <w:bottom w:val="single" w:sz="8" w:color="auto"/>
            </w:tcBorders>
            <w:gridSpan w:val="2"/>
            <w:shd w:val="clear" w:color="auto" w:fill="CCEEFF"/>
          </w:tcPr>
          <w:p>
            <w:pPr>
              <w:jc w:val="right"/>
              <w:ind w:right="837"/>
              <w:spacing w:after="0"/>
              <w:rPr>
                <w:sz w:val="20"/>
                <w:szCs w:val="20"/>
                <w:color w:val="auto"/>
              </w:rPr>
            </w:pPr>
            <w:r>
              <w:rPr>
                <w:rFonts w:ascii="Arial" w:cs="Arial" w:eastAsia="Arial" w:hAnsi="Arial"/>
                <w:sz w:val="16"/>
                <w:szCs w:val="16"/>
                <w:color w:val="auto"/>
                <w:w w:val="89"/>
              </w:rPr>
              <w:t>$</w:t>
            </w:r>
          </w:p>
        </w:tc>
        <w:tc>
          <w:tcPr>
            <w:tcW w:w="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20" w:type="dxa"/>
            <w:vAlign w:val="bottom"/>
            <w:tcBorders>
              <w:top w:val="single" w:sz="8" w:color="CCEEFF"/>
              <w:bottom w:val="single" w:sz="8" w:color="CCEEFF"/>
            </w:tcBorders>
            <w:shd w:val="clear" w:color="auto" w:fill="CCEEFF"/>
          </w:tcPr>
          <w:p>
            <w:pPr>
              <w:spacing w:after="0"/>
              <w:rPr>
                <w:sz w:val="22"/>
                <w:szCs w:val="22"/>
                <w:color w:val="auto"/>
              </w:rPr>
            </w:pPr>
          </w:p>
        </w:tc>
        <w:tc>
          <w:tcPr>
            <w:tcW w:w="280" w:type="dxa"/>
            <w:vAlign w:val="bottom"/>
            <w:tcBorders>
              <w:top w:val="single" w:sz="8" w:color="auto"/>
              <w:bottom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w w:val="8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2,028,053</w:t>
            </w:r>
          </w:p>
        </w:tc>
        <w:tc>
          <w:tcPr>
            <w:tcW w:w="80" w:type="dxa"/>
            <w:vAlign w:val="bottom"/>
            <w:tcBorders>
              <w:top w:val="single" w:sz="8" w:color="CCEEFF"/>
              <w:bottom w:val="single" w:sz="8" w:color="CCEEFF"/>
            </w:tcBorders>
            <w:shd w:val="clear" w:color="auto" w:fill="CCEEFF"/>
          </w:tcPr>
          <w:p>
            <w:pPr>
              <w:spacing w:after="0"/>
              <w:rPr>
                <w:sz w:val="22"/>
                <w:szCs w:val="22"/>
                <w:color w:val="auto"/>
              </w:rPr>
            </w:pPr>
          </w:p>
        </w:tc>
        <w:tc>
          <w:tcPr>
            <w:tcW w:w="40" w:type="dxa"/>
            <w:vAlign w:val="bottom"/>
            <w:tcBorders>
              <w:top w:val="single" w:sz="8" w:color="CCEEFF"/>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gridSpan w:val="2"/>
            <w:shd w:val="clear" w:color="auto" w:fill="CCEEFF"/>
          </w:tcPr>
          <w:p>
            <w:pPr>
              <w:jc w:val="right"/>
              <w:ind w:right="17"/>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(13,889)</w:t>
            </w:r>
          </w:p>
        </w:tc>
        <w:tc>
          <w:tcPr>
            <w:tcW w:w="80" w:type="dxa"/>
            <w:vAlign w:val="bottom"/>
            <w:tcBorders>
              <w:top w:val="single" w:sz="8" w:color="CCEEFF"/>
              <w:bottom w:val="single" w:sz="8" w:color="CCEEFF"/>
            </w:tcBorders>
            <w:shd w:val="clear" w:color="auto" w:fill="CCEEFF"/>
          </w:tcPr>
          <w:p>
            <w:pPr>
              <w:spacing w:after="0"/>
              <w:rPr>
                <w:sz w:val="22"/>
                <w:szCs w:val="22"/>
                <w:color w:val="auto"/>
              </w:rPr>
            </w:pPr>
          </w:p>
        </w:tc>
        <w:tc>
          <w:tcPr>
            <w:tcW w:w="40" w:type="dxa"/>
            <w:vAlign w:val="bottom"/>
            <w:tcBorders>
              <w:top w:val="single" w:sz="8" w:color="CCEEFF"/>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6"/>
                <w:szCs w:val="16"/>
                <w:color w:val="auto"/>
                <w:w w:val="8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(207,691)</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1,806,476</w:t>
            </w:r>
          </w:p>
        </w:tc>
        <w:tc>
          <w:tcPr>
            <w:tcW w:w="0" w:type="dxa"/>
            <w:vAlign w:val="bottom"/>
          </w:tcPr>
          <w:p>
            <w:pPr>
              <w:spacing w:after="0"/>
              <w:rPr>
                <w:sz w:val="1"/>
                <w:szCs w:val="1"/>
                <w:color w:val="auto"/>
              </w:rPr>
            </w:pPr>
          </w:p>
        </w:tc>
      </w:tr>
      <w:tr>
        <w:trPr>
          <w:trHeight w:val="20"/>
        </w:trPr>
        <w:tc>
          <w:tcPr>
            <w:tcW w:w="28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52"/>
        </w:trPr>
        <w:tc>
          <w:tcPr>
            <w:tcW w:w="2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320" w:type="dxa"/>
            <w:vAlign w:val="bottom"/>
            <w:gridSpan w:val="5"/>
          </w:tcPr>
          <w:p>
            <w:pPr>
              <w:jc w:val="right"/>
              <w:ind w:right="377"/>
              <w:spacing w:after="0"/>
              <w:rPr>
                <w:sz w:val="20"/>
                <w:szCs w:val="20"/>
                <w:color w:val="auto"/>
              </w:rPr>
            </w:pPr>
            <w:r>
              <w:rPr>
                <w:rFonts w:ascii="Arial" w:cs="Arial" w:eastAsia="Arial" w:hAnsi="Arial"/>
                <w:sz w:val="13"/>
                <w:szCs w:val="13"/>
                <w:b w:val="1"/>
                <w:bCs w:val="1"/>
                <w:color w:val="auto"/>
              </w:rPr>
              <w:t>Class A and Class B</w:t>
            </w: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gridSpan w:val="3"/>
            <w:vMerge w:val="restart"/>
          </w:tcPr>
          <w:p>
            <w:pPr>
              <w:ind w:left="160"/>
              <w:spacing w:after="0"/>
              <w:rPr>
                <w:sz w:val="20"/>
                <w:szCs w:val="20"/>
                <w:color w:val="auto"/>
              </w:rPr>
            </w:pPr>
            <w:r>
              <w:rPr>
                <w:rFonts w:ascii="Arial" w:cs="Arial" w:eastAsia="Arial" w:hAnsi="Arial"/>
                <w:sz w:val="13"/>
                <w:szCs w:val="13"/>
                <w:b w:val="1"/>
                <w:bCs w:val="1"/>
                <w:color w:val="auto"/>
              </w:rPr>
              <w:t>Additional</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vMerge w:val="restart"/>
          </w:tcPr>
          <w:p>
            <w:pPr>
              <w:jc w:val="center"/>
              <w:ind w:right="103"/>
              <w:spacing w:after="0"/>
              <w:rPr>
                <w:sz w:val="20"/>
                <w:szCs w:val="20"/>
                <w:color w:val="auto"/>
              </w:rPr>
            </w:pPr>
            <w:r>
              <w:rPr>
                <w:rFonts w:ascii="Arial" w:cs="Arial" w:eastAsia="Arial" w:hAnsi="Arial"/>
                <w:sz w:val="13"/>
                <w:szCs w:val="13"/>
                <w:b w:val="1"/>
                <w:bCs w:val="1"/>
                <w:color w:val="auto"/>
                <w:w w:val="89"/>
              </w:rPr>
              <w:t>Total</w:t>
            </w:r>
          </w:p>
        </w:tc>
        <w:tc>
          <w:tcPr>
            <w:tcW w:w="0" w:type="dxa"/>
            <w:vAlign w:val="bottom"/>
          </w:tcPr>
          <w:p>
            <w:pPr>
              <w:spacing w:after="0"/>
              <w:rPr>
                <w:sz w:val="1"/>
                <w:szCs w:val="1"/>
                <w:color w:val="auto"/>
              </w:rPr>
            </w:pPr>
          </w:p>
        </w:tc>
      </w:tr>
      <w:tr>
        <w:trPr>
          <w:trHeight w:val="54"/>
        </w:trPr>
        <w:tc>
          <w:tcPr>
            <w:tcW w:w="284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320" w:type="dxa"/>
            <w:vAlign w:val="bottom"/>
            <w:gridSpan w:val="5"/>
            <w:vMerge w:val="restart"/>
          </w:tcPr>
          <w:p>
            <w:pPr>
              <w:jc w:val="right"/>
              <w:ind w:right="497"/>
              <w:spacing w:after="0"/>
              <w:rPr>
                <w:sz w:val="20"/>
                <w:szCs w:val="20"/>
                <w:color w:val="auto"/>
              </w:rPr>
            </w:pPr>
            <w:r>
              <w:rPr>
                <w:rFonts w:ascii="Arial" w:cs="Arial" w:eastAsia="Arial" w:hAnsi="Arial"/>
                <w:sz w:val="13"/>
                <w:szCs w:val="13"/>
                <w:b w:val="1"/>
                <w:bCs w:val="1"/>
                <w:color w:val="auto"/>
              </w:rPr>
              <w:t>Common Stock</w:t>
            </w:r>
          </w:p>
        </w:tc>
        <w:tc>
          <w:tcPr>
            <w:tcW w:w="2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1140" w:type="dxa"/>
            <w:vAlign w:val="bottom"/>
            <w:gridSpan w:val="3"/>
            <w:vMerge w:val="continue"/>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10"/>
        </w:trPr>
        <w:tc>
          <w:tcPr>
            <w:tcW w:w="284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320" w:type="dxa"/>
            <w:vAlign w:val="bottom"/>
            <w:gridSpan w:val="5"/>
            <w:vMerge w:val="continue"/>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140" w:type="dxa"/>
            <w:vAlign w:val="bottom"/>
            <w:gridSpan w:val="3"/>
            <w:vMerge w:val="restart"/>
          </w:tcPr>
          <w:p>
            <w:pPr>
              <w:ind w:left="260"/>
              <w:spacing w:after="0" w:line="120" w:lineRule="exact"/>
              <w:rPr>
                <w:sz w:val="20"/>
                <w:szCs w:val="20"/>
                <w:color w:val="auto"/>
              </w:rPr>
            </w:pPr>
            <w:r>
              <w:rPr>
                <w:rFonts w:ascii="Arial" w:cs="Arial" w:eastAsia="Arial" w:hAnsi="Arial"/>
                <w:sz w:val="13"/>
                <w:szCs w:val="13"/>
                <w:b w:val="1"/>
                <w:bCs w:val="1"/>
                <w:color w:val="auto"/>
              </w:rPr>
              <w:t>Paid-in</w:t>
            </w: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40" w:type="dxa"/>
            <w:vAlign w:val="bottom"/>
            <w:gridSpan w:val="3"/>
            <w:vMerge w:val="restart"/>
          </w:tcPr>
          <w:p>
            <w:pPr>
              <w:ind w:left="20"/>
              <w:spacing w:after="0" w:line="120" w:lineRule="exact"/>
              <w:rPr>
                <w:sz w:val="20"/>
                <w:szCs w:val="20"/>
                <w:color w:val="auto"/>
              </w:rPr>
            </w:pPr>
            <w:r>
              <w:rPr>
                <w:rFonts w:ascii="Arial" w:cs="Arial" w:eastAsia="Arial" w:hAnsi="Arial"/>
                <w:sz w:val="13"/>
                <w:szCs w:val="13"/>
                <w:b w:val="1"/>
                <w:bCs w:val="1"/>
                <w:color w:val="auto"/>
              </w:rPr>
              <w:t>Accumulated Other</w:t>
            </w: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180" w:type="dxa"/>
            <w:vAlign w:val="bottom"/>
            <w:gridSpan w:val="2"/>
            <w:vMerge w:val="restart"/>
          </w:tcPr>
          <w:p>
            <w:pPr>
              <w:ind w:left="100"/>
              <w:spacing w:after="0" w:line="120" w:lineRule="exact"/>
              <w:rPr>
                <w:sz w:val="20"/>
                <w:szCs w:val="20"/>
                <w:color w:val="auto"/>
              </w:rPr>
            </w:pPr>
            <w:r>
              <w:rPr>
                <w:rFonts w:ascii="Arial" w:cs="Arial" w:eastAsia="Arial" w:hAnsi="Arial"/>
                <w:sz w:val="13"/>
                <w:szCs w:val="13"/>
                <w:b w:val="1"/>
                <w:bCs w:val="1"/>
                <w:color w:val="auto"/>
              </w:rPr>
              <w:t>Accumulated</w:t>
            </w:r>
          </w:p>
        </w:tc>
        <w:tc>
          <w:tcPr>
            <w:tcW w:w="160" w:type="dxa"/>
            <w:vAlign w:val="bottom"/>
          </w:tcPr>
          <w:p>
            <w:pPr>
              <w:spacing w:after="0"/>
              <w:rPr>
                <w:sz w:val="9"/>
                <w:szCs w:val="9"/>
                <w:color w:val="auto"/>
              </w:rPr>
            </w:pPr>
          </w:p>
        </w:tc>
        <w:tc>
          <w:tcPr>
            <w:tcW w:w="1140" w:type="dxa"/>
            <w:vAlign w:val="bottom"/>
            <w:vMerge w:val="restart"/>
          </w:tcPr>
          <w:p>
            <w:pPr>
              <w:jc w:val="center"/>
              <w:ind w:right="83"/>
              <w:spacing w:after="0" w:line="120" w:lineRule="exact"/>
              <w:rPr>
                <w:sz w:val="20"/>
                <w:szCs w:val="20"/>
                <w:color w:val="auto"/>
              </w:rPr>
            </w:pPr>
            <w:r>
              <w:rPr>
                <w:rFonts w:ascii="Arial" w:cs="Arial" w:eastAsia="Arial" w:hAnsi="Arial"/>
                <w:sz w:val="13"/>
                <w:szCs w:val="13"/>
                <w:b w:val="1"/>
                <w:bCs w:val="1"/>
                <w:color w:val="auto"/>
                <w:w w:val="86"/>
              </w:rPr>
              <w:t>Stockholders'</w:t>
            </w:r>
          </w:p>
        </w:tc>
        <w:tc>
          <w:tcPr>
            <w:tcW w:w="0" w:type="dxa"/>
            <w:vAlign w:val="bottom"/>
          </w:tcPr>
          <w:p>
            <w:pPr>
              <w:spacing w:after="0"/>
              <w:rPr>
                <w:sz w:val="1"/>
                <w:szCs w:val="1"/>
                <w:color w:val="auto"/>
              </w:rPr>
            </w:pPr>
          </w:p>
        </w:tc>
      </w:tr>
      <w:tr>
        <w:trPr>
          <w:trHeight w:val="30"/>
        </w:trPr>
        <w:tc>
          <w:tcPr>
            <w:tcW w:w="28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gridSpan w:val="3"/>
            <w:vMerge w:val="continue"/>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gridSpan w:val="3"/>
            <w:vMerge w:val="continue"/>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gridSpan w:val="2"/>
            <w:vMerge w:val="continue"/>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66"/>
        </w:trPr>
        <w:tc>
          <w:tcPr>
            <w:tcW w:w="28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20" w:type="dxa"/>
            <w:vAlign w:val="bottom"/>
            <w:gridSpan w:val="3"/>
          </w:tcPr>
          <w:p>
            <w:pPr>
              <w:ind w:left="460"/>
              <w:spacing w:after="0"/>
              <w:rPr>
                <w:sz w:val="20"/>
                <w:szCs w:val="20"/>
                <w:color w:val="auto"/>
              </w:rPr>
            </w:pPr>
            <w:r>
              <w:rPr>
                <w:rFonts w:ascii="Arial" w:cs="Arial" w:eastAsia="Arial" w:hAnsi="Arial"/>
                <w:sz w:val="13"/>
                <w:szCs w:val="13"/>
                <w:b w:val="1"/>
                <w:bCs w:val="1"/>
                <w:color w:val="auto"/>
              </w:rPr>
              <w:t>Shares</w:t>
            </w:r>
          </w:p>
        </w:tc>
        <w:tc>
          <w:tcPr>
            <w:tcW w:w="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3"/>
                <w:szCs w:val="13"/>
                <w:b w:val="1"/>
                <w:bCs w:val="1"/>
                <w:color w:val="auto"/>
              </w:rPr>
              <w:t>Amount</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40" w:type="dxa"/>
            <w:vAlign w:val="bottom"/>
            <w:gridSpan w:val="3"/>
          </w:tcPr>
          <w:p>
            <w:pPr>
              <w:ind w:left="260"/>
              <w:spacing w:after="0"/>
              <w:rPr>
                <w:sz w:val="20"/>
                <w:szCs w:val="20"/>
                <w:color w:val="auto"/>
              </w:rPr>
            </w:pPr>
            <w:r>
              <w:rPr>
                <w:rFonts w:ascii="Arial" w:cs="Arial" w:eastAsia="Arial" w:hAnsi="Arial"/>
                <w:sz w:val="13"/>
                <w:szCs w:val="13"/>
                <w:b w:val="1"/>
                <w:bCs w:val="1"/>
                <w:color w:val="auto"/>
              </w:rPr>
              <w:t>Capital</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gridSpan w:val="3"/>
          </w:tcPr>
          <w:p>
            <w:pPr>
              <w:spacing w:after="0"/>
              <w:rPr>
                <w:sz w:val="20"/>
                <w:szCs w:val="20"/>
                <w:color w:val="auto"/>
              </w:rPr>
            </w:pPr>
            <w:r>
              <w:rPr>
                <w:rFonts w:ascii="Arial" w:cs="Arial" w:eastAsia="Arial" w:hAnsi="Arial"/>
                <w:sz w:val="13"/>
                <w:szCs w:val="13"/>
                <w:b w:val="1"/>
                <w:bCs w:val="1"/>
                <w:color w:val="auto"/>
                <w:w w:val="92"/>
              </w:rPr>
              <w:t>Comprehensive Loss</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gridSpan w:val="2"/>
          </w:tcPr>
          <w:p>
            <w:pPr>
              <w:ind w:left="280"/>
              <w:spacing w:after="0"/>
              <w:rPr>
                <w:sz w:val="20"/>
                <w:szCs w:val="20"/>
                <w:color w:val="auto"/>
              </w:rPr>
            </w:pPr>
            <w:r>
              <w:rPr>
                <w:rFonts w:ascii="Arial" w:cs="Arial" w:eastAsia="Arial" w:hAnsi="Arial"/>
                <w:sz w:val="13"/>
                <w:szCs w:val="13"/>
                <w:b w:val="1"/>
                <w:bCs w:val="1"/>
                <w:color w:val="auto"/>
              </w:rPr>
              <w:t>Deficit</w:t>
            </w:r>
          </w:p>
        </w:tc>
        <w:tc>
          <w:tcPr>
            <w:tcW w:w="160" w:type="dxa"/>
            <w:vAlign w:val="bottom"/>
          </w:tcPr>
          <w:p>
            <w:pPr>
              <w:spacing w:after="0"/>
              <w:rPr>
                <w:sz w:val="14"/>
                <w:szCs w:val="14"/>
                <w:color w:val="auto"/>
              </w:rPr>
            </w:pPr>
          </w:p>
        </w:tc>
        <w:tc>
          <w:tcPr>
            <w:tcW w:w="1140" w:type="dxa"/>
            <w:vAlign w:val="bottom"/>
          </w:tcPr>
          <w:p>
            <w:pPr>
              <w:jc w:val="center"/>
              <w:ind w:right="103"/>
              <w:spacing w:after="0"/>
              <w:rPr>
                <w:sz w:val="20"/>
                <w:szCs w:val="20"/>
                <w:color w:val="auto"/>
              </w:rPr>
            </w:pPr>
            <w:r>
              <w:rPr>
                <w:rFonts w:ascii="Arial" w:cs="Arial" w:eastAsia="Arial" w:hAnsi="Arial"/>
                <w:sz w:val="13"/>
                <w:szCs w:val="13"/>
                <w:b w:val="1"/>
                <w:bCs w:val="1"/>
                <w:color w:val="auto"/>
                <w:w w:val="91"/>
              </w:rPr>
              <w:t>Equity (Deficit)</w:t>
            </w:r>
          </w:p>
        </w:tc>
        <w:tc>
          <w:tcPr>
            <w:tcW w:w="0" w:type="dxa"/>
            <w:vAlign w:val="bottom"/>
          </w:tcPr>
          <w:p>
            <w:pPr>
              <w:spacing w:after="0"/>
              <w:rPr>
                <w:sz w:val="1"/>
                <w:szCs w:val="1"/>
                <w:color w:val="auto"/>
              </w:rPr>
            </w:pPr>
          </w:p>
        </w:tc>
      </w:tr>
      <w:tr>
        <w:trPr>
          <w:trHeight w:val="30"/>
        </w:trPr>
        <w:tc>
          <w:tcPr>
            <w:tcW w:w="284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gridSpan w:val="2"/>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gridSpan w:val="2"/>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gridSpan w:val="2"/>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gridSpan w:val="2"/>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28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BALANCE—December 31, 2021</w:t>
            </w:r>
          </w:p>
        </w:tc>
        <w:tc>
          <w:tcPr>
            <w:tcW w:w="1400" w:type="dxa"/>
            <w:vAlign w:val="bottom"/>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313,365,437</w:t>
            </w:r>
          </w:p>
        </w:tc>
        <w:tc>
          <w:tcPr>
            <w:tcW w:w="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757"/>
              <w:spacing w:after="0"/>
              <w:rPr>
                <w:sz w:val="20"/>
                <w:szCs w:val="20"/>
                <w:color w:val="auto"/>
              </w:rPr>
            </w:pPr>
            <w:r>
              <w:rPr>
                <w:rFonts w:ascii="Arial" w:cs="Arial" w:eastAsia="Arial" w:hAnsi="Arial"/>
                <w:sz w:val="16"/>
                <w:szCs w:val="16"/>
                <w:color w:val="auto"/>
              </w:rPr>
              <w:t>$</w:t>
            </w:r>
          </w:p>
        </w:tc>
        <w:tc>
          <w:tcPr>
            <w:tcW w:w="3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3</w:t>
            </w:r>
          </w:p>
        </w:tc>
        <w:tc>
          <w:tcPr>
            <w:tcW w:w="2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1,197,136</w:t>
            </w:r>
          </w:p>
        </w:tc>
        <w:tc>
          <w:tcPr>
            <w:tcW w:w="40" w:type="dxa"/>
            <w:vAlign w:val="bottom"/>
            <w:shd w:val="clear" w:color="auto" w:fill="CCEEFF"/>
          </w:tcPr>
          <w:p>
            <w:pPr>
              <w:spacing w:after="0"/>
              <w:rPr>
                <w:sz w:val="18"/>
                <w:szCs w:val="18"/>
                <w:color w:val="auto"/>
              </w:rPr>
            </w:pPr>
          </w:p>
        </w:tc>
        <w:tc>
          <w:tcPr>
            <w:tcW w:w="180" w:type="dxa"/>
            <w:vAlign w:val="bottom"/>
            <w:gridSpan w:val="2"/>
            <w:shd w:val="clear" w:color="auto" w:fill="CCEEFF"/>
          </w:tcPr>
          <w:p>
            <w:pPr>
              <w:ind w:left="100"/>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(3,830)</w:t>
            </w:r>
          </w:p>
        </w:tc>
        <w:tc>
          <w:tcPr>
            <w:tcW w:w="4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(152,106)</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1,041,203</w:t>
            </w:r>
          </w:p>
        </w:tc>
        <w:tc>
          <w:tcPr>
            <w:tcW w:w="0" w:type="dxa"/>
            <w:vAlign w:val="bottom"/>
          </w:tcPr>
          <w:p>
            <w:pPr>
              <w:spacing w:after="0"/>
              <w:rPr>
                <w:sz w:val="1"/>
                <w:szCs w:val="1"/>
                <w:color w:val="auto"/>
              </w:rPr>
            </w:pPr>
          </w:p>
        </w:tc>
      </w:tr>
      <w:tr>
        <w:trPr>
          <w:trHeight w:val="206"/>
        </w:trPr>
        <w:tc>
          <w:tcPr>
            <w:tcW w:w="2860" w:type="dxa"/>
            <w:vAlign w:val="bottom"/>
            <w:gridSpan w:val="2"/>
          </w:tcPr>
          <w:p>
            <w:pPr>
              <w:ind w:left="20"/>
              <w:spacing w:after="0"/>
              <w:rPr>
                <w:sz w:val="20"/>
                <w:szCs w:val="20"/>
                <w:color w:val="auto"/>
              </w:rPr>
            </w:pPr>
            <w:r>
              <w:rPr>
                <w:rFonts w:ascii="Arial" w:cs="Arial" w:eastAsia="Arial" w:hAnsi="Arial"/>
                <w:sz w:val="16"/>
                <w:szCs w:val="16"/>
                <w:color w:val="auto"/>
                <w:w w:val="96"/>
              </w:rPr>
              <w:t>Issuance of common stock upon exercise</w:t>
            </w:r>
          </w:p>
        </w:tc>
        <w:tc>
          <w:tcPr>
            <w:tcW w:w="1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2860" w:type="dxa"/>
            <w:vAlign w:val="bottom"/>
            <w:gridSpan w:val="2"/>
          </w:tcPr>
          <w:p>
            <w:pPr>
              <w:ind w:left="180"/>
              <w:spacing w:after="0"/>
              <w:rPr>
                <w:sz w:val="20"/>
                <w:szCs w:val="20"/>
                <w:color w:val="auto"/>
              </w:rPr>
            </w:pPr>
            <w:r>
              <w:rPr>
                <w:rFonts w:ascii="Arial" w:cs="Arial" w:eastAsia="Arial" w:hAnsi="Arial"/>
                <w:sz w:val="16"/>
                <w:szCs w:val="16"/>
                <w:color w:val="auto"/>
              </w:rPr>
              <w:t>of stock options</w:t>
            </w:r>
          </w:p>
        </w:tc>
        <w:tc>
          <w:tcPr>
            <w:tcW w:w="1400" w:type="dxa"/>
            <w:vAlign w:val="bottom"/>
            <w:gridSpan w:val="3"/>
          </w:tcPr>
          <w:p>
            <w:pPr>
              <w:jc w:val="right"/>
              <w:ind w:right="60"/>
              <w:spacing w:after="0"/>
              <w:rPr>
                <w:sz w:val="20"/>
                <w:szCs w:val="20"/>
                <w:color w:val="auto"/>
              </w:rPr>
            </w:pPr>
            <w:r>
              <w:rPr>
                <w:rFonts w:ascii="Arial" w:cs="Arial" w:eastAsia="Arial" w:hAnsi="Arial"/>
                <w:sz w:val="16"/>
                <w:szCs w:val="16"/>
                <w:color w:val="auto"/>
              </w:rPr>
              <w:t>2,089,044</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00" w:type="dxa"/>
            <w:vAlign w:val="bottom"/>
            <w:gridSpan w:val="3"/>
          </w:tcPr>
          <w:p>
            <w:pPr>
              <w:jc w:val="right"/>
              <w:ind w:right="10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6"/>
                <w:szCs w:val="16"/>
                <w:color w:val="auto"/>
              </w:rPr>
              <w:t>8,253</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gridSpan w:val="3"/>
          </w:tcPr>
          <w:p>
            <w:pPr>
              <w:ind w:left="98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gridSpan w:val="2"/>
          </w:tcPr>
          <w:p>
            <w:pPr>
              <w:ind w:left="8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8,253</w:t>
            </w:r>
          </w:p>
        </w:tc>
        <w:tc>
          <w:tcPr>
            <w:tcW w:w="0" w:type="dxa"/>
            <w:vAlign w:val="bottom"/>
          </w:tcPr>
          <w:p>
            <w:pPr>
              <w:spacing w:after="0"/>
              <w:rPr>
                <w:sz w:val="1"/>
                <w:szCs w:val="1"/>
                <w:color w:val="auto"/>
              </w:rPr>
            </w:pPr>
          </w:p>
        </w:tc>
      </w:tr>
      <w:tr>
        <w:trPr>
          <w:trHeight w:val="246"/>
        </w:trPr>
        <w:tc>
          <w:tcPr>
            <w:tcW w:w="28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Vesting of early exercised stock options</w:t>
            </w:r>
          </w:p>
        </w:tc>
        <w:tc>
          <w:tcPr>
            <w:tcW w:w="100" w:type="dxa"/>
            <w:vAlign w:val="bottom"/>
            <w:shd w:val="clear" w:color="auto" w:fill="CCEEFF"/>
          </w:tcPr>
          <w:p>
            <w:pPr>
              <w:spacing w:after="0"/>
              <w:rPr>
                <w:sz w:val="21"/>
                <w:szCs w:val="21"/>
                <w:color w:val="auto"/>
              </w:rPr>
            </w:pPr>
          </w:p>
        </w:tc>
        <w:tc>
          <w:tcPr>
            <w:tcW w:w="1320" w:type="dxa"/>
            <w:vAlign w:val="bottom"/>
            <w:gridSpan w:val="3"/>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400" w:type="dxa"/>
            <w:vAlign w:val="bottom"/>
            <w:gridSpan w:val="3"/>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33</w:t>
            </w:r>
          </w:p>
        </w:tc>
        <w:tc>
          <w:tcPr>
            <w:tcW w:w="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40" w:type="dxa"/>
            <w:vAlign w:val="bottom"/>
            <w:gridSpan w:val="3"/>
            <w:shd w:val="clear" w:color="auto" w:fill="CCEEFF"/>
          </w:tcPr>
          <w:p>
            <w:pPr>
              <w:ind w:left="98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ind w:left="84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w:t>
            </w:r>
          </w:p>
        </w:tc>
        <w:tc>
          <w:tcPr>
            <w:tcW w:w="0" w:type="dxa"/>
            <w:vAlign w:val="bottom"/>
          </w:tcPr>
          <w:p>
            <w:pPr>
              <w:spacing w:after="0"/>
              <w:rPr>
                <w:sz w:val="1"/>
                <w:szCs w:val="1"/>
                <w:color w:val="auto"/>
              </w:rPr>
            </w:pPr>
          </w:p>
        </w:tc>
      </w:tr>
      <w:tr>
        <w:trPr>
          <w:trHeight w:val="240"/>
        </w:trPr>
        <w:tc>
          <w:tcPr>
            <w:tcW w:w="2860" w:type="dxa"/>
            <w:vAlign w:val="bottom"/>
            <w:gridSpan w:val="2"/>
          </w:tcPr>
          <w:p>
            <w:pPr>
              <w:ind w:left="20"/>
              <w:spacing w:after="0"/>
              <w:rPr>
                <w:sz w:val="20"/>
                <w:szCs w:val="20"/>
                <w:color w:val="auto"/>
              </w:rPr>
            </w:pPr>
            <w:r>
              <w:rPr>
                <w:rFonts w:ascii="Arial" w:cs="Arial" w:eastAsia="Arial" w:hAnsi="Arial"/>
                <w:sz w:val="16"/>
                <w:szCs w:val="16"/>
                <w:color w:val="auto"/>
              </w:rPr>
              <w:t>Vesting of restricted stock units</w:t>
            </w:r>
          </w:p>
        </w:tc>
        <w:tc>
          <w:tcPr>
            <w:tcW w:w="1400" w:type="dxa"/>
            <w:vAlign w:val="bottom"/>
            <w:gridSpan w:val="3"/>
          </w:tcPr>
          <w:p>
            <w:pPr>
              <w:jc w:val="right"/>
              <w:ind w:right="60"/>
              <w:spacing w:after="0"/>
              <w:rPr>
                <w:sz w:val="20"/>
                <w:szCs w:val="20"/>
                <w:color w:val="auto"/>
              </w:rPr>
            </w:pPr>
            <w:r>
              <w:rPr>
                <w:rFonts w:ascii="Arial" w:cs="Arial" w:eastAsia="Arial" w:hAnsi="Arial"/>
                <w:sz w:val="16"/>
                <w:szCs w:val="16"/>
                <w:color w:val="auto"/>
              </w:rPr>
              <w:t>1,732,731</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00" w:type="dxa"/>
            <w:vAlign w:val="bottom"/>
            <w:gridSpan w:val="3"/>
          </w:tcPr>
          <w:p>
            <w:pPr>
              <w:jc w:val="right"/>
              <w:ind w:right="10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gridSpan w:val="3"/>
          </w:tcPr>
          <w:p>
            <w:pPr>
              <w:jc w:val="right"/>
              <w:ind w:right="10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gridSpan w:val="3"/>
          </w:tcPr>
          <w:p>
            <w:pPr>
              <w:ind w:left="98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gridSpan w:val="2"/>
          </w:tcPr>
          <w:p>
            <w:pPr>
              <w:ind w:left="8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9"/>
        </w:trPr>
        <w:tc>
          <w:tcPr>
            <w:tcW w:w="28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w w:val="97"/>
              </w:rPr>
              <w:t>Issuance of restricted shares of common</w:t>
            </w: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9"/>
        </w:trPr>
        <w:tc>
          <w:tcPr>
            <w:tcW w:w="286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stock from acquisitions</w:t>
            </w:r>
          </w:p>
        </w:tc>
        <w:tc>
          <w:tcPr>
            <w:tcW w:w="1400" w:type="dxa"/>
            <w:vAlign w:val="bottom"/>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191,019</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400" w:type="dxa"/>
            <w:vAlign w:val="bottom"/>
            <w:gridSpan w:val="3"/>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7,608</w:t>
            </w:r>
          </w:p>
        </w:tc>
        <w:tc>
          <w:tcPr>
            <w:tcW w:w="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40" w:type="dxa"/>
            <w:vAlign w:val="bottom"/>
            <w:gridSpan w:val="3"/>
            <w:shd w:val="clear" w:color="auto" w:fill="CCEEFF"/>
          </w:tcPr>
          <w:p>
            <w:pPr>
              <w:ind w:left="98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ind w:left="84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7,608</w:t>
            </w:r>
          </w:p>
        </w:tc>
        <w:tc>
          <w:tcPr>
            <w:tcW w:w="0" w:type="dxa"/>
            <w:vAlign w:val="bottom"/>
          </w:tcPr>
          <w:p>
            <w:pPr>
              <w:spacing w:after="0"/>
              <w:rPr>
                <w:sz w:val="1"/>
                <w:szCs w:val="1"/>
                <w:color w:val="auto"/>
              </w:rPr>
            </w:pPr>
          </w:p>
        </w:tc>
      </w:tr>
      <w:tr>
        <w:trPr>
          <w:trHeight w:val="206"/>
        </w:trPr>
        <w:tc>
          <w:tcPr>
            <w:tcW w:w="2860" w:type="dxa"/>
            <w:vAlign w:val="bottom"/>
            <w:gridSpan w:val="2"/>
          </w:tcPr>
          <w:p>
            <w:pPr>
              <w:ind w:left="20"/>
              <w:spacing w:after="0"/>
              <w:rPr>
                <w:sz w:val="20"/>
                <w:szCs w:val="20"/>
                <w:color w:val="auto"/>
              </w:rPr>
            </w:pPr>
            <w:r>
              <w:rPr>
                <w:rFonts w:ascii="Arial" w:cs="Arial" w:eastAsia="Arial" w:hAnsi="Arial"/>
                <w:sz w:val="16"/>
                <w:szCs w:val="16"/>
                <w:color w:val="auto"/>
              </w:rPr>
              <w:t>Issuance of common stock under the</w:t>
            </w:r>
          </w:p>
        </w:tc>
        <w:tc>
          <w:tcPr>
            <w:tcW w:w="1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2860" w:type="dxa"/>
            <w:vAlign w:val="bottom"/>
            <w:gridSpan w:val="2"/>
          </w:tcPr>
          <w:p>
            <w:pPr>
              <w:ind w:left="180"/>
              <w:spacing w:after="0"/>
              <w:rPr>
                <w:sz w:val="20"/>
                <w:szCs w:val="20"/>
                <w:color w:val="auto"/>
              </w:rPr>
            </w:pPr>
            <w:r>
              <w:rPr>
                <w:rFonts w:ascii="Arial" w:cs="Arial" w:eastAsia="Arial" w:hAnsi="Arial"/>
                <w:sz w:val="16"/>
                <w:szCs w:val="16"/>
                <w:color w:val="auto"/>
              </w:rPr>
              <w:t>Employee Stock Purchase Plan</w:t>
            </w:r>
          </w:p>
        </w:tc>
        <w:tc>
          <w:tcPr>
            <w:tcW w:w="1400" w:type="dxa"/>
            <w:vAlign w:val="bottom"/>
            <w:gridSpan w:val="3"/>
          </w:tcPr>
          <w:p>
            <w:pPr>
              <w:jc w:val="right"/>
              <w:ind w:right="60"/>
              <w:spacing w:after="0"/>
              <w:rPr>
                <w:sz w:val="20"/>
                <w:szCs w:val="20"/>
                <w:color w:val="auto"/>
              </w:rPr>
            </w:pPr>
            <w:r>
              <w:rPr>
                <w:rFonts w:ascii="Arial" w:cs="Arial" w:eastAsia="Arial" w:hAnsi="Arial"/>
                <w:sz w:val="16"/>
                <w:szCs w:val="16"/>
                <w:color w:val="auto"/>
              </w:rPr>
              <w:t>146,515</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00" w:type="dxa"/>
            <w:vAlign w:val="bottom"/>
            <w:gridSpan w:val="3"/>
          </w:tcPr>
          <w:p>
            <w:pPr>
              <w:jc w:val="right"/>
              <w:ind w:right="10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6"/>
                <w:szCs w:val="16"/>
                <w:color w:val="auto"/>
              </w:rPr>
              <w:t>13,557</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gridSpan w:val="3"/>
          </w:tcPr>
          <w:p>
            <w:pPr>
              <w:ind w:left="98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gridSpan w:val="2"/>
          </w:tcPr>
          <w:p>
            <w:pPr>
              <w:ind w:left="8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13,557</w:t>
            </w:r>
          </w:p>
        </w:tc>
        <w:tc>
          <w:tcPr>
            <w:tcW w:w="0" w:type="dxa"/>
            <w:vAlign w:val="bottom"/>
          </w:tcPr>
          <w:p>
            <w:pPr>
              <w:spacing w:after="0"/>
              <w:rPr>
                <w:sz w:val="1"/>
                <w:szCs w:val="1"/>
                <w:color w:val="auto"/>
              </w:rPr>
            </w:pPr>
          </w:p>
        </w:tc>
      </w:tr>
      <w:tr>
        <w:trPr>
          <w:trHeight w:val="246"/>
        </w:trPr>
        <w:tc>
          <w:tcPr>
            <w:tcW w:w="28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Stock-based compensation</w:t>
            </w:r>
          </w:p>
        </w:tc>
        <w:tc>
          <w:tcPr>
            <w:tcW w:w="100" w:type="dxa"/>
            <w:vAlign w:val="bottom"/>
            <w:shd w:val="clear" w:color="auto" w:fill="CCEEFF"/>
          </w:tcPr>
          <w:p>
            <w:pPr>
              <w:spacing w:after="0"/>
              <w:rPr>
                <w:sz w:val="21"/>
                <w:szCs w:val="21"/>
                <w:color w:val="auto"/>
              </w:rPr>
            </w:pPr>
          </w:p>
        </w:tc>
        <w:tc>
          <w:tcPr>
            <w:tcW w:w="1320" w:type="dxa"/>
            <w:vAlign w:val="bottom"/>
            <w:gridSpan w:val="3"/>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400" w:type="dxa"/>
            <w:vAlign w:val="bottom"/>
            <w:gridSpan w:val="3"/>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261,405</w:t>
            </w:r>
          </w:p>
        </w:tc>
        <w:tc>
          <w:tcPr>
            <w:tcW w:w="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40" w:type="dxa"/>
            <w:vAlign w:val="bottom"/>
            <w:gridSpan w:val="3"/>
            <w:shd w:val="clear" w:color="auto" w:fill="CCEEFF"/>
          </w:tcPr>
          <w:p>
            <w:pPr>
              <w:ind w:left="98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ind w:left="84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261,405</w:t>
            </w:r>
          </w:p>
        </w:tc>
        <w:tc>
          <w:tcPr>
            <w:tcW w:w="0" w:type="dxa"/>
            <w:vAlign w:val="bottom"/>
          </w:tcPr>
          <w:p>
            <w:pPr>
              <w:spacing w:after="0"/>
              <w:rPr>
                <w:sz w:val="1"/>
                <w:szCs w:val="1"/>
                <w:color w:val="auto"/>
              </w:rPr>
            </w:pPr>
          </w:p>
        </w:tc>
      </w:tr>
      <w:tr>
        <w:trPr>
          <w:trHeight w:val="206"/>
        </w:trPr>
        <w:tc>
          <w:tcPr>
            <w:tcW w:w="2860" w:type="dxa"/>
            <w:vAlign w:val="bottom"/>
            <w:gridSpan w:val="2"/>
          </w:tcPr>
          <w:p>
            <w:pPr>
              <w:ind w:left="20"/>
              <w:spacing w:after="0"/>
              <w:rPr>
                <w:sz w:val="20"/>
                <w:szCs w:val="20"/>
                <w:color w:val="auto"/>
              </w:rPr>
            </w:pPr>
            <w:r>
              <w:rPr>
                <w:rFonts w:ascii="Arial" w:cs="Arial" w:eastAsia="Arial" w:hAnsi="Arial"/>
                <w:sz w:val="16"/>
                <w:szCs w:val="16"/>
                <w:color w:val="auto"/>
              </w:rPr>
              <w:t>Changes in accumulated other</w:t>
            </w:r>
          </w:p>
        </w:tc>
        <w:tc>
          <w:tcPr>
            <w:tcW w:w="1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2860" w:type="dxa"/>
            <w:vAlign w:val="bottom"/>
            <w:gridSpan w:val="2"/>
          </w:tcPr>
          <w:p>
            <w:pPr>
              <w:ind w:left="180"/>
              <w:spacing w:after="0"/>
              <w:rPr>
                <w:sz w:val="20"/>
                <w:szCs w:val="20"/>
                <w:color w:val="auto"/>
              </w:rPr>
            </w:pPr>
            <w:r>
              <w:rPr>
                <w:rFonts w:ascii="Arial" w:cs="Arial" w:eastAsia="Arial" w:hAnsi="Arial"/>
                <w:sz w:val="16"/>
                <w:szCs w:val="16"/>
                <w:color w:val="auto"/>
              </w:rPr>
              <w:t>comprehensive loss</w:t>
            </w:r>
          </w:p>
        </w:tc>
        <w:tc>
          <w:tcPr>
            <w:tcW w:w="100" w:type="dxa"/>
            <w:vAlign w:val="bottom"/>
          </w:tcPr>
          <w:p>
            <w:pPr>
              <w:spacing w:after="0"/>
              <w:rPr>
                <w:sz w:val="20"/>
                <w:szCs w:val="20"/>
                <w:color w:val="auto"/>
              </w:rPr>
            </w:pPr>
          </w:p>
        </w:tc>
        <w:tc>
          <w:tcPr>
            <w:tcW w:w="1320" w:type="dxa"/>
            <w:vAlign w:val="bottom"/>
            <w:gridSpan w:val="3"/>
          </w:tcPr>
          <w:p>
            <w:pPr>
              <w:jc w:val="right"/>
              <w:ind w:right="8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00" w:type="dxa"/>
            <w:vAlign w:val="bottom"/>
            <w:gridSpan w:val="3"/>
          </w:tcPr>
          <w:p>
            <w:pPr>
              <w:jc w:val="right"/>
              <w:ind w:right="10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gridSpan w:val="3"/>
          </w:tcPr>
          <w:p>
            <w:pPr>
              <w:jc w:val="right"/>
              <w:ind w:right="10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16"/>
                <w:szCs w:val="16"/>
                <w:color w:val="auto"/>
              </w:rPr>
              <w:t>(21,494)</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gridSpan w:val="2"/>
          </w:tcPr>
          <w:p>
            <w:pPr>
              <w:ind w:left="8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(21,494)</w:t>
            </w:r>
          </w:p>
        </w:tc>
        <w:tc>
          <w:tcPr>
            <w:tcW w:w="0" w:type="dxa"/>
            <w:vAlign w:val="bottom"/>
          </w:tcPr>
          <w:p>
            <w:pPr>
              <w:spacing w:after="0"/>
              <w:rPr>
                <w:sz w:val="1"/>
                <w:szCs w:val="1"/>
                <w:color w:val="auto"/>
              </w:rPr>
            </w:pPr>
          </w:p>
        </w:tc>
      </w:tr>
      <w:tr>
        <w:trPr>
          <w:trHeight w:val="243"/>
        </w:trPr>
        <w:tc>
          <w:tcPr>
            <w:tcW w:w="2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loss</w:t>
            </w:r>
          </w:p>
        </w:tc>
        <w:tc>
          <w:tcPr>
            <w:tcW w:w="2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130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spacing w:after="0"/>
              <w:rPr>
                <w:sz w:val="21"/>
                <w:szCs w:val="21"/>
                <w:color w:val="auto"/>
              </w:rPr>
            </w:pPr>
          </w:p>
        </w:tc>
        <w:tc>
          <w:tcPr>
            <w:tcW w:w="38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gridSpan w:val="2"/>
            <w:shd w:val="clear" w:color="auto" w:fill="CCEEFF"/>
          </w:tcPr>
          <w:p>
            <w:pPr>
              <w:ind w:left="980"/>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(21,126)</w:t>
            </w:r>
          </w:p>
        </w:tc>
        <w:tc>
          <w:tcPr>
            <w:tcW w:w="12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(21,126)</w:t>
            </w:r>
          </w:p>
        </w:tc>
        <w:tc>
          <w:tcPr>
            <w:tcW w:w="0" w:type="dxa"/>
            <w:vAlign w:val="bottom"/>
          </w:tcPr>
          <w:p>
            <w:pPr>
              <w:spacing w:after="0"/>
              <w:rPr>
                <w:sz w:val="1"/>
                <w:szCs w:val="1"/>
                <w:color w:val="auto"/>
              </w:rPr>
            </w:pPr>
          </w:p>
        </w:tc>
      </w:tr>
      <w:tr>
        <w:trPr>
          <w:trHeight w:val="240"/>
        </w:trPr>
        <w:tc>
          <w:tcPr>
            <w:tcW w:w="2860" w:type="dxa"/>
            <w:vAlign w:val="bottom"/>
            <w:gridSpan w:val="2"/>
          </w:tcPr>
          <w:p>
            <w:pPr>
              <w:ind w:left="20"/>
              <w:spacing w:after="0"/>
              <w:rPr>
                <w:sz w:val="20"/>
                <w:szCs w:val="20"/>
                <w:color w:val="auto"/>
              </w:rPr>
            </w:pPr>
            <w:r>
              <w:rPr>
                <w:rFonts w:ascii="Arial" w:cs="Arial" w:eastAsia="Arial" w:hAnsi="Arial"/>
                <w:sz w:val="16"/>
                <w:szCs w:val="16"/>
                <w:color w:val="auto"/>
              </w:rPr>
              <w:t>BALANCE—September 30, 2022</w:t>
            </w:r>
          </w:p>
        </w:tc>
        <w:tc>
          <w:tcPr>
            <w:tcW w:w="1400" w:type="dxa"/>
            <w:vAlign w:val="bottom"/>
            <w:gridSpan w:val="3"/>
          </w:tcPr>
          <w:p>
            <w:pPr>
              <w:jc w:val="right"/>
              <w:ind w:right="60"/>
              <w:spacing w:after="0"/>
              <w:rPr>
                <w:sz w:val="20"/>
                <w:szCs w:val="20"/>
                <w:color w:val="auto"/>
              </w:rPr>
            </w:pPr>
            <w:r>
              <w:rPr>
                <w:rFonts w:ascii="Arial" w:cs="Arial" w:eastAsia="Arial" w:hAnsi="Arial"/>
                <w:sz w:val="16"/>
                <w:szCs w:val="16"/>
                <w:color w:val="auto"/>
              </w:rPr>
              <w:t>317,524,746</w:t>
            </w:r>
          </w:p>
        </w:tc>
        <w:tc>
          <w:tcPr>
            <w:tcW w:w="20" w:type="dxa"/>
            <w:vAlign w:val="bottom"/>
          </w:tcPr>
          <w:p>
            <w:pPr>
              <w:spacing w:after="0"/>
              <w:rPr>
                <w:sz w:val="20"/>
                <w:szCs w:val="20"/>
                <w:color w:val="auto"/>
              </w:rPr>
            </w:pPr>
          </w:p>
        </w:tc>
        <w:tc>
          <w:tcPr>
            <w:tcW w:w="1000" w:type="dxa"/>
            <w:vAlign w:val="bottom"/>
            <w:gridSpan w:val="2"/>
          </w:tcPr>
          <w:p>
            <w:pPr>
              <w:jc w:val="right"/>
              <w:ind w:right="757"/>
              <w:spacing w:after="0"/>
              <w:rPr>
                <w:sz w:val="20"/>
                <w:szCs w:val="20"/>
                <w:color w:val="auto"/>
              </w:rPr>
            </w:pPr>
            <w:r>
              <w:rPr>
                <w:rFonts w:ascii="Arial" w:cs="Arial" w:eastAsia="Arial" w:hAnsi="Arial"/>
                <w:sz w:val="16"/>
                <w:szCs w:val="16"/>
                <w:color w:val="auto"/>
              </w:rPr>
              <w:t>$</w:t>
            </w:r>
          </w:p>
        </w:tc>
        <w:tc>
          <w:tcPr>
            <w:tcW w:w="380" w:type="dxa"/>
            <w:vAlign w:val="bottom"/>
            <w:gridSpan w:val="2"/>
          </w:tcPr>
          <w:p>
            <w:pPr>
              <w:jc w:val="right"/>
              <w:ind w:right="80"/>
              <w:spacing w:after="0"/>
              <w:rPr>
                <w:sz w:val="20"/>
                <w:szCs w:val="20"/>
                <w:color w:val="auto"/>
              </w:rPr>
            </w:pPr>
            <w:r>
              <w:rPr>
                <w:rFonts w:ascii="Arial" w:cs="Arial" w:eastAsia="Arial" w:hAnsi="Arial"/>
                <w:sz w:val="16"/>
                <w:szCs w:val="16"/>
                <w:color w:val="auto"/>
              </w:rPr>
              <w:t>3</w:t>
            </w:r>
          </w:p>
        </w:tc>
        <w:tc>
          <w:tcPr>
            <w:tcW w:w="20" w:type="dxa"/>
            <w:vAlign w:val="bottom"/>
          </w:tcPr>
          <w:p>
            <w:pPr>
              <w:spacing w:after="0"/>
              <w:rPr>
                <w:sz w:val="20"/>
                <w:szCs w:val="20"/>
                <w:color w:val="auto"/>
              </w:rPr>
            </w:pPr>
          </w:p>
        </w:tc>
        <w:tc>
          <w:tcPr>
            <w:tcW w:w="28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100" w:type="dxa"/>
            <w:vAlign w:val="bottom"/>
            <w:gridSpan w:val="2"/>
          </w:tcPr>
          <w:p>
            <w:pPr>
              <w:jc w:val="right"/>
              <w:ind w:right="60"/>
              <w:spacing w:after="0"/>
              <w:rPr>
                <w:sz w:val="20"/>
                <w:szCs w:val="20"/>
                <w:color w:val="auto"/>
              </w:rPr>
            </w:pPr>
            <w:r>
              <w:rPr>
                <w:rFonts w:ascii="Arial" w:cs="Arial" w:eastAsia="Arial" w:hAnsi="Arial"/>
                <w:sz w:val="16"/>
                <w:szCs w:val="16"/>
                <w:color w:val="auto"/>
              </w:rPr>
              <w:t>1,487,992</w:t>
            </w:r>
          </w:p>
        </w:tc>
        <w:tc>
          <w:tcPr>
            <w:tcW w:w="40" w:type="dxa"/>
            <w:vAlign w:val="bottom"/>
          </w:tcPr>
          <w:p>
            <w:pPr>
              <w:spacing w:after="0"/>
              <w:rPr>
                <w:sz w:val="20"/>
                <w:szCs w:val="20"/>
                <w:color w:val="auto"/>
              </w:rPr>
            </w:pPr>
          </w:p>
        </w:tc>
        <w:tc>
          <w:tcPr>
            <w:tcW w:w="180" w:type="dxa"/>
            <w:vAlign w:val="bottom"/>
            <w:gridSpan w:val="2"/>
          </w:tcPr>
          <w:p>
            <w:pPr>
              <w:ind w:left="100"/>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20"/>
              <w:spacing w:after="0"/>
              <w:rPr>
                <w:sz w:val="20"/>
                <w:szCs w:val="20"/>
                <w:color w:val="auto"/>
              </w:rPr>
            </w:pPr>
            <w:r>
              <w:rPr>
                <w:rFonts w:ascii="Arial" w:cs="Arial" w:eastAsia="Arial" w:hAnsi="Arial"/>
                <w:sz w:val="16"/>
                <w:szCs w:val="16"/>
                <w:color w:val="auto"/>
              </w:rPr>
              <w:t>(25,324)</w:t>
            </w:r>
          </w:p>
        </w:tc>
        <w:tc>
          <w:tcPr>
            <w:tcW w:w="40" w:type="dxa"/>
            <w:vAlign w:val="bottom"/>
          </w:tcPr>
          <w:p>
            <w:pPr>
              <w:spacing w:after="0"/>
              <w:rPr>
                <w:sz w:val="20"/>
                <w:szCs w:val="20"/>
                <w:color w:val="auto"/>
              </w:rPr>
            </w:pPr>
          </w:p>
        </w:tc>
        <w:tc>
          <w:tcPr>
            <w:tcW w:w="24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(173,232)</w:t>
            </w:r>
          </w:p>
        </w:tc>
        <w:tc>
          <w:tcPr>
            <w:tcW w:w="120" w:type="dxa"/>
            <w:vAlign w:val="bottom"/>
          </w:tcPr>
          <w:p>
            <w:pPr>
              <w:spacing w:after="0"/>
              <w:rPr>
                <w:sz w:val="20"/>
                <w:szCs w:val="20"/>
                <w:color w:val="auto"/>
              </w:rPr>
            </w:pP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1,289,439</w:t>
            </w:r>
          </w:p>
        </w:tc>
        <w:tc>
          <w:tcPr>
            <w:tcW w:w="0" w:type="dxa"/>
            <w:vAlign w:val="bottom"/>
          </w:tcPr>
          <w:p>
            <w:pPr>
              <w:spacing w:after="0"/>
              <w:rPr>
                <w:sz w:val="1"/>
                <w:szCs w:val="1"/>
                <w:color w:val="auto"/>
              </w:rPr>
            </w:pPr>
          </w:p>
        </w:tc>
      </w:tr>
      <w:tr>
        <w:trPr>
          <w:trHeight w:val="20"/>
        </w:trPr>
        <w:tc>
          <w:tcPr>
            <w:tcW w:w="28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66"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5" w:right="339" w:bottom="1440" w:gutter="0" w:footer="0" w:header="0"/>
        </w:sectPr>
      </w:pPr>
    </w:p>
    <w:bookmarkStart w:id="8" w:name="page9"/>
    <w:bookmarkEnd w:id="8"/>
    <w:p>
      <w:pPr>
        <w:ind w:left="5260"/>
        <w:spacing w:after="0"/>
        <w:rPr>
          <w:sz w:val="20"/>
          <w:szCs w:val="20"/>
          <w:color w:val="auto"/>
        </w:rPr>
      </w:pPr>
      <w:r>
        <w:rPr>
          <w:rFonts w:ascii="Arial" w:cs="Arial" w:eastAsia="Arial" w:hAnsi="Arial"/>
          <w:sz w:val="18"/>
          <w:szCs w:val="18"/>
          <w:b w:val="1"/>
          <w:bCs w:val="1"/>
          <w:color w:val="auto"/>
        </w:rPr>
        <w:t>DATADOG, INC.</w:t>
      </w:r>
    </w:p>
    <w:p>
      <w:pPr>
        <w:spacing w:after="0" w:line="27" w:lineRule="exact"/>
        <w:rPr>
          <w:sz w:val="20"/>
          <w:szCs w:val="20"/>
          <w:color w:val="auto"/>
        </w:rPr>
      </w:pPr>
    </w:p>
    <w:p>
      <w:pPr>
        <w:ind w:left="2920"/>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ind w:left="5080"/>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ind w:left="5180"/>
        <w:spacing w:after="0"/>
        <w:rPr>
          <w:sz w:val="20"/>
          <w:szCs w:val="20"/>
          <w:color w:val="auto"/>
        </w:rPr>
      </w:pPr>
      <w:r>
        <w:rPr>
          <w:rFonts w:ascii="Arial" w:cs="Arial" w:eastAsia="Arial" w:hAnsi="Arial"/>
          <w:sz w:val="18"/>
          <w:szCs w:val="18"/>
          <w:b w:val="1"/>
          <w:bCs w:val="1"/>
          <w:color w:val="auto"/>
        </w:rPr>
        <w:t>(unaudited)</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164"/>
        </w:trPr>
        <w:tc>
          <w:tcPr>
            <w:tcW w:w="83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80" w:type="dxa"/>
            <w:vAlign w:val="bottom"/>
            <w:gridSpan w:val="4"/>
          </w:tcPr>
          <w:p>
            <w:pPr>
              <w:jc w:val="right"/>
              <w:ind w:right="357"/>
              <w:spacing w:after="0"/>
              <w:rPr>
                <w:sz w:val="20"/>
                <w:szCs w:val="20"/>
                <w:color w:val="auto"/>
              </w:rPr>
            </w:pPr>
            <w:r>
              <w:rPr>
                <w:rFonts w:ascii="Arial" w:cs="Arial" w:eastAsia="Arial" w:hAnsi="Arial"/>
                <w:sz w:val="13"/>
                <w:szCs w:val="13"/>
                <w:b w:val="1"/>
                <w:bCs w:val="1"/>
                <w:color w:val="auto"/>
                <w:w w:val="95"/>
              </w:rPr>
              <w:t>Nine Months Ended September 30,</w:t>
            </w:r>
          </w:p>
        </w:tc>
      </w:tr>
      <w:tr>
        <w:trPr>
          <w:trHeight w:val="29"/>
        </w:trPr>
        <w:tc>
          <w:tcPr>
            <w:tcW w:w="83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167"/>
        </w:trPr>
        <w:tc>
          <w:tcPr>
            <w:tcW w:w="83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60" w:type="dxa"/>
            <w:vAlign w:val="bottom"/>
          </w:tcPr>
          <w:p>
            <w:pPr>
              <w:jc w:val="right"/>
              <w:ind w:right="457"/>
              <w:spacing w:after="0"/>
              <w:rPr>
                <w:sz w:val="20"/>
                <w:szCs w:val="20"/>
                <w:color w:val="auto"/>
              </w:rPr>
            </w:pPr>
            <w:r>
              <w:rPr>
                <w:rFonts w:ascii="Arial" w:cs="Arial" w:eastAsia="Arial" w:hAnsi="Arial"/>
                <w:sz w:val="13"/>
                <w:szCs w:val="13"/>
                <w:b w:val="1"/>
                <w:bCs w:val="1"/>
                <w:color w:val="auto"/>
              </w:rPr>
              <w:t>2023</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0" w:type="dxa"/>
            <w:vAlign w:val="bottom"/>
          </w:tcPr>
          <w:p>
            <w:pPr>
              <w:jc w:val="right"/>
              <w:ind w:right="477"/>
              <w:spacing w:after="0"/>
              <w:rPr>
                <w:sz w:val="20"/>
                <w:szCs w:val="20"/>
                <w:color w:val="auto"/>
              </w:rPr>
            </w:pPr>
            <w:r>
              <w:rPr>
                <w:rFonts w:ascii="Arial" w:cs="Arial" w:eastAsia="Arial" w:hAnsi="Arial"/>
                <w:sz w:val="13"/>
                <w:szCs w:val="13"/>
                <w:b w:val="1"/>
                <w:bCs w:val="1"/>
                <w:color w:val="auto"/>
              </w:rPr>
              <w:t>2022</w:t>
            </w:r>
          </w:p>
        </w:tc>
      </w:tr>
      <w:tr>
        <w:trPr>
          <w:trHeight w:val="29"/>
        </w:trPr>
        <w:tc>
          <w:tcPr>
            <w:tcW w:w="83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176"/>
        </w:trPr>
        <w:tc>
          <w:tcPr>
            <w:tcW w:w="8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CASH FLOWS FROM OPERATING ACTIVITIES:</w:t>
            </w:r>
          </w:p>
        </w:tc>
        <w:tc>
          <w:tcPr>
            <w:tcW w:w="240" w:type="dxa"/>
            <w:vAlign w:val="bottom"/>
            <w:tcBorders>
              <w:bottom w:val="single" w:sz="8" w:color="CCEEFF"/>
            </w:tcBorders>
            <w:shd w:val="clear" w:color="auto" w:fill="CCEEFF"/>
          </w:tcPr>
          <w:p>
            <w:pPr>
              <w:spacing w:after="0"/>
              <w:rPr>
                <w:sz w:val="15"/>
                <w:szCs w:val="15"/>
                <w:color w:val="auto"/>
              </w:rPr>
            </w:pPr>
          </w:p>
        </w:tc>
        <w:tc>
          <w:tcPr>
            <w:tcW w:w="10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spacing w:after="0"/>
              <w:rPr>
                <w:sz w:val="15"/>
                <w:szCs w:val="15"/>
                <w:color w:val="auto"/>
              </w:rPr>
            </w:pPr>
          </w:p>
        </w:tc>
      </w:tr>
      <w:tr>
        <w:trPr>
          <w:trHeight w:val="173"/>
        </w:trPr>
        <w:tc>
          <w:tcPr>
            <w:tcW w:w="8360" w:type="dxa"/>
            <w:vAlign w:val="bottom"/>
          </w:tcPr>
          <w:p>
            <w:pPr>
              <w:ind w:left="220"/>
              <w:spacing w:after="0"/>
              <w:rPr>
                <w:sz w:val="20"/>
                <w:szCs w:val="20"/>
                <w:color w:val="auto"/>
              </w:rPr>
            </w:pPr>
            <w:r>
              <w:rPr>
                <w:rFonts w:ascii="Arial" w:cs="Arial" w:eastAsia="Arial" w:hAnsi="Arial"/>
                <w:sz w:val="13"/>
                <w:szCs w:val="13"/>
                <w:color w:val="auto"/>
              </w:rPr>
              <w:t>Net loss</w:t>
            </w:r>
          </w:p>
        </w:tc>
        <w:tc>
          <w:tcPr>
            <w:tcW w:w="240" w:type="dxa"/>
            <w:vAlign w:val="bottom"/>
          </w:tcPr>
          <w:p>
            <w:pPr>
              <w:jc w:val="right"/>
              <w:ind w:right="97"/>
              <w:spacing w:after="0"/>
              <w:rPr>
                <w:sz w:val="20"/>
                <w:szCs w:val="20"/>
                <w:color w:val="auto"/>
              </w:rPr>
            </w:pPr>
            <w:r>
              <w:rPr>
                <w:rFonts w:ascii="Arial" w:cs="Arial" w:eastAsia="Arial" w:hAnsi="Arial"/>
                <w:sz w:val="13"/>
                <w:szCs w:val="13"/>
                <w:color w:val="auto"/>
                <w:w w:val="82"/>
              </w:rPr>
              <w:t>$</w:t>
            </w:r>
          </w:p>
        </w:tc>
        <w:tc>
          <w:tcPr>
            <w:tcW w:w="1060" w:type="dxa"/>
            <w:vAlign w:val="bottom"/>
          </w:tcPr>
          <w:p>
            <w:pPr>
              <w:jc w:val="right"/>
              <w:spacing w:after="0"/>
              <w:rPr>
                <w:sz w:val="20"/>
                <w:szCs w:val="20"/>
                <w:color w:val="auto"/>
              </w:rPr>
            </w:pPr>
            <w:r>
              <w:rPr>
                <w:rFonts w:ascii="Arial" w:cs="Arial" w:eastAsia="Arial" w:hAnsi="Arial"/>
                <w:sz w:val="13"/>
                <w:szCs w:val="13"/>
                <w:color w:val="auto"/>
              </w:rPr>
              <w:t>(5,425)</w:t>
            </w:r>
          </w:p>
        </w:tc>
        <w:tc>
          <w:tcPr>
            <w:tcW w:w="100" w:type="dxa"/>
            <w:vAlign w:val="bottom"/>
          </w:tcPr>
          <w:p>
            <w:pPr>
              <w:spacing w:after="0"/>
              <w:rPr>
                <w:sz w:val="15"/>
                <w:szCs w:val="15"/>
                <w:color w:val="auto"/>
              </w:rPr>
            </w:pPr>
          </w:p>
        </w:tc>
        <w:tc>
          <w:tcPr>
            <w:tcW w:w="320" w:type="dxa"/>
            <w:vAlign w:val="bottom"/>
          </w:tcPr>
          <w:p>
            <w:pPr>
              <w:jc w:val="right"/>
              <w:ind w:right="177"/>
              <w:spacing w:after="0"/>
              <w:rPr>
                <w:sz w:val="20"/>
                <w:szCs w:val="20"/>
                <w:color w:val="auto"/>
              </w:rPr>
            </w:pPr>
            <w:r>
              <w:rPr>
                <w:rFonts w:ascii="Arial" w:cs="Arial" w:eastAsia="Arial" w:hAnsi="Arial"/>
                <w:sz w:val="13"/>
                <w:szCs w:val="13"/>
                <w:color w:val="auto"/>
                <w:w w:val="82"/>
              </w:rPr>
              <w:t>$</w:t>
            </w:r>
          </w:p>
        </w:tc>
        <w:tc>
          <w:tcPr>
            <w:tcW w:w="1000" w:type="dxa"/>
            <w:vAlign w:val="bottom"/>
          </w:tcPr>
          <w:p>
            <w:pPr>
              <w:jc w:val="right"/>
              <w:spacing w:after="0"/>
              <w:rPr>
                <w:sz w:val="20"/>
                <w:szCs w:val="20"/>
                <w:color w:val="auto"/>
              </w:rPr>
            </w:pPr>
            <w:r>
              <w:rPr>
                <w:rFonts w:ascii="Arial" w:cs="Arial" w:eastAsia="Arial" w:hAnsi="Arial"/>
                <w:sz w:val="13"/>
                <w:szCs w:val="13"/>
                <w:color w:val="auto"/>
              </w:rPr>
              <w:t>(21,126)</w:t>
            </w:r>
          </w:p>
        </w:tc>
      </w:tr>
      <w:tr>
        <w:trPr>
          <w:trHeight w:val="29"/>
        </w:trPr>
        <w:tc>
          <w:tcPr>
            <w:tcW w:w="8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183"/>
        </w:trPr>
        <w:tc>
          <w:tcPr>
            <w:tcW w:w="83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3"/>
                <w:szCs w:val="13"/>
                <w:color w:val="auto"/>
              </w:rPr>
              <w:t>Adjustments to reconcile net (loss) income to net cash provided by operating activities:</w:t>
            </w:r>
          </w:p>
        </w:tc>
        <w:tc>
          <w:tcPr>
            <w:tcW w:w="240" w:type="dxa"/>
            <w:vAlign w:val="bottom"/>
            <w:tcBorders>
              <w:bottom w:val="single" w:sz="8" w:color="CCEEFF"/>
            </w:tcBorders>
            <w:shd w:val="clear" w:color="auto" w:fill="CCEEFF"/>
          </w:tcPr>
          <w:p>
            <w:pPr>
              <w:spacing w:after="0"/>
              <w:rPr>
                <w:sz w:val="15"/>
                <w:szCs w:val="15"/>
                <w:color w:val="auto"/>
              </w:rPr>
            </w:pPr>
          </w:p>
        </w:tc>
        <w:tc>
          <w:tcPr>
            <w:tcW w:w="10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spacing w:after="0"/>
              <w:rPr>
                <w:sz w:val="15"/>
                <w:szCs w:val="15"/>
                <w:color w:val="auto"/>
              </w:rPr>
            </w:pPr>
          </w:p>
        </w:tc>
      </w:tr>
      <w:tr>
        <w:trPr>
          <w:trHeight w:val="173"/>
        </w:trPr>
        <w:tc>
          <w:tcPr>
            <w:tcW w:w="8360" w:type="dxa"/>
            <w:vAlign w:val="bottom"/>
          </w:tcPr>
          <w:p>
            <w:pPr>
              <w:ind w:left="480"/>
              <w:spacing w:after="0"/>
              <w:rPr>
                <w:sz w:val="20"/>
                <w:szCs w:val="20"/>
                <w:color w:val="auto"/>
              </w:rPr>
            </w:pPr>
            <w:r>
              <w:rPr>
                <w:rFonts w:ascii="Arial" w:cs="Arial" w:eastAsia="Arial" w:hAnsi="Arial"/>
                <w:sz w:val="13"/>
                <w:szCs w:val="13"/>
                <w:color w:val="auto"/>
              </w:rPr>
              <w:t>Depreciation and amortization</w:t>
            </w:r>
          </w:p>
        </w:tc>
        <w:tc>
          <w:tcPr>
            <w:tcW w:w="24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32,434</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24,825</w:t>
            </w:r>
          </w:p>
        </w:tc>
      </w:tr>
      <w:tr>
        <w:trPr>
          <w:trHeight w:val="29"/>
        </w:trPr>
        <w:tc>
          <w:tcPr>
            <w:tcW w:w="8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183"/>
        </w:trPr>
        <w:tc>
          <w:tcPr>
            <w:tcW w:w="836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3"/>
                <w:szCs w:val="13"/>
                <w:color w:val="auto"/>
              </w:rPr>
              <w:t>(Accretion) amortization of (discounts) premiums on marketable securities</w:t>
            </w:r>
          </w:p>
        </w:tc>
        <w:tc>
          <w:tcPr>
            <w:tcW w:w="240" w:type="dxa"/>
            <w:vAlign w:val="bottom"/>
            <w:tcBorders>
              <w:bottom w:val="single" w:sz="8" w:color="CCEEFF"/>
            </w:tcBorders>
            <w:shd w:val="clear" w:color="auto" w:fill="CCEEFF"/>
          </w:tcPr>
          <w:p>
            <w:pPr>
              <w:spacing w:after="0"/>
              <w:rPr>
                <w:sz w:val="15"/>
                <w:szCs w:val="15"/>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(26,256)</w:t>
            </w:r>
          </w:p>
        </w:tc>
        <w:tc>
          <w:tcPr>
            <w:tcW w:w="10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7,217</w:t>
            </w:r>
          </w:p>
        </w:tc>
      </w:tr>
      <w:tr>
        <w:trPr>
          <w:trHeight w:val="173"/>
        </w:trPr>
        <w:tc>
          <w:tcPr>
            <w:tcW w:w="8360" w:type="dxa"/>
            <w:vAlign w:val="bottom"/>
          </w:tcPr>
          <w:p>
            <w:pPr>
              <w:ind w:left="480"/>
              <w:spacing w:after="0"/>
              <w:rPr>
                <w:sz w:val="20"/>
                <w:szCs w:val="20"/>
                <w:color w:val="auto"/>
              </w:rPr>
            </w:pPr>
            <w:r>
              <w:rPr>
                <w:rFonts w:ascii="Arial" w:cs="Arial" w:eastAsia="Arial" w:hAnsi="Arial"/>
                <w:sz w:val="13"/>
                <w:szCs w:val="13"/>
                <w:color w:val="auto"/>
              </w:rPr>
              <w:t>Amortization of issuance costs</w:t>
            </w:r>
          </w:p>
        </w:tc>
        <w:tc>
          <w:tcPr>
            <w:tcW w:w="24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2,539</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2,525</w:t>
            </w:r>
          </w:p>
        </w:tc>
      </w:tr>
      <w:tr>
        <w:trPr>
          <w:trHeight w:val="29"/>
        </w:trPr>
        <w:tc>
          <w:tcPr>
            <w:tcW w:w="8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183"/>
        </w:trPr>
        <w:tc>
          <w:tcPr>
            <w:tcW w:w="836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3"/>
                <w:szCs w:val="13"/>
                <w:color w:val="auto"/>
              </w:rPr>
              <w:t>Amortization of deferred contract costs</w:t>
            </w:r>
          </w:p>
        </w:tc>
        <w:tc>
          <w:tcPr>
            <w:tcW w:w="240" w:type="dxa"/>
            <w:vAlign w:val="bottom"/>
            <w:tcBorders>
              <w:bottom w:val="single" w:sz="8" w:color="CCEEFF"/>
            </w:tcBorders>
            <w:shd w:val="clear" w:color="auto" w:fill="CCEEFF"/>
          </w:tcPr>
          <w:p>
            <w:pPr>
              <w:spacing w:after="0"/>
              <w:rPr>
                <w:sz w:val="15"/>
                <w:szCs w:val="15"/>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28,223</w:t>
            </w:r>
          </w:p>
        </w:tc>
        <w:tc>
          <w:tcPr>
            <w:tcW w:w="10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19,941</w:t>
            </w:r>
          </w:p>
        </w:tc>
      </w:tr>
      <w:tr>
        <w:trPr>
          <w:trHeight w:val="173"/>
        </w:trPr>
        <w:tc>
          <w:tcPr>
            <w:tcW w:w="8360" w:type="dxa"/>
            <w:vAlign w:val="bottom"/>
          </w:tcPr>
          <w:p>
            <w:pPr>
              <w:ind w:left="480"/>
              <w:spacing w:after="0"/>
              <w:rPr>
                <w:sz w:val="20"/>
                <w:szCs w:val="20"/>
                <w:color w:val="auto"/>
              </w:rPr>
            </w:pPr>
            <w:r>
              <w:rPr>
                <w:rFonts w:ascii="Arial" w:cs="Arial" w:eastAsia="Arial" w:hAnsi="Arial"/>
                <w:sz w:val="13"/>
                <w:szCs w:val="13"/>
                <w:color w:val="auto"/>
              </w:rPr>
              <w:t>Stock-based compensation, net of amounts capitalized</w:t>
            </w:r>
          </w:p>
        </w:tc>
        <w:tc>
          <w:tcPr>
            <w:tcW w:w="24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354,179</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250,645</w:t>
            </w:r>
          </w:p>
        </w:tc>
      </w:tr>
      <w:tr>
        <w:trPr>
          <w:trHeight w:val="29"/>
        </w:trPr>
        <w:tc>
          <w:tcPr>
            <w:tcW w:w="8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183"/>
        </w:trPr>
        <w:tc>
          <w:tcPr>
            <w:tcW w:w="836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3"/>
                <w:szCs w:val="13"/>
                <w:color w:val="auto"/>
              </w:rPr>
              <w:t>Non-cash lease expense</w:t>
            </w:r>
          </w:p>
        </w:tc>
        <w:tc>
          <w:tcPr>
            <w:tcW w:w="240" w:type="dxa"/>
            <w:vAlign w:val="bottom"/>
            <w:tcBorders>
              <w:bottom w:val="single" w:sz="8" w:color="CCEEFF"/>
            </w:tcBorders>
            <w:shd w:val="clear" w:color="auto" w:fill="CCEEFF"/>
          </w:tcPr>
          <w:p>
            <w:pPr>
              <w:spacing w:after="0"/>
              <w:rPr>
                <w:sz w:val="15"/>
                <w:szCs w:val="15"/>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19,332</w:t>
            </w:r>
          </w:p>
        </w:tc>
        <w:tc>
          <w:tcPr>
            <w:tcW w:w="10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15,236</w:t>
            </w:r>
          </w:p>
        </w:tc>
      </w:tr>
      <w:tr>
        <w:trPr>
          <w:trHeight w:val="173"/>
        </w:trPr>
        <w:tc>
          <w:tcPr>
            <w:tcW w:w="8360" w:type="dxa"/>
            <w:vAlign w:val="bottom"/>
          </w:tcPr>
          <w:p>
            <w:pPr>
              <w:ind w:left="480"/>
              <w:spacing w:after="0"/>
              <w:rPr>
                <w:sz w:val="20"/>
                <w:szCs w:val="20"/>
                <w:color w:val="auto"/>
              </w:rPr>
            </w:pPr>
            <w:r>
              <w:rPr>
                <w:rFonts w:ascii="Arial" w:cs="Arial" w:eastAsia="Arial" w:hAnsi="Arial"/>
                <w:sz w:val="13"/>
                <w:szCs w:val="13"/>
                <w:color w:val="auto"/>
              </w:rPr>
              <w:t>Allowance for credit losses on accounts receivable</w:t>
            </w:r>
          </w:p>
        </w:tc>
        <w:tc>
          <w:tcPr>
            <w:tcW w:w="24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9,097</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3,929</w:t>
            </w:r>
          </w:p>
        </w:tc>
      </w:tr>
      <w:tr>
        <w:trPr>
          <w:trHeight w:val="29"/>
        </w:trPr>
        <w:tc>
          <w:tcPr>
            <w:tcW w:w="8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183"/>
        </w:trPr>
        <w:tc>
          <w:tcPr>
            <w:tcW w:w="836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3"/>
                <w:szCs w:val="13"/>
                <w:color w:val="auto"/>
              </w:rPr>
              <w:t>Loss on disposal of property and equipment</w:t>
            </w:r>
          </w:p>
        </w:tc>
        <w:tc>
          <w:tcPr>
            <w:tcW w:w="240" w:type="dxa"/>
            <w:vAlign w:val="bottom"/>
            <w:tcBorders>
              <w:bottom w:val="single" w:sz="8" w:color="CCEEFF"/>
            </w:tcBorders>
            <w:shd w:val="clear" w:color="auto" w:fill="CCEEFF"/>
          </w:tcPr>
          <w:p>
            <w:pPr>
              <w:spacing w:after="0"/>
              <w:rPr>
                <w:sz w:val="15"/>
                <w:szCs w:val="15"/>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419</w:t>
            </w:r>
          </w:p>
        </w:tc>
        <w:tc>
          <w:tcPr>
            <w:tcW w:w="10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1,152</w:t>
            </w:r>
          </w:p>
        </w:tc>
      </w:tr>
      <w:tr>
        <w:trPr>
          <w:trHeight w:val="173"/>
        </w:trPr>
        <w:tc>
          <w:tcPr>
            <w:tcW w:w="8360" w:type="dxa"/>
            <w:vAlign w:val="bottom"/>
          </w:tcPr>
          <w:p>
            <w:pPr>
              <w:ind w:left="480"/>
              <w:spacing w:after="0"/>
              <w:rPr>
                <w:sz w:val="20"/>
                <w:szCs w:val="20"/>
                <w:color w:val="auto"/>
              </w:rPr>
            </w:pPr>
            <w:r>
              <w:rPr>
                <w:rFonts w:ascii="Arial" w:cs="Arial" w:eastAsia="Arial" w:hAnsi="Arial"/>
                <w:sz w:val="13"/>
                <w:szCs w:val="13"/>
                <w:color w:val="auto"/>
              </w:rPr>
              <w:t>Changes in operating assets and liabilities:</w:t>
            </w:r>
          </w:p>
        </w:tc>
        <w:tc>
          <w:tcPr>
            <w:tcW w:w="2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29"/>
        </w:trPr>
        <w:tc>
          <w:tcPr>
            <w:tcW w:w="8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182"/>
        </w:trPr>
        <w:tc>
          <w:tcPr>
            <w:tcW w:w="836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3"/>
                <w:szCs w:val="13"/>
                <w:color w:val="auto"/>
              </w:rPr>
              <w:t>Accounts receivable, net</w:t>
            </w:r>
          </w:p>
        </w:tc>
        <w:tc>
          <w:tcPr>
            <w:tcW w:w="240" w:type="dxa"/>
            <w:vAlign w:val="bottom"/>
            <w:tcBorders>
              <w:bottom w:val="single" w:sz="8" w:color="CCEEFF"/>
            </w:tcBorders>
            <w:shd w:val="clear" w:color="auto" w:fill="CCEEFF"/>
          </w:tcPr>
          <w:p>
            <w:pPr>
              <w:spacing w:after="0"/>
              <w:rPr>
                <w:sz w:val="15"/>
                <w:szCs w:val="15"/>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(10,194)</w:t>
            </w:r>
          </w:p>
        </w:tc>
        <w:tc>
          <w:tcPr>
            <w:tcW w:w="10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(83,738)</w:t>
            </w:r>
          </w:p>
        </w:tc>
      </w:tr>
      <w:tr>
        <w:trPr>
          <w:trHeight w:val="173"/>
        </w:trPr>
        <w:tc>
          <w:tcPr>
            <w:tcW w:w="8360" w:type="dxa"/>
            <w:vAlign w:val="bottom"/>
          </w:tcPr>
          <w:p>
            <w:pPr>
              <w:ind w:left="680"/>
              <w:spacing w:after="0"/>
              <w:rPr>
                <w:sz w:val="20"/>
                <w:szCs w:val="20"/>
                <w:color w:val="auto"/>
              </w:rPr>
            </w:pPr>
            <w:r>
              <w:rPr>
                <w:rFonts w:ascii="Arial" w:cs="Arial" w:eastAsia="Arial" w:hAnsi="Arial"/>
                <w:sz w:val="13"/>
                <w:szCs w:val="13"/>
                <w:color w:val="auto"/>
              </w:rPr>
              <w:t>Deferred contract costs</w:t>
            </w:r>
          </w:p>
        </w:tc>
        <w:tc>
          <w:tcPr>
            <w:tcW w:w="24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(42,612)</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(34,671)</w:t>
            </w:r>
          </w:p>
        </w:tc>
      </w:tr>
      <w:tr>
        <w:trPr>
          <w:trHeight w:val="29"/>
        </w:trPr>
        <w:tc>
          <w:tcPr>
            <w:tcW w:w="8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183"/>
        </w:trPr>
        <w:tc>
          <w:tcPr>
            <w:tcW w:w="836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3"/>
                <w:szCs w:val="13"/>
                <w:color w:val="auto"/>
              </w:rPr>
              <w:t>Prepaid expenses and other current assets</w:t>
            </w:r>
          </w:p>
        </w:tc>
        <w:tc>
          <w:tcPr>
            <w:tcW w:w="240" w:type="dxa"/>
            <w:vAlign w:val="bottom"/>
            <w:tcBorders>
              <w:bottom w:val="single" w:sz="8" w:color="CCEEFF"/>
            </w:tcBorders>
            <w:shd w:val="clear" w:color="auto" w:fill="CCEEFF"/>
          </w:tcPr>
          <w:p>
            <w:pPr>
              <w:spacing w:after="0"/>
              <w:rPr>
                <w:sz w:val="15"/>
                <w:szCs w:val="15"/>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(10,314)</w:t>
            </w:r>
          </w:p>
        </w:tc>
        <w:tc>
          <w:tcPr>
            <w:tcW w:w="10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(11,280)</w:t>
            </w:r>
          </w:p>
        </w:tc>
      </w:tr>
      <w:tr>
        <w:trPr>
          <w:trHeight w:val="173"/>
        </w:trPr>
        <w:tc>
          <w:tcPr>
            <w:tcW w:w="8360" w:type="dxa"/>
            <w:vAlign w:val="bottom"/>
          </w:tcPr>
          <w:p>
            <w:pPr>
              <w:ind w:left="680"/>
              <w:spacing w:after="0"/>
              <w:rPr>
                <w:sz w:val="20"/>
                <w:szCs w:val="20"/>
                <w:color w:val="auto"/>
              </w:rPr>
            </w:pPr>
            <w:r>
              <w:rPr>
                <w:rFonts w:ascii="Arial" w:cs="Arial" w:eastAsia="Arial" w:hAnsi="Arial"/>
                <w:sz w:val="13"/>
                <w:szCs w:val="13"/>
                <w:color w:val="auto"/>
              </w:rPr>
              <w:t>Other assets</w:t>
            </w:r>
          </w:p>
        </w:tc>
        <w:tc>
          <w:tcPr>
            <w:tcW w:w="24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1,243</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(1,920)</w:t>
            </w:r>
          </w:p>
        </w:tc>
      </w:tr>
      <w:tr>
        <w:trPr>
          <w:trHeight w:val="29"/>
        </w:trPr>
        <w:tc>
          <w:tcPr>
            <w:tcW w:w="8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183"/>
        </w:trPr>
        <w:tc>
          <w:tcPr>
            <w:tcW w:w="836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3"/>
                <w:szCs w:val="13"/>
                <w:color w:val="auto"/>
              </w:rPr>
              <w:t>Accounts payable</w:t>
            </w:r>
          </w:p>
        </w:tc>
        <w:tc>
          <w:tcPr>
            <w:tcW w:w="240" w:type="dxa"/>
            <w:vAlign w:val="bottom"/>
            <w:tcBorders>
              <w:bottom w:val="single" w:sz="8" w:color="CCEEFF"/>
            </w:tcBorders>
            <w:shd w:val="clear" w:color="auto" w:fill="CCEEFF"/>
          </w:tcPr>
          <w:p>
            <w:pPr>
              <w:spacing w:after="0"/>
              <w:rPr>
                <w:sz w:val="15"/>
                <w:szCs w:val="15"/>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57,268</w:t>
            </w:r>
          </w:p>
        </w:tc>
        <w:tc>
          <w:tcPr>
            <w:tcW w:w="10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2,483</w:t>
            </w:r>
          </w:p>
        </w:tc>
      </w:tr>
      <w:tr>
        <w:trPr>
          <w:trHeight w:val="173"/>
        </w:trPr>
        <w:tc>
          <w:tcPr>
            <w:tcW w:w="8360" w:type="dxa"/>
            <w:vAlign w:val="bottom"/>
          </w:tcPr>
          <w:p>
            <w:pPr>
              <w:ind w:left="680"/>
              <w:spacing w:after="0"/>
              <w:rPr>
                <w:sz w:val="20"/>
                <w:szCs w:val="20"/>
                <w:color w:val="auto"/>
              </w:rPr>
            </w:pPr>
            <w:r>
              <w:rPr>
                <w:rFonts w:ascii="Arial" w:cs="Arial" w:eastAsia="Arial" w:hAnsi="Arial"/>
                <w:sz w:val="13"/>
                <w:szCs w:val="13"/>
                <w:color w:val="auto"/>
              </w:rPr>
              <w:t>Accrued expenses and other liabilities</w:t>
            </w:r>
          </w:p>
        </w:tc>
        <w:tc>
          <w:tcPr>
            <w:tcW w:w="24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(68,242)</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27,350</w:t>
            </w:r>
          </w:p>
        </w:tc>
      </w:tr>
      <w:tr>
        <w:trPr>
          <w:trHeight w:val="29"/>
        </w:trPr>
        <w:tc>
          <w:tcPr>
            <w:tcW w:w="8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03"/>
        </w:trPr>
        <w:tc>
          <w:tcPr>
            <w:tcW w:w="836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3"/>
                <w:szCs w:val="13"/>
                <w:color w:val="auto"/>
              </w:rPr>
              <w:t>Deferred revenue</w:t>
            </w:r>
          </w:p>
        </w:tc>
        <w:tc>
          <w:tcPr>
            <w:tcW w:w="24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98,037</w:t>
            </w:r>
          </w:p>
        </w:tc>
        <w:tc>
          <w:tcPr>
            <w:tcW w:w="10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101,398</w:t>
            </w:r>
          </w:p>
        </w:tc>
      </w:tr>
      <w:tr>
        <w:trPr>
          <w:trHeight w:val="167"/>
        </w:trPr>
        <w:tc>
          <w:tcPr>
            <w:tcW w:w="8360" w:type="dxa"/>
            <w:vAlign w:val="bottom"/>
          </w:tcPr>
          <w:p>
            <w:pPr>
              <w:ind w:left="1000"/>
              <w:spacing w:after="0"/>
              <w:rPr>
                <w:sz w:val="20"/>
                <w:szCs w:val="20"/>
                <w:color w:val="auto"/>
              </w:rPr>
            </w:pPr>
            <w:r>
              <w:rPr>
                <w:rFonts w:ascii="Arial" w:cs="Arial" w:eastAsia="Arial" w:hAnsi="Arial"/>
                <w:sz w:val="13"/>
                <w:szCs w:val="13"/>
                <w:color w:val="auto"/>
              </w:rPr>
              <w:t>Net cash provided by operating activities</w:t>
            </w:r>
          </w:p>
        </w:tc>
        <w:tc>
          <w:tcPr>
            <w:tcW w:w="240" w:type="dxa"/>
            <w:vAlign w:val="bottom"/>
            <w:tcBorders>
              <w:top w:val="single" w:sz="8" w:color="auto"/>
            </w:tcBorders>
          </w:tcPr>
          <w:p>
            <w:pPr>
              <w:spacing w:after="0"/>
              <w:rPr>
                <w:sz w:val="14"/>
                <w:szCs w:val="14"/>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439,728</w:t>
            </w:r>
          </w:p>
        </w:tc>
        <w:tc>
          <w:tcPr>
            <w:tcW w:w="100" w:type="dxa"/>
            <w:vAlign w:val="bottom"/>
          </w:tcPr>
          <w:p>
            <w:pPr>
              <w:spacing w:after="0"/>
              <w:rPr>
                <w:sz w:val="14"/>
                <w:szCs w:val="14"/>
                <w:color w:val="auto"/>
              </w:rPr>
            </w:pPr>
          </w:p>
        </w:tc>
        <w:tc>
          <w:tcPr>
            <w:tcW w:w="320" w:type="dxa"/>
            <w:vAlign w:val="bottom"/>
            <w:tcBorders>
              <w:top w:val="single" w:sz="8" w:color="auto"/>
            </w:tcBorders>
          </w:tcPr>
          <w:p>
            <w:pPr>
              <w:spacing w:after="0"/>
              <w:rPr>
                <w:sz w:val="14"/>
                <w:szCs w:val="14"/>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303,966</w:t>
            </w:r>
          </w:p>
        </w:tc>
      </w:tr>
      <w:tr>
        <w:trPr>
          <w:trHeight w:val="29"/>
        </w:trPr>
        <w:tc>
          <w:tcPr>
            <w:tcW w:w="83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88"/>
        </w:trPr>
        <w:tc>
          <w:tcPr>
            <w:tcW w:w="8360" w:type="dxa"/>
            <w:vAlign w:val="bottom"/>
            <w:shd w:val="clear" w:color="auto" w:fill="CCEEFF"/>
          </w:tcPr>
          <w:p>
            <w:pPr>
              <w:spacing w:after="0"/>
              <w:rPr>
                <w:sz w:val="7"/>
                <w:szCs w:val="7"/>
                <w:color w:val="auto"/>
              </w:rPr>
            </w:pPr>
          </w:p>
        </w:tc>
        <w:tc>
          <w:tcPr>
            <w:tcW w:w="240" w:type="dxa"/>
            <w:vAlign w:val="bottom"/>
            <w:shd w:val="clear" w:color="auto" w:fill="CCEEFF"/>
          </w:tcPr>
          <w:p>
            <w:pPr>
              <w:spacing w:after="0"/>
              <w:rPr>
                <w:sz w:val="7"/>
                <w:szCs w:val="7"/>
                <w:color w:val="auto"/>
              </w:rPr>
            </w:pPr>
          </w:p>
        </w:tc>
        <w:tc>
          <w:tcPr>
            <w:tcW w:w="106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320" w:type="dxa"/>
            <w:vAlign w:val="bottom"/>
            <w:shd w:val="clear" w:color="auto" w:fill="CCEEFF"/>
          </w:tcPr>
          <w:p>
            <w:pPr>
              <w:spacing w:after="0"/>
              <w:rPr>
                <w:sz w:val="7"/>
                <w:szCs w:val="7"/>
                <w:color w:val="auto"/>
              </w:rPr>
            </w:pPr>
          </w:p>
        </w:tc>
        <w:tc>
          <w:tcPr>
            <w:tcW w:w="1000" w:type="dxa"/>
            <w:vAlign w:val="bottom"/>
            <w:shd w:val="clear" w:color="auto" w:fill="CCEEFF"/>
          </w:tcPr>
          <w:p>
            <w:pPr>
              <w:spacing w:after="0"/>
              <w:rPr>
                <w:sz w:val="7"/>
                <w:szCs w:val="7"/>
                <w:color w:val="auto"/>
              </w:rPr>
            </w:pPr>
          </w:p>
        </w:tc>
      </w:tr>
      <w:tr>
        <w:trPr>
          <w:trHeight w:val="173"/>
        </w:trPr>
        <w:tc>
          <w:tcPr>
            <w:tcW w:w="8360" w:type="dxa"/>
            <w:vAlign w:val="bottom"/>
          </w:tcPr>
          <w:p>
            <w:pPr>
              <w:ind w:left="20"/>
              <w:spacing w:after="0"/>
              <w:rPr>
                <w:sz w:val="20"/>
                <w:szCs w:val="20"/>
                <w:color w:val="auto"/>
              </w:rPr>
            </w:pPr>
            <w:r>
              <w:rPr>
                <w:rFonts w:ascii="Arial" w:cs="Arial" w:eastAsia="Arial" w:hAnsi="Arial"/>
                <w:sz w:val="13"/>
                <w:szCs w:val="13"/>
                <w:b w:val="1"/>
                <w:bCs w:val="1"/>
                <w:color w:val="auto"/>
              </w:rPr>
              <w:t>CASH FLOWS FROM INVESTING ACTIVITIES:</w:t>
            </w:r>
          </w:p>
        </w:tc>
        <w:tc>
          <w:tcPr>
            <w:tcW w:w="2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30"/>
        </w:trPr>
        <w:tc>
          <w:tcPr>
            <w:tcW w:w="8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183"/>
        </w:trPr>
        <w:tc>
          <w:tcPr>
            <w:tcW w:w="83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3"/>
                <w:szCs w:val="13"/>
                <w:color w:val="auto"/>
              </w:rPr>
              <w:t>Purchases of marketable securities</w:t>
            </w:r>
          </w:p>
        </w:tc>
        <w:tc>
          <w:tcPr>
            <w:tcW w:w="240" w:type="dxa"/>
            <w:vAlign w:val="bottom"/>
            <w:tcBorders>
              <w:bottom w:val="single" w:sz="8" w:color="CCEEFF"/>
            </w:tcBorders>
            <w:shd w:val="clear" w:color="auto" w:fill="CCEEFF"/>
          </w:tcPr>
          <w:p>
            <w:pPr>
              <w:spacing w:after="0"/>
              <w:rPr>
                <w:sz w:val="15"/>
                <w:szCs w:val="15"/>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(2,011,857)</w:t>
            </w:r>
          </w:p>
        </w:tc>
        <w:tc>
          <w:tcPr>
            <w:tcW w:w="10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(1,067,732)</w:t>
            </w:r>
          </w:p>
        </w:tc>
      </w:tr>
      <w:tr>
        <w:trPr>
          <w:trHeight w:val="173"/>
        </w:trPr>
        <w:tc>
          <w:tcPr>
            <w:tcW w:w="8360" w:type="dxa"/>
            <w:vAlign w:val="bottom"/>
          </w:tcPr>
          <w:p>
            <w:pPr>
              <w:ind w:left="220"/>
              <w:spacing w:after="0"/>
              <w:rPr>
                <w:sz w:val="20"/>
                <w:szCs w:val="20"/>
                <w:color w:val="auto"/>
              </w:rPr>
            </w:pPr>
            <w:r>
              <w:rPr>
                <w:rFonts w:ascii="Arial" w:cs="Arial" w:eastAsia="Arial" w:hAnsi="Arial"/>
                <w:sz w:val="13"/>
                <w:szCs w:val="13"/>
                <w:color w:val="auto"/>
              </w:rPr>
              <w:t>Maturities of marketable securities</w:t>
            </w:r>
          </w:p>
        </w:tc>
        <w:tc>
          <w:tcPr>
            <w:tcW w:w="24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1,467,975</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857,193</w:t>
            </w:r>
          </w:p>
        </w:tc>
      </w:tr>
      <w:tr>
        <w:trPr>
          <w:trHeight w:val="30"/>
        </w:trPr>
        <w:tc>
          <w:tcPr>
            <w:tcW w:w="8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183"/>
        </w:trPr>
        <w:tc>
          <w:tcPr>
            <w:tcW w:w="83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3"/>
                <w:szCs w:val="13"/>
                <w:color w:val="auto"/>
              </w:rPr>
              <w:t>Proceeds from sale of marketable securities</w:t>
            </w:r>
          </w:p>
        </w:tc>
        <w:tc>
          <w:tcPr>
            <w:tcW w:w="240" w:type="dxa"/>
            <w:vAlign w:val="bottom"/>
            <w:tcBorders>
              <w:bottom w:val="single" w:sz="8" w:color="CCEEFF"/>
            </w:tcBorders>
            <w:shd w:val="clear" w:color="auto" w:fill="CCEEFF"/>
          </w:tcPr>
          <w:p>
            <w:pPr>
              <w:spacing w:after="0"/>
              <w:rPr>
                <w:sz w:val="15"/>
                <w:szCs w:val="15"/>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36,393</w:t>
            </w:r>
          </w:p>
        </w:tc>
        <w:tc>
          <w:tcPr>
            <w:tcW w:w="10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2,090</w:t>
            </w:r>
          </w:p>
        </w:tc>
      </w:tr>
      <w:tr>
        <w:trPr>
          <w:trHeight w:val="173"/>
        </w:trPr>
        <w:tc>
          <w:tcPr>
            <w:tcW w:w="8360" w:type="dxa"/>
            <w:vAlign w:val="bottom"/>
          </w:tcPr>
          <w:p>
            <w:pPr>
              <w:ind w:left="220"/>
              <w:spacing w:after="0"/>
              <w:rPr>
                <w:sz w:val="20"/>
                <w:szCs w:val="20"/>
                <w:color w:val="auto"/>
              </w:rPr>
            </w:pPr>
            <w:r>
              <w:rPr>
                <w:rFonts w:ascii="Arial" w:cs="Arial" w:eastAsia="Arial" w:hAnsi="Arial"/>
                <w:sz w:val="13"/>
                <w:szCs w:val="13"/>
                <w:color w:val="auto"/>
              </w:rPr>
              <w:t>Purchases of property and equipment</w:t>
            </w:r>
          </w:p>
        </w:tc>
        <w:tc>
          <w:tcPr>
            <w:tcW w:w="24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(17,191)</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(25,207)</w:t>
            </w:r>
          </w:p>
        </w:tc>
      </w:tr>
      <w:tr>
        <w:trPr>
          <w:trHeight w:val="30"/>
        </w:trPr>
        <w:tc>
          <w:tcPr>
            <w:tcW w:w="8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183"/>
        </w:trPr>
        <w:tc>
          <w:tcPr>
            <w:tcW w:w="83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3"/>
                <w:szCs w:val="13"/>
                <w:color w:val="auto"/>
              </w:rPr>
              <w:t>Capitalized software development costs</w:t>
            </w:r>
          </w:p>
        </w:tc>
        <w:tc>
          <w:tcPr>
            <w:tcW w:w="240" w:type="dxa"/>
            <w:vAlign w:val="bottom"/>
            <w:tcBorders>
              <w:bottom w:val="single" w:sz="8" w:color="CCEEFF"/>
            </w:tcBorders>
            <w:shd w:val="clear" w:color="auto" w:fill="CCEEFF"/>
          </w:tcPr>
          <w:p>
            <w:pPr>
              <w:spacing w:after="0"/>
              <w:rPr>
                <w:sz w:val="15"/>
                <w:szCs w:val="15"/>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(26,279)</w:t>
            </w:r>
          </w:p>
        </w:tc>
        <w:tc>
          <w:tcPr>
            <w:tcW w:w="10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(21,592)</w:t>
            </w:r>
          </w:p>
        </w:tc>
      </w:tr>
      <w:tr>
        <w:trPr>
          <w:trHeight w:val="173"/>
        </w:trPr>
        <w:tc>
          <w:tcPr>
            <w:tcW w:w="8360" w:type="dxa"/>
            <w:vAlign w:val="bottom"/>
          </w:tcPr>
          <w:p>
            <w:pPr>
              <w:ind w:left="220"/>
              <w:spacing w:after="0"/>
              <w:rPr>
                <w:sz w:val="20"/>
                <w:szCs w:val="20"/>
                <w:color w:val="auto"/>
              </w:rPr>
            </w:pPr>
            <w:r>
              <w:rPr>
                <w:rFonts w:ascii="Arial" w:cs="Arial" w:eastAsia="Arial" w:hAnsi="Arial"/>
                <w:sz w:val="13"/>
                <w:szCs w:val="13"/>
                <w:color w:val="auto"/>
              </w:rPr>
              <w:t>Cash paid for acquisition of businesses; net of cash acquired</w:t>
            </w:r>
          </w:p>
        </w:tc>
        <w:tc>
          <w:tcPr>
            <w:tcW w:w="24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(6,369)</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(40,302)</w:t>
            </w:r>
          </w:p>
        </w:tc>
      </w:tr>
      <w:tr>
        <w:trPr>
          <w:trHeight w:val="30"/>
        </w:trPr>
        <w:tc>
          <w:tcPr>
            <w:tcW w:w="83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196"/>
        </w:trPr>
        <w:tc>
          <w:tcPr>
            <w:tcW w:w="8360" w:type="dxa"/>
            <w:vAlign w:val="bottom"/>
            <w:tcBorders>
              <w:bottom w:val="single" w:sz="8" w:color="CCEEFF"/>
            </w:tcBorders>
            <w:shd w:val="clear" w:color="auto" w:fill="CCEEFF"/>
          </w:tcPr>
          <w:p>
            <w:pPr>
              <w:ind w:left="1000"/>
              <w:spacing w:after="0"/>
              <w:rPr>
                <w:sz w:val="20"/>
                <w:szCs w:val="20"/>
                <w:color w:val="auto"/>
              </w:rPr>
            </w:pPr>
            <w:r>
              <w:rPr>
                <w:rFonts w:ascii="Arial" w:cs="Arial" w:eastAsia="Arial" w:hAnsi="Arial"/>
                <w:sz w:val="13"/>
                <w:szCs w:val="13"/>
                <w:color w:val="auto"/>
              </w:rPr>
              <w:t>Net cash used in investing activities</w:t>
            </w:r>
          </w:p>
        </w:tc>
        <w:tc>
          <w:tcPr>
            <w:tcW w:w="24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(557,328)</w:t>
            </w:r>
          </w:p>
        </w:tc>
        <w:tc>
          <w:tcPr>
            <w:tcW w:w="10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(295,550)</w:t>
            </w:r>
          </w:p>
        </w:tc>
      </w:tr>
      <w:tr>
        <w:trPr>
          <w:trHeight w:val="88"/>
        </w:trPr>
        <w:tc>
          <w:tcPr>
            <w:tcW w:w="8360" w:type="dxa"/>
            <w:vAlign w:val="bottom"/>
          </w:tcPr>
          <w:p>
            <w:pPr>
              <w:spacing w:after="0"/>
              <w:rPr>
                <w:sz w:val="7"/>
                <w:szCs w:val="7"/>
                <w:color w:val="auto"/>
              </w:rPr>
            </w:pPr>
          </w:p>
        </w:tc>
        <w:tc>
          <w:tcPr>
            <w:tcW w:w="240" w:type="dxa"/>
            <w:vAlign w:val="bottom"/>
            <w:tcBorders>
              <w:top w:val="single" w:sz="8" w:color="auto"/>
            </w:tcBorders>
          </w:tcPr>
          <w:p>
            <w:pPr>
              <w:spacing w:after="0"/>
              <w:rPr>
                <w:sz w:val="7"/>
                <w:szCs w:val="7"/>
                <w:color w:val="auto"/>
              </w:rPr>
            </w:pPr>
          </w:p>
        </w:tc>
        <w:tc>
          <w:tcPr>
            <w:tcW w:w="106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320" w:type="dxa"/>
            <w:vAlign w:val="bottom"/>
            <w:tcBorders>
              <w:top w:val="single" w:sz="8" w:color="auto"/>
            </w:tcBorders>
          </w:tcPr>
          <w:p>
            <w:pPr>
              <w:spacing w:after="0"/>
              <w:rPr>
                <w:sz w:val="7"/>
                <w:szCs w:val="7"/>
                <w:color w:val="auto"/>
              </w:rPr>
            </w:pPr>
          </w:p>
        </w:tc>
        <w:tc>
          <w:tcPr>
            <w:tcW w:w="1000" w:type="dxa"/>
            <w:vAlign w:val="bottom"/>
            <w:tcBorders>
              <w:top w:val="single" w:sz="8" w:color="auto"/>
            </w:tcBorders>
          </w:tcPr>
          <w:p>
            <w:pPr>
              <w:spacing w:after="0"/>
              <w:rPr>
                <w:sz w:val="7"/>
                <w:szCs w:val="7"/>
                <w:color w:val="auto"/>
              </w:rPr>
            </w:pPr>
          </w:p>
        </w:tc>
      </w:tr>
      <w:tr>
        <w:trPr>
          <w:trHeight w:val="183"/>
        </w:trPr>
        <w:tc>
          <w:tcPr>
            <w:tcW w:w="8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CASH FLOWS FROM FINANCING ACTIVITIES:</w:t>
            </w:r>
          </w:p>
        </w:tc>
        <w:tc>
          <w:tcPr>
            <w:tcW w:w="240" w:type="dxa"/>
            <w:vAlign w:val="bottom"/>
            <w:tcBorders>
              <w:bottom w:val="single" w:sz="8" w:color="CCEEFF"/>
            </w:tcBorders>
            <w:shd w:val="clear" w:color="auto" w:fill="CCEEFF"/>
          </w:tcPr>
          <w:p>
            <w:pPr>
              <w:spacing w:after="0"/>
              <w:rPr>
                <w:sz w:val="15"/>
                <w:szCs w:val="15"/>
                <w:color w:val="auto"/>
              </w:rPr>
            </w:pPr>
          </w:p>
        </w:tc>
        <w:tc>
          <w:tcPr>
            <w:tcW w:w="10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spacing w:after="0"/>
              <w:rPr>
                <w:sz w:val="15"/>
                <w:szCs w:val="15"/>
                <w:color w:val="auto"/>
              </w:rPr>
            </w:pPr>
          </w:p>
        </w:tc>
      </w:tr>
      <w:tr>
        <w:trPr>
          <w:trHeight w:val="173"/>
        </w:trPr>
        <w:tc>
          <w:tcPr>
            <w:tcW w:w="8360" w:type="dxa"/>
            <w:vAlign w:val="bottom"/>
          </w:tcPr>
          <w:p>
            <w:pPr>
              <w:ind w:left="220"/>
              <w:spacing w:after="0"/>
              <w:rPr>
                <w:sz w:val="20"/>
                <w:szCs w:val="20"/>
                <w:color w:val="auto"/>
              </w:rPr>
            </w:pPr>
            <w:r>
              <w:rPr>
                <w:rFonts w:ascii="Arial" w:cs="Arial" w:eastAsia="Arial" w:hAnsi="Arial"/>
                <w:sz w:val="13"/>
                <w:szCs w:val="13"/>
                <w:color w:val="auto"/>
              </w:rPr>
              <w:t>Proceeds from exercise of stock options</w:t>
            </w:r>
          </w:p>
        </w:tc>
        <w:tc>
          <w:tcPr>
            <w:tcW w:w="24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17,404</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8,267</w:t>
            </w:r>
          </w:p>
        </w:tc>
      </w:tr>
      <w:tr>
        <w:trPr>
          <w:trHeight w:val="30"/>
        </w:trPr>
        <w:tc>
          <w:tcPr>
            <w:tcW w:w="8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182"/>
        </w:trPr>
        <w:tc>
          <w:tcPr>
            <w:tcW w:w="83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3"/>
                <w:szCs w:val="13"/>
                <w:color w:val="auto"/>
              </w:rPr>
              <w:t>Proceeds from issuance of common stock under the employee stock purchase plan</w:t>
            </w:r>
          </w:p>
        </w:tc>
        <w:tc>
          <w:tcPr>
            <w:tcW w:w="240" w:type="dxa"/>
            <w:vAlign w:val="bottom"/>
            <w:tcBorders>
              <w:bottom w:val="single" w:sz="8" w:color="CCEEFF"/>
            </w:tcBorders>
            <w:shd w:val="clear" w:color="auto" w:fill="CCEEFF"/>
          </w:tcPr>
          <w:p>
            <w:pPr>
              <w:spacing w:after="0"/>
              <w:rPr>
                <w:sz w:val="15"/>
                <w:szCs w:val="15"/>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19,986</w:t>
            </w:r>
          </w:p>
        </w:tc>
        <w:tc>
          <w:tcPr>
            <w:tcW w:w="10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13,557</w:t>
            </w:r>
          </w:p>
        </w:tc>
      </w:tr>
      <w:tr>
        <w:trPr>
          <w:trHeight w:val="173"/>
        </w:trPr>
        <w:tc>
          <w:tcPr>
            <w:tcW w:w="8360" w:type="dxa"/>
            <w:vAlign w:val="bottom"/>
          </w:tcPr>
          <w:p>
            <w:pPr>
              <w:ind w:left="220"/>
              <w:spacing w:after="0"/>
              <w:rPr>
                <w:sz w:val="20"/>
                <w:szCs w:val="20"/>
                <w:color w:val="auto"/>
              </w:rPr>
            </w:pPr>
            <w:r>
              <w:rPr>
                <w:rFonts w:ascii="Arial" w:cs="Arial" w:eastAsia="Arial" w:hAnsi="Arial"/>
                <w:sz w:val="13"/>
                <w:szCs w:val="13"/>
                <w:color w:val="auto"/>
              </w:rPr>
              <w:t>Repayments of convertible senior notes</w:t>
            </w:r>
          </w:p>
        </w:tc>
        <w:tc>
          <w:tcPr>
            <w:tcW w:w="240" w:type="dxa"/>
            <w:vAlign w:val="bottom"/>
          </w:tcPr>
          <w:p>
            <w:pPr>
              <w:spacing w:after="0"/>
              <w:rPr>
                <w:sz w:val="15"/>
                <w:szCs w:val="15"/>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32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(3)</w:t>
            </w:r>
          </w:p>
        </w:tc>
      </w:tr>
      <w:tr>
        <w:trPr>
          <w:trHeight w:val="30"/>
        </w:trPr>
        <w:tc>
          <w:tcPr>
            <w:tcW w:w="83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196"/>
        </w:trPr>
        <w:tc>
          <w:tcPr>
            <w:tcW w:w="8360" w:type="dxa"/>
            <w:vAlign w:val="bottom"/>
            <w:tcBorders>
              <w:bottom w:val="single" w:sz="8" w:color="CCEEFF"/>
            </w:tcBorders>
            <w:shd w:val="clear" w:color="auto" w:fill="CCEEFF"/>
          </w:tcPr>
          <w:p>
            <w:pPr>
              <w:ind w:left="1000"/>
              <w:spacing w:after="0"/>
              <w:rPr>
                <w:sz w:val="20"/>
                <w:szCs w:val="20"/>
                <w:color w:val="auto"/>
              </w:rPr>
            </w:pPr>
            <w:r>
              <w:rPr>
                <w:rFonts w:ascii="Arial" w:cs="Arial" w:eastAsia="Arial" w:hAnsi="Arial"/>
                <w:sz w:val="13"/>
                <w:szCs w:val="13"/>
                <w:color w:val="auto"/>
              </w:rPr>
              <w:t>Net cash provided by financing activities</w:t>
            </w:r>
          </w:p>
        </w:tc>
        <w:tc>
          <w:tcPr>
            <w:tcW w:w="24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37,390</w:t>
            </w:r>
          </w:p>
        </w:tc>
        <w:tc>
          <w:tcPr>
            <w:tcW w:w="10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21,821</w:t>
            </w:r>
          </w:p>
        </w:tc>
      </w:tr>
      <w:tr>
        <w:trPr>
          <w:trHeight w:val="142"/>
        </w:trPr>
        <w:tc>
          <w:tcPr>
            <w:tcW w:w="836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0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spacing w:after="0"/>
              <w:rPr>
                <w:sz w:val="12"/>
                <w:szCs w:val="12"/>
                <w:color w:val="auto"/>
              </w:rPr>
            </w:pPr>
          </w:p>
        </w:tc>
      </w:tr>
      <w:tr>
        <w:trPr>
          <w:trHeight w:val="173"/>
        </w:trPr>
        <w:tc>
          <w:tcPr>
            <w:tcW w:w="8360" w:type="dxa"/>
            <w:vAlign w:val="bottom"/>
            <w:shd w:val="clear" w:color="auto" w:fill="CCEEFF"/>
          </w:tcPr>
          <w:p>
            <w:pPr>
              <w:ind w:left="20"/>
              <w:spacing w:after="0"/>
              <w:rPr>
                <w:sz w:val="20"/>
                <w:szCs w:val="20"/>
                <w:color w:val="auto"/>
              </w:rPr>
            </w:pPr>
            <w:r>
              <w:rPr>
                <w:rFonts w:ascii="Arial" w:cs="Arial" w:eastAsia="Arial" w:hAnsi="Arial"/>
                <w:sz w:val="13"/>
                <w:szCs w:val="13"/>
                <w:color w:val="auto"/>
              </w:rPr>
              <w:t>Effect of exchange rate changes on cash, cash equivalents and restricted cash</w:t>
            </w:r>
          </w:p>
        </w:tc>
        <w:tc>
          <w:tcPr>
            <w:tcW w:w="24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(769)</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(6,866)</w:t>
            </w:r>
          </w:p>
        </w:tc>
      </w:tr>
      <w:tr>
        <w:trPr>
          <w:trHeight w:val="30"/>
        </w:trPr>
        <w:tc>
          <w:tcPr>
            <w:tcW w:w="836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93980</wp:posOffset>
            </wp:positionV>
            <wp:extent cx="7029450" cy="1289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029450" cy="128905"/>
                    </a:xfrm>
                    <a:prstGeom prst="rect">
                      <a:avLst/>
                    </a:prstGeom>
                    <a:noFill/>
                  </pic:spPr>
                </pic:pic>
              </a:graphicData>
            </a:graphic>
          </wp:anchor>
        </w:drawing>
      </w:r>
    </w:p>
    <w:p>
      <w:pPr>
        <w:sectPr>
          <w:pgSz w:w="11900" w:h="16838" w:orient="portrait"/>
          <w:cols w:equalWidth="0" w:num="1">
            <w:col w:w="11080"/>
          </w:cols>
          <w:pgMar w:left="320" w:top="1093" w:right="499" w:bottom="1440" w:gutter="0" w:footer="0" w:header="0"/>
        </w:sectPr>
      </w:pPr>
    </w:p>
    <w:p>
      <w:pPr>
        <w:spacing w:after="0" w:line="161" w:lineRule="exact"/>
        <w:rPr>
          <w:sz w:val="20"/>
          <w:szCs w:val="20"/>
          <w:color w:val="auto"/>
        </w:rPr>
      </w:pPr>
    </w:p>
    <w:p>
      <w:pPr>
        <w:ind w:left="20" w:right="2660"/>
        <w:spacing w:after="0" w:line="387" w:lineRule="auto"/>
        <w:rPr>
          <w:sz w:val="20"/>
          <w:szCs w:val="20"/>
          <w:color w:val="auto"/>
        </w:rPr>
      </w:pPr>
      <w:r>
        <w:rPr>
          <w:rFonts w:ascii="Arial" w:cs="Arial" w:eastAsia="Arial" w:hAnsi="Arial"/>
          <w:sz w:val="12"/>
          <w:szCs w:val="12"/>
          <w:color w:val="auto"/>
        </w:rPr>
        <w:t>NET (DECREASE) INCREASE IN CASH, CASH EQUIVALENTS AND RESTRICTED CASH CASH, CASH EQUIVALENTS AND RESTRICTED CASH—Beginning of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-33020</wp:posOffset>
            </wp:positionV>
            <wp:extent cx="7029450" cy="1543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029450" cy="154305"/>
                    </a:xfrm>
                    <a:prstGeom prst="rect">
                      <a:avLst/>
                    </a:prstGeom>
                    <a:noFill/>
                  </pic:spPr>
                </pic:pic>
              </a:graphicData>
            </a:graphic>
          </wp:anchor>
        </w:drawing>
      </w:r>
    </w:p>
    <w:p>
      <w:pPr>
        <w:ind w:left="20"/>
        <w:spacing w:after="0"/>
        <w:rPr>
          <w:sz w:val="20"/>
          <w:szCs w:val="20"/>
          <w:color w:val="auto"/>
        </w:rPr>
      </w:pPr>
      <w:r>
        <w:rPr>
          <w:rFonts w:ascii="Arial" w:cs="Arial" w:eastAsia="Arial" w:hAnsi="Arial"/>
          <w:sz w:val="13"/>
          <w:szCs w:val="13"/>
          <w:color w:val="auto"/>
        </w:rPr>
        <w:t>CASH, CASH EQUIVALENTS AND RESTRICTED CASH—End of period</w:t>
      </w:r>
    </w:p>
    <w:p>
      <w:pPr>
        <w:spacing w:after="0" w:line="20" w:lineRule="exact"/>
        <w:rPr>
          <w:sz w:val="20"/>
          <w:szCs w:val="20"/>
          <w:color w:val="auto"/>
        </w:rPr>
      </w:pPr>
      <w:r>
        <w:rPr>
          <w:sz w:val="20"/>
          <w:szCs w:val="20"/>
          <w:color w:val="auto"/>
        </w:rPr>
        <w:br w:type="column"/>
      </w:r>
    </w:p>
    <w:p>
      <w:pPr>
        <w:spacing w:after="0" w:line="14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0"/>
        </w:trPr>
        <w:tc>
          <w:tcPr>
            <w:tcW w:w="460" w:type="dxa"/>
            <w:vAlign w:val="bottom"/>
          </w:tcPr>
          <w:p>
            <w:pPr>
              <w:spacing w:after="0"/>
              <w:rPr>
                <w:sz w:val="13"/>
                <w:szCs w:val="13"/>
                <w:color w:val="auto"/>
              </w:rPr>
            </w:pPr>
          </w:p>
        </w:tc>
        <w:tc>
          <w:tcPr>
            <w:tcW w:w="840" w:type="dxa"/>
            <w:vAlign w:val="bottom"/>
          </w:tcPr>
          <w:p>
            <w:pPr>
              <w:ind w:left="380"/>
              <w:spacing w:after="0"/>
              <w:rPr>
                <w:sz w:val="20"/>
                <w:szCs w:val="20"/>
                <w:color w:val="auto"/>
              </w:rPr>
            </w:pPr>
            <w:r>
              <w:rPr>
                <w:rFonts w:ascii="Arial" w:cs="Arial" w:eastAsia="Arial" w:hAnsi="Arial"/>
                <w:sz w:val="13"/>
                <w:szCs w:val="13"/>
                <w:color w:val="auto"/>
                <w:w w:val="90"/>
              </w:rPr>
              <w:t>(80,979)</w:t>
            </w: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23,371</w:t>
            </w:r>
          </w:p>
        </w:tc>
      </w:tr>
      <w:tr>
        <w:trPr>
          <w:trHeight w:val="203"/>
        </w:trPr>
        <w:tc>
          <w:tcPr>
            <w:tcW w:w="460" w:type="dxa"/>
            <w:vAlign w:val="bottom"/>
          </w:tcPr>
          <w:p>
            <w:pPr>
              <w:spacing w:after="0"/>
              <w:rPr>
                <w:sz w:val="17"/>
                <w:szCs w:val="17"/>
                <w:color w:val="auto"/>
              </w:rPr>
            </w:pPr>
          </w:p>
        </w:tc>
        <w:tc>
          <w:tcPr>
            <w:tcW w:w="840" w:type="dxa"/>
            <w:vAlign w:val="bottom"/>
          </w:tcPr>
          <w:p>
            <w:pPr>
              <w:ind w:left="380"/>
              <w:spacing w:after="0"/>
              <w:rPr>
                <w:sz w:val="20"/>
                <w:szCs w:val="20"/>
                <w:color w:val="auto"/>
              </w:rPr>
            </w:pPr>
            <w:r>
              <w:rPr>
                <w:rFonts w:ascii="Arial" w:cs="Arial" w:eastAsia="Arial" w:hAnsi="Arial"/>
                <w:sz w:val="13"/>
                <w:szCs w:val="13"/>
                <w:color w:val="auto"/>
                <w:w w:val="93"/>
              </w:rPr>
              <w:t>342,288</w:t>
            </w: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274,463</w:t>
            </w:r>
          </w:p>
        </w:tc>
      </w:tr>
      <w:tr>
        <w:trPr>
          <w:trHeight w:val="30"/>
        </w:trPr>
        <w:tc>
          <w:tcPr>
            <w:tcW w:w="4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166"/>
        </w:trPr>
        <w:tc>
          <w:tcPr>
            <w:tcW w:w="460" w:type="dxa"/>
            <w:vAlign w:val="bottom"/>
          </w:tcPr>
          <w:p>
            <w:pPr>
              <w:jc w:val="right"/>
              <w:ind w:right="317"/>
              <w:spacing w:after="0"/>
              <w:rPr>
                <w:sz w:val="20"/>
                <w:szCs w:val="20"/>
                <w:color w:val="auto"/>
              </w:rPr>
            </w:pPr>
            <w:r>
              <w:rPr>
                <w:rFonts w:ascii="Arial" w:cs="Arial" w:eastAsia="Arial" w:hAnsi="Arial"/>
                <w:sz w:val="13"/>
                <w:szCs w:val="13"/>
                <w:color w:val="auto"/>
                <w:w w:val="82"/>
              </w:rPr>
              <w:t>$</w:t>
            </w:r>
          </w:p>
        </w:tc>
        <w:tc>
          <w:tcPr>
            <w:tcW w:w="840" w:type="dxa"/>
            <w:vAlign w:val="bottom"/>
          </w:tcPr>
          <w:p>
            <w:pPr>
              <w:ind w:left="380"/>
              <w:spacing w:after="0"/>
              <w:rPr>
                <w:sz w:val="20"/>
                <w:szCs w:val="20"/>
                <w:color w:val="auto"/>
              </w:rPr>
            </w:pPr>
            <w:r>
              <w:rPr>
                <w:rFonts w:ascii="Arial" w:cs="Arial" w:eastAsia="Arial" w:hAnsi="Arial"/>
                <w:sz w:val="13"/>
                <w:szCs w:val="13"/>
                <w:color w:val="auto"/>
                <w:w w:val="93"/>
              </w:rPr>
              <w:t>261,309</w:t>
            </w:r>
          </w:p>
        </w:tc>
        <w:tc>
          <w:tcPr>
            <w:tcW w:w="100" w:type="dxa"/>
            <w:vAlign w:val="bottom"/>
          </w:tcPr>
          <w:p>
            <w:pPr>
              <w:spacing w:after="0"/>
              <w:rPr>
                <w:sz w:val="14"/>
                <w:szCs w:val="14"/>
                <w:color w:val="auto"/>
              </w:rPr>
            </w:pPr>
          </w:p>
        </w:tc>
        <w:tc>
          <w:tcPr>
            <w:tcW w:w="460" w:type="dxa"/>
            <w:vAlign w:val="bottom"/>
          </w:tcPr>
          <w:p>
            <w:pPr>
              <w:jc w:val="right"/>
              <w:ind w:right="317"/>
              <w:spacing w:after="0"/>
              <w:rPr>
                <w:sz w:val="20"/>
                <w:szCs w:val="20"/>
                <w:color w:val="auto"/>
              </w:rPr>
            </w:pPr>
            <w:r>
              <w:rPr>
                <w:rFonts w:ascii="Arial" w:cs="Arial" w:eastAsia="Arial" w:hAnsi="Arial"/>
                <w:sz w:val="13"/>
                <w:szCs w:val="13"/>
                <w:color w:val="auto"/>
                <w:w w:val="82"/>
              </w:rPr>
              <w:t>$</w:t>
            </w:r>
          </w:p>
        </w:tc>
        <w:tc>
          <w:tcPr>
            <w:tcW w:w="860" w:type="dxa"/>
            <w:vAlign w:val="bottom"/>
          </w:tcPr>
          <w:p>
            <w:pPr>
              <w:jc w:val="right"/>
              <w:spacing w:after="0"/>
              <w:rPr>
                <w:sz w:val="20"/>
                <w:szCs w:val="20"/>
                <w:color w:val="auto"/>
              </w:rPr>
            </w:pPr>
            <w:r>
              <w:rPr>
                <w:rFonts w:ascii="Arial" w:cs="Arial" w:eastAsia="Arial" w:hAnsi="Arial"/>
                <w:sz w:val="13"/>
                <w:szCs w:val="13"/>
                <w:color w:val="auto"/>
              </w:rPr>
              <w:t>297,834</w:t>
            </w:r>
          </w:p>
        </w:tc>
      </w:tr>
      <w:tr>
        <w:trPr>
          <w:trHeight w:val="30"/>
        </w:trPr>
        <w:tc>
          <w:tcPr>
            <w:tcW w:w="4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0"/>
        </w:trPr>
        <w:tc>
          <w:tcPr>
            <w:tcW w:w="4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81" w:lineRule="exact"/>
        <w:rPr>
          <w:sz w:val="20"/>
          <w:szCs w:val="20"/>
          <w:color w:val="auto"/>
        </w:rPr>
      </w:pPr>
    </w:p>
    <w:p>
      <w:pPr>
        <w:sectPr>
          <w:pgSz w:w="11900" w:h="16838" w:orient="portrait"/>
          <w:cols w:equalWidth="0" w:num="2">
            <w:col w:w="7640" w:space="720"/>
            <w:col w:w="2720"/>
          </w:cols>
          <w:pgMar w:left="320" w:top="1093" w:right="499" w:bottom="1440" w:gutter="0" w:footer="0" w:header="0"/>
          <w:type w:val="continuous"/>
        </w:sectPr>
      </w:pPr>
    </w:p>
    <w:tbl>
      <w:tblPr>
        <w:tblLayout w:type="fixed"/>
        <w:tblInd w:w="0" w:type="dxa"/>
        <w:tblCellMar>
          <w:top w:w="0" w:type="dxa"/>
          <w:left w:w="0" w:type="dxa"/>
          <w:bottom w:w="0" w:type="dxa"/>
          <w:right w:w="0" w:type="dxa"/>
        </w:tblCellMar>
      </w:tblPr>
      <w:tr>
        <w:trPr>
          <w:trHeight w:val="203"/>
        </w:trPr>
        <w:tc>
          <w:tcPr>
            <w:tcW w:w="690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SUPPLEMENTAL DISCLOSURES OF CASH FLOW INFORMATION:</w:t>
            </w:r>
          </w:p>
        </w:tc>
        <w:tc>
          <w:tcPr>
            <w:tcW w:w="19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r>
      <w:tr>
        <w:trPr>
          <w:trHeight w:val="173"/>
        </w:trPr>
        <w:tc>
          <w:tcPr>
            <w:tcW w:w="6900" w:type="dxa"/>
            <w:vAlign w:val="bottom"/>
          </w:tcPr>
          <w:p>
            <w:pPr>
              <w:ind w:left="220"/>
              <w:spacing w:after="0"/>
              <w:rPr>
                <w:sz w:val="20"/>
                <w:szCs w:val="20"/>
                <w:color w:val="auto"/>
              </w:rPr>
            </w:pPr>
            <w:r>
              <w:rPr>
                <w:rFonts w:ascii="Arial" w:cs="Arial" w:eastAsia="Arial" w:hAnsi="Arial"/>
                <w:sz w:val="13"/>
                <w:szCs w:val="13"/>
                <w:color w:val="auto"/>
              </w:rPr>
              <w:t>Cash paid for income taxes</w:t>
            </w:r>
          </w:p>
        </w:tc>
        <w:tc>
          <w:tcPr>
            <w:tcW w:w="1940" w:type="dxa"/>
            <w:vAlign w:val="bottom"/>
          </w:tcPr>
          <w:p>
            <w:pPr>
              <w:jc w:val="right"/>
              <w:ind w:right="337"/>
              <w:spacing w:after="0"/>
              <w:rPr>
                <w:sz w:val="20"/>
                <w:szCs w:val="20"/>
                <w:color w:val="auto"/>
              </w:rPr>
            </w:pPr>
            <w:r>
              <w:rPr>
                <w:rFonts w:ascii="Arial" w:cs="Arial" w:eastAsia="Arial" w:hAnsi="Arial"/>
                <w:sz w:val="13"/>
                <w:szCs w:val="13"/>
                <w:color w:val="auto"/>
              </w:rPr>
              <w:t>$</w:t>
            </w:r>
          </w:p>
        </w:tc>
        <w:tc>
          <w:tcPr>
            <w:tcW w:w="860" w:type="dxa"/>
            <w:vAlign w:val="bottom"/>
          </w:tcPr>
          <w:p>
            <w:pPr>
              <w:jc w:val="right"/>
              <w:ind w:right="37"/>
              <w:spacing w:after="0"/>
              <w:rPr>
                <w:sz w:val="20"/>
                <w:szCs w:val="20"/>
                <w:color w:val="auto"/>
              </w:rPr>
            </w:pPr>
            <w:r>
              <w:rPr>
                <w:rFonts w:ascii="Arial" w:cs="Arial" w:eastAsia="Arial" w:hAnsi="Arial"/>
                <w:sz w:val="13"/>
                <w:szCs w:val="13"/>
                <w:color w:val="auto"/>
              </w:rPr>
              <w:t>14,163</w:t>
            </w:r>
          </w:p>
        </w:tc>
        <w:tc>
          <w:tcPr>
            <w:tcW w:w="560" w:type="dxa"/>
            <w:vAlign w:val="bottom"/>
          </w:tcPr>
          <w:p>
            <w:pPr>
              <w:jc w:val="right"/>
              <w:ind w:right="357"/>
              <w:spacing w:after="0"/>
              <w:rPr>
                <w:sz w:val="20"/>
                <w:szCs w:val="20"/>
                <w:color w:val="auto"/>
              </w:rPr>
            </w:pPr>
            <w:r>
              <w:rPr>
                <w:rFonts w:ascii="Arial" w:cs="Arial" w:eastAsia="Arial" w:hAnsi="Arial"/>
                <w:sz w:val="13"/>
                <w:szCs w:val="13"/>
                <w:color w:val="auto"/>
              </w:rPr>
              <w:t>$</w:t>
            </w:r>
          </w:p>
        </w:tc>
        <w:tc>
          <w:tcPr>
            <w:tcW w:w="820" w:type="dxa"/>
            <w:vAlign w:val="bottom"/>
          </w:tcPr>
          <w:p>
            <w:pPr>
              <w:jc w:val="right"/>
              <w:spacing w:after="0"/>
              <w:rPr>
                <w:sz w:val="20"/>
                <w:szCs w:val="20"/>
                <w:color w:val="auto"/>
              </w:rPr>
            </w:pPr>
            <w:r>
              <w:rPr>
                <w:rFonts w:ascii="Arial" w:cs="Arial" w:eastAsia="Arial" w:hAnsi="Arial"/>
                <w:sz w:val="13"/>
                <w:szCs w:val="13"/>
                <w:color w:val="auto"/>
              </w:rPr>
              <w:t>1,082</w:t>
            </w:r>
          </w:p>
        </w:tc>
      </w:tr>
      <w:tr>
        <w:trPr>
          <w:trHeight w:val="30"/>
        </w:trPr>
        <w:tc>
          <w:tcPr>
            <w:tcW w:w="6900" w:type="dxa"/>
            <w:vAlign w:val="bottom"/>
          </w:tcPr>
          <w:p>
            <w:pPr>
              <w:spacing w:after="0"/>
              <w:rPr>
                <w:sz w:val="2"/>
                <w:szCs w:val="2"/>
                <w:color w:val="auto"/>
              </w:rPr>
            </w:pPr>
          </w:p>
        </w:tc>
        <w:tc>
          <w:tcPr>
            <w:tcW w:w="1940" w:type="dxa"/>
            <w:vAlign w:val="bottom"/>
          </w:tcPr>
          <w:p>
            <w:pPr>
              <w:spacing w:after="0"/>
              <w:rPr>
                <w:sz w:val="2"/>
                <w:szCs w:val="2"/>
                <w:color w:val="auto"/>
              </w:rPr>
            </w:pPr>
          </w:p>
        </w:tc>
        <w:tc>
          <w:tcPr>
            <w:tcW w:w="860" w:type="dxa"/>
            <w:vAlign w:val="bottom"/>
          </w:tcPr>
          <w:p>
            <w:pPr>
              <w:spacing w:after="0"/>
              <w:rPr>
                <w:sz w:val="2"/>
                <w:szCs w:val="2"/>
                <w:color w:val="auto"/>
              </w:rPr>
            </w:pPr>
          </w:p>
        </w:tc>
        <w:tc>
          <w:tcPr>
            <w:tcW w:w="56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108"/>
        </w:trPr>
        <w:tc>
          <w:tcPr>
            <w:tcW w:w="6900" w:type="dxa"/>
            <w:vAlign w:val="bottom"/>
            <w:shd w:val="clear" w:color="auto" w:fill="CCEEFF"/>
          </w:tcPr>
          <w:p>
            <w:pPr>
              <w:spacing w:after="0"/>
              <w:rPr>
                <w:sz w:val="9"/>
                <w:szCs w:val="9"/>
                <w:color w:val="auto"/>
              </w:rPr>
            </w:pPr>
          </w:p>
        </w:tc>
        <w:tc>
          <w:tcPr>
            <w:tcW w:w="1940" w:type="dxa"/>
            <w:vAlign w:val="bottom"/>
            <w:shd w:val="clear" w:color="auto" w:fill="CCEEFF"/>
          </w:tcPr>
          <w:p>
            <w:pPr>
              <w:spacing w:after="0"/>
              <w:rPr>
                <w:sz w:val="9"/>
                <w:szCs w:val="9"/>
                <w:color w:val="auto"/>
              </w:rPr>
            </w:pPr>
          </w:p>
        </w:tc>
        <w:tc>
          <w:tcPr>
            <w:tcW w:w="86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820" w:type="dxa"/>
            <w:vAlign w:val="bottom"/>
            <w:shd w:val="clear" w:color="auto" w:fill="CCEEFF"/>
          </w:tcPr>
          <w:p>
            <w:pPr>
              <w:spacing w:after="0"/>
              <w:rPr>
                <w:sz w:val="9"/>
                <w:szCs w:val="9"/>
                <w:color w:val="auto"/>
              </w:rPr>
            </w:pPr>
          </w:p>
        </w:tc>
      </w:tr>
      <w:tr>
        <w:trPr>
          <w:trHeight w:val="173"/>
        </w:trPr>
        <w:tc>
          <w:tcPr>
            <w:tcW w:w="6900" w:type="dxa"/>
            <w:vAlign w:val="bottom"/>
          </w:tcPr>
          <w:p>
            <w:pPr>
              <w:ind w:left="20"/>
              <w:spacing w:after="0"/>
              <w:rPr>
                <w:sz w:val="20"/>
                <w:szCs w:val="20"/>
                <w:color w:val="auto"/>
              </w:rPr>
            </w:pPr>
            <w:r>
              <w:rPr>
                <w:rFonts w:ascii="Arial" w:cs="Arial" w:eastAsia="Arial" w:hAnsi="Arial"/>
                <w:sz w:val="13"/>
                <w:szCs w:val="13"/>
                <w:b w:val="1"/>
                <w:bCs w:val="1"/>
                <w:color w:val="auto"/>
              </w:rPr>
              <w:t>SUPPLEMENTAL DISCLOSURE OF NON-CASH INVESTING AND FINANCING ACTIVITIES:</w:t>
            </w:r>
          </w:p>
        </w:tc>
        <w:tc>
          <w:tcPr>
            <w:tcW w:w="19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30"/>
        </w:trPr>
        <w:tc>
          <w:tcPr>
            <w:tcW w:w="6900" w:type="dxa"/>
            <w:vAlign w:val="bottom"/>
          </w:tcPr>
          <w:p>
            <w:pPr>
              <w:spacing w:after="0"/>
              <w:rPr>
                <w:sz w:val="2"/>
                <w:szCs w:val="2"/>
                <w:color w:val="auto"/>
              </w:rPr>
            </w:pPr>
          </w:p>
        </w:tc>
        <w:tc>
          <w:tcPr>
            <w:tcW w:w="1940" w:type="dxa"/>
            <w:vAlign w:val="bottom"/>
          </w:tcPr>
          <w:p>
            <w:pPr>
              <w:spacing w:after="0"/>
              <w:rPr>
                <w:sz w:val="2"/>
                <w:szCs w:val="2"/>
                <w:color w:val="auto"/>
              </w:rPr>
            </w:pPr>
          </w:p>
        </w:tc>
        <w:tc>
          <w:tcPr>
            <w:tcW w:w="860" w:type="dxa"/>
            <w:vAlign w:val="bottom"/>
          </w:tcPr>
          <w:p>
            <w:pPr>
              <w:spacing w:after="0"/>
              <w:rPr>
                <w:sz w:val="2"/>
                <w:szCs w:val="2"/>
                <w:color w:val="auto"/>
              </w:rPr>
            </w:pPr>
          </w:p>
        </w:tc>
        <w:tc>
          <w:tcPr>
            <w:tcW w:w="56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183"/>
        </w:trPr>
        <w:tc>
          <w:tcPr>
            <w:tcW w:w="69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3"/>
                <w:szCs w:val="13"/>
                <w:color w:val="auto"/>
              </w:rPr>
              <w:t>Accrued property and equipment purchases</w:t>
            </w:r>
          </w:p>
        </w:tc>
        <w:tc>
          <w:tcPr>
            <w:tcW w:w="1940" w:type="dxa"/>
            <w:vAlign w:val="bottom"/>
            <w:tcBorders>
              <w:bottom w:val="single" w:sz="8" w:color="CCEEFF"/>
            </w:tcBorders>
            <w:shd w:val="clear" w:color="auto" w:fill="CCEEFF"/>
          </w:tcPr>
          <w:p>
            <w:pPr>
              <w:jc w:val="right"/>
              <w:ind w:right="337"/>
              <w:spacing w:after="0"/>
              <w:rPr>
                <w:sz w:val="20"/>
                <w:szCs w:val="20"/>
                <w:color w:val="auto"/>
              </w:rPr>
            </w:pPr>
            <w:r>
              <w:rPr>
                <w:rFonts w:ascii="Arial" w:cs="Arial" w:eastAsia="Arial" w:hAnsi="Arial"/>
                <w:sz w:val="13"/>
                <w:szCs w:val="13"/>
                <w:color w:val="auto"/>
              </w:rPr>
              <w:t>$</w:t>
            </w:r>
          </w:p>
        </w:tc>
        <w:tc>
          <w:tcPr>
            <w:tcW w:w="8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3"/>
                <w:szCs w:val="13"/>
                <w:color w:val="auto"/>
              </w:rPr>
              <w:t>5,147</w:t>
            </w:r>
          </w:p>
        </w:tc>
        <w:tc>
          <w:tcPr>
            <w:tcW w:w="560" w:type="dxa"/>
            <w:vAlign w:val="bottom"/>
            <w:tcBorders>
              <w:bottom w:val="single" w:sz="8" w:color="CCEEFF"/>
            </w:tcBorders>
            <w:shd w:val="clear" w:color="auto" w:fill="CCEEFF"/>
          </w:tcPr>
          <w:p>
            <w:pPr>
              <w:jc w:val="right"/>
              <w:ind w:right="357"/>
              <w:spacing w:after="0"/>
              <w:rPr>
                <w:sz w:val="20"/>
                <w:szCs w:val="20"/>
                <w:color w:val="auto"/>
              </w:rPr>
            </w:pPr>
            <w:r>
              <w:rPr>
                <w:rFonts w:ascii="Arial" w:cs="Arial" w:eastAsia="Arial" w:hAnsi="Arial"/>
                <w:sz w:val="13"/>
                <w:szCs w:val="13"/>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1,662</w:t>
            </w:r>
          </w:p>
        </w:tc>
      </w:tr>
      <w:tr>
        <w:trPr>
          <w:trHeight w:val="173"/>
        </w:trPr>
        <w:tc>
          <w:tcPr>
            <w:tcW w:w="6900" w:type="dxa"/>
            <w:vAlign w:val="bottom"/>
          </w:tcPr>
          <w:p>
            <w:pPr>
              <w:ind w:left="220"/>
              <w:spacing w:after="0"/>
              <w:rPr>
                <w:sz w:val="20"/>
                <w:szCs w:val="20"/>
                <w:color w:val="auto"/>
              </w:rPr>
            </w:pPr>
            <w:r>
              <w:rPr>
                <w:rFonts w:ascii="Arial" w:cs="Arial" w:eastAsia="Arial" w:hAnsi="Arial"/>
                <w:sz w:val="13"/>
                <w:szCs w:val="13"/>
                <w:color w:val="auto"/>
              </w:rPr>
              <w:t>Stock-based compensation included in capitalized software development costs</w:t>
            </w:r>
          </w:p>
        </w:tc>
        <w:tc>
          <w:tcPr>
            <w:tcW w:w="1940" w:type="dxa"/>
            <w:vAlign w:val="bottom"/>
          </w:tcPr>
          <w:p>
            <w:pPr>
              <w:jc w:val="right"/>
              <w:ind w:right="337"/>
              <w:spacing w:after="0"/>
              <w:rPr>
                <w:sz w:val="20"/>
                <w:szCs w:val="20"/>
                <w:color w:val="auto"/>
              </w:rPr>
            </w:pPr>
            <w:r>
              <w:rPr>
                <w:rFonts w:ascii="Arial" w:cs="Arial" w:eastAsia="Arial" w:hAnsi="Arial"/>
                <w:sz w:val="13"/>
                <w:szCs w:val="13"/>
                <w:color w:val="auto"/>
              </w:rPr>
              <w:t>$</w:t>
            </w:r>
          </w:p>
        </w:tc>
        <w:tc>
          <w:tcPr>
            <w:tcW w:w="860" w:type="dxa"/>
            <w:vAlign w:val="bottom"/>
          </w:tcPr>
          <w:p>
            <w:pPr>
              <w:jc w:val="right"/>
              <w:ind w:right="37"/>
              <w:spacing w:after="0"/>
              <w:rPr>
                <w:sz w:val="20"/>
                <w:szCs w:val="20"/>
                <w:color w:val="auto"/>
              </w:rPr>
            </w:pPr>
            <w:r>
              <w:rPr>
                <w:rFonts w:ascii="Arial" w:cs="Arial" w:eastAsia="Arial" w:hAnsi="Arial"/>
                <w:sz w:val="13"/>
                <w:szCs w:val="13"/>
                <w:color w:val="auto"/>
              </w:rPr>
              <w:t>11,308</w:t>
            </w:r>
          </w:p>
        </w:tc>
        <w:tc>
          <w:tcPr>
            <w:tcW w:w="560" w:type="dxa"/>
            <w:vAlign w:val="bottom"/>
          </w:tcPr>
          <w:p>
            <w:pPr>
              <w:jc w:val="right"/>
              <w:ind w:right="357"/>
              <w:spacing w:after="0"/>
              <w:rPr>
                <w:sz w:val="20"/>
                <w:szCs w:val="20"/>
                <w:color w:val="auto"/>
              </w:rPr>
            </w:pPr>
            <w:r>
              <w:rPr>
                <w:rFonts w:ascii="Arial" w:cs="Arial" w:eastAsia="Arial" w:hAnsi="Arial"/>
                <w:sz w:val="13"/>
                <w:szCs w:val="13"/>
                <w:color w:val="auto"/>
              </w:rPr>
              <w:t>$</w:t>
            </w:r>
          </w:p>
        </w:tc>
        <w:tc>
          <w:tcPr>
            <w:tcW w:w="820" w:type="dxa"/>
            <w:vAlign w:val="bottom"/>
          </w:tcPr>
          <w:p>
            <w:pPr>
              <w:jc w:val="right"/>
              <w:spacing w:after="0"/>
              <w:rPr>
                <w:sz w:val="20"/>
                <w:szCs w:val="20"/>
                <w:color w:val="auto"/>
              </w:rPr>
            </w:pPr>
            <w:r>
              <w:rPr>
                <w:rFonts w:ascii="Arial" w:cs="Arial" w:eastAsia="Arial" w:hAnsi="Arial"/>
                <w:sz w:val="13"/>
                <w:szCs w:val="13"/>
                <w:color w:val="auto"/>
              </w:rPr>
              <w:t>10,760</w:t>
            </w:r>
          </w:p>
        </w:tc>
      </w:tr>
      <w:tr>
        <w:trPr>
          <w:trHeight w:val="30"/>
        </w:trPr>
        <w:tc>
          <w:tcPr>
            <w:tcW w:w="6900" w:type="dxa"/>
            <w:vAlign w:val="bottom"/>
          </w:tcPr>
          <w:p>
            <w:pPr>
              <w:spacing w:after="0"/>
              <w:rPr>
                <w:sz w:val="2"/>
                <w:szCs w:val="2"/>
                <w:color w:val="auto"/>
              </w:rPr>
            </w:pPr>
          </w:p>
        </w:tc>
        <w:tc>
          <w:tcPr>
            <w:tcW w:w="1940" w:type="dxa"/>
            <w:vAlign w:val="bottom"/>
          </w:tcPr>
          <w:p>
            <w:pPr>
              <w:spacing w:after="0"/>
              <w:rPr>
                <w:sz w:val="2"/>
                <w:szCs w:val="2"/>
                <w:color w:val="auto"/>
              </w:rPr>
            </w:pPr>
          </w:p>
        </w:tc>
        <w:tc>
          <w:tcPr>
            <w:tcW w:w="860" w:type="dxa"/>
            <w:vAlign w:val="bottom"/>
          </w:tcPr>
          <w:p>
            <w:pPr>
              <w:spacing w:after="0"/>
              <w:rPr>
                <w:sz w:val="2"/>
                <w:szCs w:val="2"/>
                <w:color w:val="auto"/>
              </w:rPr>
            </w:pPr>
          </w:p>
        </w:tc>
        <w:tc>
          <w:tcPr>
            <w:tcW w:w="56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183"/>
        </w:trPr>
        <w:tc>
          <w:tcPr>
            <w:tcW w:w="69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3"/>
                <w:szCs w:val="13"/>
                <w:color w:val="auto"/>
              </w:rPr>
              <w:t>Vesting of early exercised options</w:t>
            </w:r>
          </w:p>
        </w:tc>
        <w:tc>
          <w:tcPr>
            <w:tcW w:w="1940" w:type="dxa"/>
            <w:vAlign w:val="bottom"/>
            <w:tcBorders>
              <w:bottom w:val="single" w:sz="8" w:color="CCEEFF"/>
            </w:tcBorders>
            <w:shd w:val="clear" w:color="auto" w:fill="CCEEFF"/>
          </w:tcPr>
          <w:p>
            <w:pPr>
              <w:jc w:val="right"/>
              <w:ind w:right="337"/>
              <w:spacing w:after="0"/>
              <w:rPr>
                <w:sz w:val="20"/>
                <w:szCs w:val="20"/>
                <w:color w:val="auto"/>
              </w:rPr>
            </w:pPr>
            <w:r>
              <w:rPr>
                <w:rFonts w:ascii="Arial" w:cs="Arial" w:eastAsia="Arial" w:hAnsi="Arial"/>
                <w:sz w:val="13"/>
                <w:szCs w:val="13"/>
                <w:color w:val="auto"/>
              </w:rPr>
              <w:t>$</w:t>
            </w:r>
          </w:p>
        </w:tc>
        <w:tc>
          <w:tcPr>
            <w:tcW w:w="8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560" w:type="dxa"/>
            <w:vAlign w:val="bottom"/>
            <w:tcBorders>
              <w:bottom w:val="single" w:sz="8" w:color="CCEEFF"/>
            </w:tcBorders>
            <w:shd w:val="clear" w:color="auto" w:fill="CCEEFF"/>
          </w:tcPr>
          <w:p>
            <w:pPr>
              <w:jc w:val="right"/>
              <w:ind w:right="357"/>
              <w:spacing w:after="0"/>
              <w:rPr>
                <w:sz w:val="20"/>
                <w:szCs w:val="20"/>
                <w:color w:val="auto"/>
              </w:rPr>
            </w:pPr>
            <w:r>
              <w:rPr>
                <w:rFonts w:ascii="Arial" w:cs="Arial" w:eastAsia="Arial" w:hAnsi="Arial"/>
                <w:sz w:val="13"/>
                <w:szCs w:val="13"/>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33</w:t>
            </w:r>
          </w:p>
        </w:tc>
      </w:tr>
      <w:tr>
        <w:trPr>
          <w:trHeight w:val="173"/>
        </w:trPr>
        <w:tc>
          <w:tcPr>
            <w:tcW w:w="6900" w:type="dxa"/>
            <w:vAlign w:val="bottom"/>
          </w:tcPr>
          <w:p>
            <w:pPr>
              <w:ind w:left="220"/>
              <w:spacing w:after="0"/>
              <w:rPr>
                <w:sz w:val="20"/>
                <w:szCs w:val="20"/>
                <w:color w:val="auto"/>
              </w:rPr>
            </w:pPr>
            <w:r>
              <w:rPr>
                <w:rFonts w:ascii="Arial" w:cs="Arial" w:eastAsia="Arial" w:hAnsi="Arial"/>
                <w:sz w:val="13"/>
                <w:szCs w:val="13"/>
                <w:color w:val="auto"/>
              </w:rPr>
              <w:t>Issuance of restricted shares of common stock for the acquisition of businesses</w:t>
            </w:r>
          </w:p>
        </w:tc>
        <w:tc>
          <w:tcPr>
            <w:tcW w:w="1940" w:type="dxa"/>
            <w:vAlign w:val="bottom"/>
          </w:tcPr>
          <w:p>
            <w:pPr>
              <w:jc w:val="right"/>
              <w:ind w:right="337"/>
              <w:spacing w:after="0"/>
              <w:rPr>
                <w:sz w:val="20"/>
                <w:szCs w:val="20"/>
                <w:color w:val="auto"/>
              </w:rPr>
            </w:pPr>
            <w:r>
              <w:rPr>
                <w:rFonts w:ascii="Arial" w:cs="Arial" w:eastAsia="Arial" w:hAnsi="Arial"/>
                <w:sz w:val="13"/>
                <w:szCs w:val="13"/>
                <w:color w:val="auto"/>
              </w:rPr>
              <w:t>$</w:t>
            </w:r>
          </w:p>
        </w:tc>
        <w:tc>
          <w:tcPr>
            <w:tcW w:w="86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560" w:type="dxa"/>
            <w:vAlign w:val="bottom"/>
          </w:tcPr>
          <w:p>
            <w:pPr>
              <w:jc w:val="right"/>
              <w:ind w:right="357"/>
              <w:spacing w:after="0"/>
              <w:rPr>
                <w:sz w:val="20"/>
                <w:szCs w:val="20"/>
                <w:color w:val="auto"/>
              </w:rPr>
            </w:pPr>
            <w:r>
              <w:rPr>
                <w:rFonts w:ascii="Arial" w:cs="Arial" w:eastAsia="Arial" w:hAnsi="Arial"/>
                <w:sz w:val="13"/>
                <w:szCs w:val="13"/>
                <w:color w:val="auto"/>
              </w:rPr>
              <w:t>$</w:t>
            </w:r>
          </w:p>
        </w:tc>
        <w:tc>
          <w:tcPr>
            <w:tcW w:w="820" w:type="dxa"/>
            <w:vAlign w:val="bottom"/>
          </w:tcPr>
          <w:p>
            <w:pPr>
              <w:jc w:val="right"/>
              <w:spacing w:after="0"/>
              <w:rPr>
                <w:sz w:val="20"/>
                <w:szCs w:val="20"/>
                <w:color w:val="auto"/>
              </w:rPr>
            </w:pPr>
            <w:r>
              <w:rPr>
                <w:rFonts w:ascii="Arial" w:cs="Arial" w:eastAsia="Arial" w:hAnsi="Arial"/>
                <w:sz w:val="13"/>
                <w:szCs w:val="13"/>
                <w:color w:val="auto"/>
              </w:rPr>
              <w:t>7,608</w:t>
            </w:r>
          </w:p>
        </w:tc>
      </w:tr>
      <w:tr>
        <w:trPr>
          <w:trHeight w:val="30"/>
        </w:trPr>
        <w:tc>
          <w:tcPr>
            <w:tcW w:w="6900" w:type="dxa"/>
            <w:vAlign w:val="bottom"/>
          </w:tcPr>
          <w:p>
            <w:pPr>
              <w:spacing w:after="0"/>
              <w:rPr>
                <w:sz w:val="2"/>
                <w:szCs w:val="2"/>
                <w:color w:val="auto"/>
              </w:rPr>
            </w:pPr>
          </w:p>
        </w:tc>
        <w:tc>
          <w:tcPr>
            <w:tcW w:w="1940" w:type="dxa"/>
            <w:vAlign w:val="bottom"/>
          </w:tcPr>
          <w:p>
            <w:pPr>
              <w:spacing w:after="0"/>
              <w:rPr>
                <w:sz w:val="2"/>
                <w:szCs w:val="2"/>
                <w:color w:val="auto"/>
              </w:rPr>
            </w:pPr>
          </w:p>
        </w:tc>
        <w:tc>
          <w:tcPr>
            <w:tcW w:w="860" w:type="dxa"/>
            <w:vAlign w:val="bottom"/>
          </w:tcPr>
          <w:p>
            <w:pPr>
              <w:spacing w:after="0"/>
              <w:rPr>
                <w:sz w:val="2"/>
                <w:szCs w:val="2"/>
                <w:color w:val="auto"/>
              </w:rPr>
            </w:pPr>
          </w:p>
        </w:tc>
        <w:tc>
          <w:tcPr>
            <w:tcW w:w="56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173"/>
        </w:trPr>
        <w:tc>
          <w:tcPr>
            <w:tcW w:w="6900" w:type="dxa"/>
            <w:vAlign w:val="bottom"/>
            <w:shd w:val="clear" w:color="auto" w:fill="CCEEFF"/>
          </w:tcPr>
          <w:p>
            <w:pPr>
              <w:ind w:left="220"/>
              <w:spacing w:after="0"/>
              <w:rPr>
                <w:sz w:val="20"/>
                <w:szCs w:val="20"/>
                <w:color w:val="auto"/>
              </w:rPr>
            </w:pPr>
            <w:r>
              <w:rPr>
                <w:rFonts w:ascii="Arial" w:cs="Arial" w:eastAsia="Arial" w:hAnsi="Arial"/>
                <w:sz w:val="13"/>
                <w:szCs w:val="13"/>
                <w:color w:val="auto"/>
              </w:rPr>
              <w:t>Acquisition holdback</w:t>
            </w:r>
          </w:p>
        </w:tc>
        <w:tc>
          <w:tcPr>
            <w:tcW w:w="1940" w:type="dxa"/>
            <w:vAlign w:val="bottom"/>
            <w:shd w:val="clear" w:color="auto" w:fill="CCEEFF"/>
          </w:tcPr>
          <w:p>
            <w:pPr>
              <w:jc w:val="right"/>
              <w:ind w:right="337"/>
              <w:spacing w:after="0"/>
              <w:rPr>
                <w:sz w:val="20"/>
                <w:szCs w:val="20"/>
                <w:color w:val="auto"/>
              </w:rPr>
            </w:pPr>
            <w:r>
              <w:rPr>
                <w:rFonts w:ascii="Arial" w:cs="Arial" w:eastAsia="Arial" w:hAnsi="Arial"/>
                <w:sz w:val="13"/>
                <w:szCs w:val="13"/>
                <w:color w:val="auto"/>
              </w:rPr>
              <w:t>$</w:t>
            </w:r>
          </w:p>
        </w:tc>
        <w:tc>
          <w:tcPr>
            <w:tcW w:w="8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750</w:t>
            </w:r>
          </w:p>
        </w:tc>
        <w:tc>
          <w:tcPr>
            <w:tcW w:w="560" w:type="dxa"/>
            <w:vAlign w:val="bottom"/>
            <w:shd w:val="clear" w:color="auto" w:fill="CCEEFF"/>
          </w:tcPr>
          <w:p>
            <w:pPr>
              <w:jc w:val="right"/>
              <w:ind w:right="357"/>
              <w:spacing w:after="0"/>
              <w:rPr>
                <w:sz w:val="20"/>
                <w:szCs w:val="20"/>
                <w:color w:val="auto"/>
              </w:rPr>
            </w:pPr>
            <w:r>
              <w:rPr>
                <w:rFonts w:ascii="Arial" w:cs="Arial" w:eastAsia="Arial" w:hAnsi="Arial"/>
                <w:sz w:val="13"/>
                <w:szCs w:val="13"/>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5,473</w:t>
            </w:r>
          </w:p>
        </w:tc>
      </w:tr>
      <w:tr>
        <w:trPr>
          <w:trHeight w:val="30"/>
        </w:trPr>
        <w:tc>
          <w:tcPr>
            <w:tcW w:w="6900" w:type="dxa"/>
            <w:vAlign w:val="bottom"/>
            <w:shd w:val="clear" w:color="auto" w:fill="CCEEFF"/>
          </w:tcPr>
          <w:p>
            <w:pPr>
              <w:spacing w:after="0"/>
              <w:rPr>
                <w:sz w:val="2"/>
                <w:szCs w:val="2"/>
                <w:color w:val="auto"/>
              </w:rPr>
            </w:pPr>
          </w:p>
        </w:tc>
        <w:tc>
          <w:tcPr>
            <w:tcW w:w="194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029450" cy="22288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029450" cy="222885"/>
                    </a:xfrm>
                    <a:prstGeom prst="rect">
                      <a:avLst/>
                    </a:prstGeom>
                    <a:noFill/>
                  </pic:spPr>
                </pic:pic>
              </a:graphicData>
            </a:graphic>
          </wp:anchor>
        </w:drawing>
      </w:r>
    </w:p>
    <w:p>
      <w:pPr>
        <w:spacing w:after="0" w:line="97" w:lineRule="exact"/>
        <w:rPr>
          <w:sz w:val="20"/>
          <w:szCs w:val="20"/>
          <w:color w:val="auto"/>
        </w:rPr>
      </w:pPr>
    </w:p>
    <w:p>
      <w:pPr>
        <w:ind w:left="20" w:right="420"/>
        <w:spacing w:after="0" w:line="262" w:lineRule="auto"/>
        <w:rPr>
          <w:sz w:val="20"/>
          <w:szCs w:val="20"/>
          <w:color w:val="auto"/>
        </w:rPr>
      </w:pPr>
      <w:r>
        <w:rPr>
          <w:rFonts w:ascii="Arial" w:cs="Arial" w:eastAsia="Arial" w:hAnsi="Arial"/>
          <w:sz w:val="13"/>
          <w:szCs w:val="13"/>
          <w:b w:val="1"/>
          <w:bCs w:val="1"/>
          <w:color w:val="auto"/>
        </w:rPr>
        <w:t>RECONCILIATION OF CASH, CASH EQUIVALENTS AND RESTRICTED CASH WITHIN THE CONDENSED CONSOLIDATED BALANCE SHEETS TO THE AMOUNTS SHOWN IN THE STATEMENTS OF CASH FLOWS ABOVE:</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8360" w:type="dxa"/>
            <w:vAlign w:val="bottom"/>
          </w:tcPr>
          <w:p>
            <w:pPr>
              <w:ind w:left="140"/>
              <w:spacing w:after="0"/>
              <w:rPr>
                <w:sz w:val="20"/>
                <w:szCs w:val="20"/>
                <w:color w:val="auto"/>
              </w:rPr>
            </w:pPr>
            <w:r>
              <w:rPr>
                <w:rFonts w:ascii="Arial" w:cs="Arial" w:eastAsia="Arial" w:hAnsi="Arial"/>
                <w:sz w:val="13"/>
                <w:szCs w:val="13"/>
                <w:color w:val="auto"/>
              </w:rPr>
              <w:t>Cash and cash equivalents</w:t>
            </w:r>
          </w:p>
        </w:tc>
        <w:tc>
          <w:tcPr>
            <w:tcW w:w="460" w:type="dxa"/>
            <w:vAlign w:val="bottom"/>
          </w:tcPr>
          <w:p>
            <w:pPr>
              <w:jc w:val="right"/>
              <w:ind w:right="317"/>
              <w:spacing w:after="0"/>
              <w:rPr>
                <w:sz w:val="20"/>
                <w:szCs w:val="20"/>
                <w:color w:val="auto"/>
              </w:rPr>
            </w:pPr>
            <w:r>
              <w:rPr>
                <w:rFonts w:ascii="Arial" w:cs="Arial" w:eastAsia="Arial" w:hAnsi="Arial"/>
                <w:sz w:val="13"/>
                <w:szCs w:val="13"/>
                <w:color w:val="auto"/>
                <w:w w:val="82"/>
              </w:rPr>
              <w:t>$</w:t>
            </w:r>
          </w:p>
        </w:tc>
        <w:tc>
          <w:tcPr>
            <w:tcW w:w="840" w:type="dxa"/>
            <w:vAlign w:val="bottom"/>
          </w:tcPr>
          <w:p>
            <w:pPr>
              <w:jc w:val="right"/>
              <w:spacing w:after="0"/>
              <w:rPr>
                <w:sz w:val="20"/>
                <w:szCs w:val="20"/>
                <w:color w:val="auto"/>
              </w:rPr>
            </w:pPr>
            <w:r>
              <w:rPr>
                <w:rFonts w:ascii="Arial" w:cs="Arial" w:eastAsia="Arial" w:hAnsi="Arial"/>
                <w:sz w:val="13"/>
                <w:szCs w:val="13"/>
                <w:color w:val="auto"/>
              </w:rPr>
              <w:t>261,309</w:t>
            </w:r>
          </w:p>
        </w:tc>
        <w:tc>
          <w:tcPr>
            <w:tcW w:w="100" w:type="dxa"/>
            <w:vAlign w:val="bottom"/>
          </w:tcPr>
          <w:p>
            <w:pPr>
              <w:spacing w:after="0"/>
              <w:rPr>
                <w:sz w:val="13"/>
                <w:szCs w:val="13"/>
                <w:color w:val="auto"/>
              </w:rPr>
            </w:pPr>
          </w:p>
        </w:tc>
        <w:tc>
          <w:tcPr>
            <w:tcW w:w="460" w:type="dxa"/>
            <w:vAlign w:val="bottom"/>
          </w:tcPr>
          <w:p>
            <w:pPr>
              <w:jc w:val="right"/>
              <w:ind w:right="317"/>
              <w:spacing w:after="0"/>
              <w:rPr>
                <w:sz w:val="20"/>
                <w:szCs w:val="20"/>
                <w:color w:val="auto"/>
              </w:rPr>
            </w:pPr>
            <w:r>
              <w:rPr>
                <w:rFonts w:ascii="Arial" w:cs="Arial" w:eastAsia="Arial" w:hAnsi="Arial"/>
                <w:sz w:val="13"/>
                <w:szCs w:val="13"/>
                <w:color w:val="auto"/>
                <w:w w:val="82"/>
              </w:rPr>
              <w:t>$</w:t>
            </w:r>
          </w:p>
        </w:tc>
        <w:tc>
          <w:tcPr>
            <w:tcW w:w="860" w:type="dxa"/>
            <w:vAlign w:val="bottom"/>
          </w:tcPr>
          <w:p>
            <w:pPr>
              <w:jc w:val="right"/>
              <w:spacing w:after="0"/>
              <w:rPr>
                <w:sz w:val="20"/>
                <w:szCs w:val="20"/>
                <w:color w:val="auto"/>
              </w:rPr>
            </w:pPr>
            <w:r>
              <w:rPr>
                <w:rFonts w:ascii="Arial" w:cs="Arial" w:eastAsia="Arial" w:hAnsi="Arial"/>
                <w:sz w:val="13"/>
                <w:szCs w:val="13"/>
                <w:color w:val="auto"/>
              </w:rPr>
              <w:t>294,815</w:t>
            </w:r>
          </w:p>
        </w:tc>
      </w:tr>
      <w:tr>
        <w:trPr>
          <w:trHeight w:val="30"/>
        </w:trPr>
        <w:tc>
          <w:tcPr>
            <w:tcW w:w="8360" w:type="dxa"/>
            <w:vAlign w:val="bottom"/>
          </w:tcPr>
          <w:p>
            <w:pPr>
              <w:spacing w:after="0"/>
              <w:rPr>
                <w:sz w:val="2"/>
                <w:szCs w:val="2"/>
                <w:color w:val="auto"/>
              </w:rPr>
            </w:pPr>
          </w:p>
        </w:tc>
        <w:tc>
          <w:tcPr>
            <w:tcW w:w="4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03"/>
        </w:trPr>
        <w:tc>
          <w:tcPr>
            <w:tcW w:w="83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3"/>
                <w:szCs w:val="13"/>
                <w:color w:val="auto"/>
              </w:rPr>
              <w:t>Restricted cash</w:t>
            </w:r>
          </w:p>
        </w:tc>
        <w:tc>
          <w:tcPr>
            <w:tcW w:w="46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46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3,019</w:t>
            </w:r>
          </w:p>
        </w:tc>
      </w:tr>
      <w:tr>
        <w:trPr>
          <w:trHeight w:val="195"/>
        </w:trPr>
        <w:tc>
          <w:tcPr>
            <w:tcW w:w="8360" w:type="dxa"/>
            <w:vAlign w:val="bottom"/>
          </w:tcPr>
          <w:p>
            <w:pPr>
              <w:ind w:left="220"/>
              <w:spacing w:after="0"/>
              <w:rPr>
                <w:sz w:val="20"/>
                <w:szCs w:val="20"/>
                <w:color w:val="auto"/>
              </w:rPr>
            </w:pPr>
            <w:r>
              <w:rPr>
                <w:rFonts w:ascii="Arial" w:cs="Arial" w:eastAsia="Arial" w:hAnsi="Arial"/>
                <w:sz w:val="13"/>
                <w:szCs w:val="13"/>
                <w:color w:val="auto"/>
              </w:rPr>
              <w:t>Total cash, cash equivalents and restricted cash</w:t>
            </w:r>
          </w:p>
        </w:tc>
        <w:tc>
          <w:tcPr>
            <w:tcW w:w="460" w:type="dxa"/>
            <w:vAlign w:val="bottom"/>
            <w:tcBorders>
              <w:top w:val="single" w:sz="8" w:color="auto"/>
              <w:bottom w:val="single" w:sz="8" w:color="auto"/>
            </w:tcBorders>
          </w:tcPr>
          <w:p>
            <w:pPr>
              <w:jc w:val="right"/>
              <w:ind w:right="317"/>
              <w:spacing w:after="0"/>
              <w:rPr>
                <w:sz w:val="20"/>
                <w:szCs w:val="20"/>
                <w:color w:val="auto"/>
              </w:rPr>
            </w:pPr>
            <w:r>
              <w:rPr>
                <w:rFonts w:ascii="Arial" w:cs="Arial" w:eastAsia="Arial" w:hAnsi="Arial"/>
                <w:sz w:val="13"/>
                <w:szCs w:val="13"/>
                <w:color w:val="auto"/>
                <w:w w:val="82"/>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261,309</w:t>
            </w:r>
          </w:p>
        </w:tc>
        <w:tc>
          <w:tcPr>
            <w:tcW w:w="100" w:type="dxa"/>
            <w:vAlign w:val="bottom"/>
          </w:tcPr>
          <w:p>
            <w:pPr>
              <w:spacing w:after="0"/>
              <w:rPr>
                <w:sz w:val="16"/>
                <w:szCs w:val="16"/>
                <w:color w:val="auto"/>
              </w:rPr>
            </w:pPr>
          </w:p>
        </w:tc>
        <w:tc>
          <w:tcPr>
            <w:tcW w:w="460" w:type="dxa"/>
            <w:vAlign w:val="bottom"/>
            <w:tcBorders>
              <w:top w:val="single" w:sz="8" w:color="auto"/>
              <w:bottom w:val="single" w:sz="8" w:color="auto"/>
            </w:tcBorders>
          </w:tcPr>
          <w:p>
            <w:pPr>
              <w:jc w:val="right"/>
              <w:ind w:right="317"/>
              <w:spacing w:after="0"/>
              <w:rPr>
                <w:sz w:val="20"/>
                <w:szCs w:val="20"/>
                <w:color w:val="auto"/>
              </w:rPr>
            </w:pPr>
            <w:r>
              <w:rPr>
                <w:rFonts w:ascii="Arial" w:cs="Arial" w:eastAsia="Arial" w:hAnsi="Arial"/>
                <w:sz w:val="13"/>
                <w:szCs w:val="13"/>
                <w:color w:val="auto"/>
                <w:w w:val="82"/>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297,834</w:t>
            </w:r>
          </w:p>
        </w:tc>
      </w:tr>
      <w:tr>
        <w:trPr>
          <w:trHeight w:val="22"/>
        </w:trPr>
        <w:tc>
          <w:tcPr>
            <w:tcW w:w="836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 to condensed consolidated financial statements.</w:t>
      </w:r>
    </w:p>
    <w:p>
      <w:pPr>
        <w:sectPr>
          <w:pgSz w:w="11900" w:h="16838" w:orient="portrait"/>
          <w:cols w:equalWidth="0" w:num="1">
            <w:col w:w="11080"/>
          </w:cols>
          <w:pgMar w:left="320" w:top="1093" w:right="499" w:bottom="1440" w:gutter="0" w:footer="0" w:header="0"/>
          <w:type w:val="continuous"/>
        </w:sectPr>
      </w:pPr>
    </w:p>
    <w:p>
      <w:pPr>
        <w:spacing w:after="0" w:line="63" w:lineRule="exact"/>
        <w:rPr>
          <w:sz w:val="20"/>
          <w:szCs w:val="20"/>
          <w:color w:val="auto"/>
        </w:rPr>
      </w:pPr>
    </w:p>
    <w:p>
      <w:pPr>
        <w:jc w:val="center"/>
        <w:ind w:right="-159"/>
        <w:spacing w:after="0"/>
        <w:rPr>
          <w:sz w:val="20"/>
          <w:szCs w:val="20"/>
          <w:color w:val="auto"/>
        </w:rPr>
      </w:pPr>
      <w:r>
        <w:rPr>
          <w:rFonts w:ascii="Arial" w:cs="Arial" w:eastAsia="Arial" w:hAnsi="Arial"/>
          <w:sz w:val="13"/>
          <w:szCs w:val="13"/>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107315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320" w:top="1093" w:right="499" w:bottom="1440" w:gutter="0" w:footer="0" w:header="0"/>
          <w:type w:val="continuous"/>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DATADOG, INC.</w:t>
      </w:r>
    </w:p>
    <w:p>
      <w:pPr>
        <w:spacing w:after="0" w:line="225" w:lineRule="exact"/>
        <w:rPr>
          <w:sz w:val="20"/>
          <w:szCs w:val="20"/>
          <w:color w:val="auto"/>
        </w:rPr>
      </w:pPr>
    </w:p>
    <w:p>
      <w:pPr>
        <w:ind w:left="2680"/>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Organization and Description of Business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Description of Business</w:t>
      </w:r>
    </w:p>
    <w:p>
      <w:pPr>
        <w:spacing w:after="0" w:line="225" w:lineRule="exact"/>
        <w:rPr>
          <w:sz w:val="20"/>
          <w:szCs w:val="20"/>
          <w:color w:val="auto"/>
        </w:rPr>
      </w:pPr>
    </w:p>
    <w:p>
      <w:pPr>
        <w:jc w:val="both"/>
        <w:ind w:firstLine="486"/>
        <w:spacing w:after="0" w:line="279" w:lineRule="auto"/>
        <w:rPr>
          <w:sz w:val="20"/>
          <w:szCs w:val="20"/>
          <w:color w:val="auto"/>
        </w:rPr>
      </w:pPr>
      <w:r>
        <w:rPr>
          <w:rFonts w:ascii="Arial" w:cs="Arial" w:eastAsia="Arial" w:hAnsi="Arial"/>
          <w:sz w:val="17"/>
          <w:szCs w:val="17"/>
          <w:color w:val="auto"/>
        </w:rPr>
        <w:t>Datadog, Inc. (“Datadog” or the “Company”) was incorporated in the State of Delaware on June 4, 2010. The Company is the observability and security platform for cloud applications. The Company’s SaaS platform integrates and automates infrastructure monitoring, application performance monitoring, log management, real-user monitoring, and many other capabilities to provide unified, real-time observability and security of its customers’ entire technology stack. The Company is headquartered in New York City and has various other global office locations.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Basis of Presentation and Summary of Significant Accounting Policies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Unaudited Interim Condensed Consolidated Financial Information</w:t>
      </w:r>
    </w:p>
    <w:p>
      <w:pPr>
        <w:spacing w:after="0" w:line="225" w:lineRule="exact"/>
        <w:rPr>
          <w:sz w:val="20"/>
          <w:szCs w:val="20"/>
          <w:color w:val="auto"/>
        </w:rPr>
      </w:pPr>
    </w:p>
    <w:p>
      <w:pPr>
        <w:jc w:val="both"/>
        <w:ind w:firstLine="486"/>
        <w:spacing w:after="0" w:line="289" w:lineRule="auto"/>
        <w:rPr>
          <w:sz w:val="20"/>
          <w:szCs w:val="20"/>
          <w:color w:val="auto"/>
        </w:rPr>
      </w:pPr>
      <w:r>
        <w:rPr>
          <w:rFonts w:ascii="Arial" w:cs="Arial" w:eastAsia="Arial" w:hAnsi="Arial"/>
          <w:sz w:val="16"/>
          <w:szCs w:val="16"/>
          <w:color w:val="auto"/>
        </w:rPr>
        <w:t>The unaudited condensed consolidated financial statements include the accounts of Datadog, Inc. and its wholly-owned subsidiaries, and have been prepared in accordance with generally accepted accounting principles in the United States (“GAAP”) and following the requirements of the Securities and Exchange Commission (“SEC”) for interim reporting. As permitted under those rules, certain footnotes or other financial information that are normally required by GAAP can be condensed or omitted. These financial statements have been prepared on the same basis as the Company’s annual financial statements and, in the opinion of management, reflect all adjustments, consisting only of normal recurring adjustments, which are necessary for the fair statement of the Company’s financial information. These interim results are not necessarily indicative of the results to be expected for the fiscal year ending December 31, 2023 or for any other interim period or for any other future year. The accompanying unaudited condensed consolidated financial statements and related financial information should be read in conjunction with the audited consolidated financial statements and the related notes contained in the Company’s Annual Report on Form 10-K for the fiscal year ended December 31, 2022, as filed with the SEC on February 24, 2023 (the “Annual Report”).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22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accompanying condensed consolidated financial statements have been prepared in accordance with GAAP.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Principles of Consolidation</w:t>
      </w:r>
    </w:p>
    <w:p>
      <w:pPr>
        <w:spacing w:after="0" w:line="225"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The condensed consolidated financial statements include the accounts of Datadog, Inc. and its wholly-owned subsidiaries. All intercompany transactions and balances have been eliminated in consolidation.</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225" w:lineRule="exact"/>
        <w:rPr>
          <w:sz w:val="20"/>
          <w:szCs w:val="20"/>
          <w:color w:val="auto"/>
        </w:rPr>
      </w:pPr>
    </w:p>
    <w:p>
      <w:pPr>
        <w:jc w:val="both"/>
        <w:ind w:firstLine="486"/>
        <w:spacing w:after="0" w:line="290" w:lineRule="auto"/>
        <w:rPr>
          <w:sz w:val="20"/>
          <w:szCs w:val="20"/>
          <w:color w:val="auto"/>
        </w:rPr>
      </w:pPr>
      <w:r>
        <w:rPr>
          <w:rFonts w:ascii="Arial" w:cs="Arial" w:eastAsia="Arial" w:hAnsi="Arial"/>
          <w:sz w:val="16"/>
          <w:szCs w:val="16"/>
          <w:color w:val="auto"/>
        </w:rPr>
        <w:t>The preparation of condensed consolidated financial statements in conformity with GAAP requires management to make estimates and assumptions that affect the amounts reported in the condensed consolidated financial statements and accompanying notes. Such estimates include the fair value of marketable securities, the allowance for credit losses, the fair value of acquired assets and assumed liabilities from business combinations, useful lives of property, equipment, software and finite lived intangibles, stock-based compensation, valuation of long-lived assets and their recoverability, including goodwill, the incremental borrowing rate for operating leases, estimated expected period of benefit for deferred contract costs, fair value of the liability component of the convertible debt, realization of deferred tax assets and uncertain tax positions, revenue recognition and the allocation of overhead costs between cost of revenue and operating expenses. The Company bases its estimates on historical experience and also on assumptions that management considers reasonable. The Company assesses these estimates on a regular basis; however, actual results could materially differ from these estimates.</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color w:val="auto"/>
        </w:rPr>
        <w:t>3. Marketable Securities</w:t>
      </w:r>
    </w:p>
    <w:p>
      <w:pPr>
        <w:spacing w:after="0" w:line="229" w:lineRule="exact"/>
        <w:rPr>
          <w:sz w:val="20"/>
          <w:szCs w:val="20"/>
          <w:color w:val="auto"/>
        </w:rPr>
      </w:pPr>
    </w:p>
    <w:p>
      <w:pPr>
        <w:jc w:val="both"/>
        <w:ind w:firstLine="486"/>
        <w:spacing w:after="0" w:line="269" w:lineRule="auto"/>
        <w:rPr>
          <w:sz w:val="20"/>
          <w:szCs w:val="20"/>
          <w:color w:val="auto"/>
        </w:rPr>
      </w:pPr>
      <w:r>
        <w:rPr>
          <w:rFonts w:ascii="Arial" w:cs="Arial" w:eastAsia="Arial" w:hAnsi="Arial"/>
          <w:sz w:val="18"/>
          <w:szCs w:val="18"/>
          <w:color w:val="auto"/>
        </w:rPr>
        <w:t>The following is a summary of available-for-sale marketable securities, excluding those securities classified within cash and cash equivalents on the condensed consolidated balance sheets as of September 30, 2023 and December 31, 2022 (in thousands):</w:t>
      </w:r>
    </w:p>
    <w:tbl>
      <w:tblPr>
        <w:tblLayout w:type="fixed"/>
        <w:tblInd w:w="0" w:type="dxa"/>
        <w:tblCellMar>
          <w:top w:w="0" w:type="dxa"/>
          <w:left w:w="0" w:type="dxa"/>
          <w:bottom w:w="0" w:type="dxa"/>
          <w:right w:w="0" w:type="dxa"/>
        </w:tblCellMar>
      </w:tblPr>
      <w:tr>
        <w:trPr>
          <w:trHeight w:val="186"/>
        </w:trPr>
        <w:tc>
          <w:tcPr>
            <w:tcW w:w="5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640" w:type="dxa"/>
            <w:vAlign w:val="bottom"/>
            <w:gridSpan w:val="5"/>
          </w:tcPr>
          <w:p>
            <w:pPr>
              <w:ind w:left="560"/>
              <w:spacing w:after="0"/>
              <w:rPr>
                <w:sz w:val="20"/>
                <w:szCs w:val="20"/>
                <w:color w:val="auto"/>
              </w:rPr>
            </w:pPr>
            <w:r>
              <w:rPr>
                <w:rFonts w:ascii="Arial" w:cs="Arial" w:eastAsia="Arial" w:hAnsi="Arial"/>
                <w:sz w:val="14"/>
                <w:szCs w:val="14"/>
                <w:b w:val="1"/>
                <w:bCs w:val="1"/>
                <w:color w:val="auto"/>
              </w:rPr>
              <w:t>September 30, 2023</w:t>
            </w: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26"/>
        </w:trPr>
        <w:tc>
          <w:tcPr>
            <w:tcW w:w="56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133"/>
        </w:trPr>
        <w:tc>
          <w:tcPr>
            <w:tcW w:w="5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20" w:type="dxa"/>
            <w:vAlign w:val="bottom"/>
            <w:gridSpan w:val="2"/>
          </w:tcPr>
          <w:p>
            <w:pPr>
              <w:jc w:val="center"/>
              <w:ind w:right="320"/>
              <w:spacing w:after="0" w:line="133" w:lineRule="exact"/>
              <w:rPr>
                <w:sz w:val="20"/>
                <w:szCs w:val="20"/>
                <w:color w:val="auto"/>
              </w:rPr>
            </w:pPr>
            <w:r>
              <w:rPr>
                <w:rFonts w:ascii="Arial" w:cs="Arial" w:eastAsia="Arial" w:hAnsi="Arial"/>
                <w:sz w:val="14"/>
                <w:szCs w:val="14"/>
                <w:b w:val="1"/>
                <w:bCs w:val="1"/>
                <w:color w:val="auto"/>
                <w:w w:val="96"/>
              </w:rPr>
              <w:t>Amortized</w:t>
            </w:r>
          </w:p>
        </w:tc>
        <w:tc>
          <w:tcPr>
            <w:tcW w:w="220" w:type="dxa"/>
            <w:vAlign w:val="bottom"/>
          </w:tcPr>
          <w:p>
            <w:pPr>
              <w:spacing w:after="0"/>
              <w:rPr>
                <w:sz w:val="11"/>
                <w:szCs w:val="11"/>
                <w:color w:val="auto"/>
              </w:rPr>
            </w:pPr>
          </w:p>
        </w:tc>
        <w:tc>
          <w:tcPr>
            <w:tcW w:w="1200" w:type="dxa"/>
            <w:vAlign w:val="bottom"/>
            <w:gridSpan w:val="2"/>
          </w:tcPr>
          <w:p>
            <w:pPr>
              <w:jc w:val="center"/>
              <w:ind w:right="320"/>
              <w:spacing w:after="0" w:line="133" w:lineRule="exact"/>
              <w:rPr>
                <w:sz w:val="20"/>
                <w:szCs w:val="20"/>
                <w:color w:val="auto"/>
              </w:rPr>
            </w:pPr>
            <w:r>
              <w:rPr>
                <w:rFonts w:ascii="Arial" w:cs="Arial" w:eastAsia="Arial" w:hAnsi="Arial"/>
                <w:sz w:val="14"/>
                <w:szCs w:val="14"/>
                <w:b w:val="1"/>
                <w:bCs w:val="1"/>
                <w:color w:val="auto"/>
                <w:w w:val="95"/>
              </w:rPr>
              <w:t>Unrealized</w:t>
            </w:r>
          </w:p>
        </w:tc>
        <w:tc>
          <w:tcPr>
            <w:tcW w:w="220" w:type="dxa"/>
            <w:vAlign w:val="bottom"/>
          </w:tcPr>
          <w:p>
            <w:pPr>
              <w:spacing w:after="0"/>
              <w:rPr>
                <w:sz w:val="11"/>
                <w:szCs w:val="11"/>
                <w:color w:val="auto"/>
              </w:rPr>
            </w:pPr>
          </w:p>
        </w:tc>
        <w:tc>
          <w:tcPr>
            <w:tcW w:w="1220" w:type="dxa"/>
            <w:vAlign w:val="bottom"/>
            <w:gridSpan w:val="2"/>
          </w:tcPr>
          <w:p>
            <w:pPr>
              <w:jc w:val="center"/>
              <w:ind w:right="320"/>
              <w:spacing w:after="0" w:line="133" w:lineRule="exact"/>
              <w:rPr>
                <w:sz w:val="20"/>
                <w:szCs w:val="20"/>
                <w:color w:val="auto"/>
              </w:rPr>
            </w:pPr>
            <w:r>
              <w:rPr>
                <w:rFonts w:ascii="Arial" w:cs="Arial" w:eastAsia="Arial" w:hAnsi="Arial"/>
                <w:sz w:val="14"/>
                <w:szCs w:val="14"/>
                <w:b w:val="1"/>
                <w:bCs w:val="1"/>
                <w:color w:val="auto"/>
                <w:w w:val="93"/>
              </w:rPr>
              <w:t>Unrealized</w:t>
            </w:r>
          </w:p>
        </w:tc>
        <w:tc>
          <w:tcPr>
            <w:tcW w:w="300" w:type="dxa"/>
            <w:vAlign w:val="bottom"/>
          </w:tcPr>
          <w:p>
            <w:pPr>
              <w:spacing w:after="0"/>
              <w:rPr>
                <w:sz w:val="11"/>
                <w:szCs w:val="11"/>
                <w:color w:val="auto"/>
              </w:rPr>
            </w:pPr>
          </w:p>
        </w:tc>
        <w:tc>
          <w:tcPr>
            <w:tcW w:w="1020" w:type="dxa"/>
            <w:vAlign w:val="bottom"/>
          </w:tcPr>
          <w:p>
            <w:pPr>
              <w:jc w:val="center"/>
              <w:ind w:right="215"/>
              <w:spacing w:after="0" w:line="133" w:lineRule="exact"/>
              <w:rPr>
                <w:sz w:val="20"/>
                <w:szCs w:val="20"/>
                <w:color w:val="auto"/>
              </w:rPr>
            </w:pPr>
            <w:r>
              <w:rPr>
                <w:rFonts w:ascii="Arial" w:cs="Arial" w:eastAsia="Arial" w:hAnsi="Arial"/>
                <w:sz w:val="14"/>
                <w:szCs w:val="14"/>
                <w:b w:val="1"/>
                <w:bCs w:val="1"/>
                <w:color w:val="auto"/>
              </w:rPr>
              <w:t>Fair</w:t>
            </w:r>
          </w:p>
        </w:tc>
      </w:tr>
      <w:tr>
        <w:trPr>
          <w:trHeight w:val="192"/>
        </w:trPr>
        <w:tc>
          <w:tcPr>
            <w:tcW w:w="5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9"/>
              </w:rPr>
              <w:t>Cost</w:t>
            </w:r>
          </w:p>
        </w:tc>
        <w:tc>
          <w:tcPr>
            <w:tcW w:w="220" w:type="dxa"/>
            <w:vAlign w:val="bottom"/>
          </w:tcPr>
          <w:p>
            <w:pPr>
              <w:spacing w:after="0"/>
              <w:rPr>
                <w:sz w:val="16"/>
                <w:szCs w:val="16"/>
                <w:color w:val="auto"/>
              </w:rPr>
            </w:pPr>
          </w:p>
        </w:tc>
        <w:tc>
          <w:tcPr>
            <w:tcW w:w="12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6"/>
              </w:rPr>
              <w:t>Gain</w:t>
            </w:r>
          </w:p>
        </w:tc>
        <w:tc>
          <w:tcPr>
            <w:tcW w:w="220" w:type="dxa"/>
            <w:vAlign w:val="bottom"/>
          </w:tcPr>
          <w:p>
            <w:pPr>
              <w:spacing w:after="0"/>
              <w:rPr>
                <w:sz w:val="16"/>
                <w:szCs w:val="16"/>
                <w:color w:val="auto"/>
              </w:rPr>
            </w:pPr>
          </w:p>
        </w:tc>
        <w:tc>
          <w:tcPr>
            <w:tcW w:w="12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2"/>
              </w:rPr>
              <w:t>Losses</w:t>
            </w:r>
          </w:p>
        </w:tc>
        <w:tc>
          <w:tcPr>
            <w:tcW w:w="300" w:type="dxa"/>
            <w:vAlign w:val="bottom"/>
          </w:tcPr>
          <w:p>
            <w:pPr>
              <w:spacing w:after="0"/>
              <w:rPr>
                <w:sz w:val="16"/>
                <w:szCs w:val="16"/>
                <w:color w:val="auto"/>
              </w:rPr>
            </w:pPr>
          </w:p>
        </w:tc>
        <w:tc>
          <w:tcPr>
            <w:tcW w:w="1020" w:type="dxa"/>
            <w:vAlign w:val="bottom"/>
          </w:tcPr>
          <w:p>
            <w:pPr>
              <w:jc w:val="center"/>
              <w:ind w:right="215"/>
              <w:spacing w:after="0"/>
              <w:rPr>
                <w:sz w:val="20"/>
                <w:szCs w:val="20"/>
                <w:color w:val="auto"/>
              </w:rPr>
            </w:pPr>
            <w:r>
              <w:rPr>
                <w:rFonts w:ascii="Arial" w:cs="Arial" w:eastAsia="Arial" w:hAnsi="Arial"/>
                <w:sz w:val="14"/>
                <w:szCs w:val="14"/>
                <w:b w:val="1"/>
                <w:bCs w:val="1"/>
                <w:color w:val="auto"/>
                <w:w w:val="96"/>
              </w:rPr>
              <w:t>Value</w:t>
            </w:r>
          </w:p>
        </w:tc>
      </w:tr>
      <w:tr>
        <w:trPr>
          <w:trHeight w:val="229"/>
        </w:trPr>
        <w:tc>
          <w:tcPr>
            <w:tcW w:w="56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Corporate debt securities</w:t>
            </w: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656,522</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(3,810)</w:t>
            </w:r>
          </w:p>
        </w:tc>
        <w:tc>
          <w:tcPr>
            <w:tcW w:w="1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652,746</w:t>
            </w:r>
          </w:p>
        </w:tc>
      </w:tr>
      <w:tr>
        <w:trPr>
          <w:trHeight w:val="229"/>
        </w:trPr>
        <w:tc>
          <w:tcPr>
            <w:tcW w:w="5620" w:type="dxa"/>
            <w:vAlign w:val="bottom"/>
          </w:tcPr>
          <w:p>
            <w:pPr>
              <w:ind w:left="20"/>
              <w:spacing w:after="0"/>
              <w:rPr>
                <w:sz w:val="20"/>
                <w:szCs w:val="20"/>
                <w:color w:val="auto"/>
              </w:rPr>
            </w:pPr>
            <w:r>
              <w:rPr>
                <w:rFonts w:ascii="Arial" w:cs="Arial" w:eastAsia="Arial" w:hAnsi="Arial"/>
                <w:sz w:val="18"/>
                <w:szCs w:val="18"/>
                <w:color w:val="auto"/>
              </w:rPr>
              <w:t>Commercial paper</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667,820</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(291)</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667,535</w:t>
            </w:r>
          </w:p>
        </w:tc>
      </w:tr>
      <w:tr>
        <w:trPr>
          <w:trHeight w:val="229"/>
        </w:trPr>
        <w:tc>
          <w:tcPr>
            <w:tcW w:w="5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Certificates of deposit</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237,073</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237,056</w:t>
            </w:r>
          </w:p>
        </w:tc>
      </w:tr>
      <w:tr>
        <w:trPr>
          <w:trHeight w:val="230"/>
        </w:trPr>
        <w:tc>
          <w:tcPr>
            <w:tcW w:w="5620" w:type="dxa"/>
            <w:vAlign w:val="bottom"/>
          </w:tcPr>
          <w:p>
            <w:pPr>
              <w:ind w:left="20"/>
              <w:spacing w:after="0"/>
              <w:rPr>
                <w:sz w:val="20"/>
                <w:szCs w:val="20"/>
                <w:color w:val="auto"/>
              </w:rPr>
            </w:pPr>
            <w:r>
              <w:rPr>
                <w:rFonts w:ascii="Arial" w:cs="Arial" w:eastAsia="Arial" w:hAnsi="Arial"/>
                <w:sz w:val="18"/>
                <w:szCs w:val="18"/>
                <w:color w:val="auto"/>
              </w:rPr>
              <w:t>U.S. government treasury securities</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365,505</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(3,712)</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361,793</w:t>
            </w:r>
          </w:p>
        </w:tc>
      </w:tr>
      <w:tr>
        <w:trPr>
          <w:trHeight w:val="229"/>
        </w:trPr>
        <w:tc>
          <w:tcPr>
            <w:tcW w:w="5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U.S. government agency securities</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162,226</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(976)</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161,250</w:t>
            </w:r>
          </w:p>
        </w:tc>
      </w:tr>
      <w:tr>
        <w:trPr>
          <w:trHeight w:val="223"/>
        </w:trPr>
        <w:tc>
          <w:tcPr>
            <w:tcW w:w="5620" w:type="dxa"/>
            <w:vAlign w:val="bottom"/>
          </w:tcPr>
          <w:p>
            <w:pPr>
              <w:ind w:left="220"/>
              <w:spacing w:after="0"/>
              <w:rPr>
                <w:sz w:val="20"/>
                <w:szCs w:val="20"/>
                <w:color w:val="auto"/>
              </w:rPr>
            </w:pPr>
            <w:r>
              <w:rPr>
                <w:rFonts w:ascii="Arial" w:cs="Arial" w:eastAsia="Arial" w:hAnsi="Arial"/>
                <w:sz w:val="18"/>
                <w:szCs w:val="18"/>
                <w:color w:val="auto"/>
              </w:rPr>
              <w:t>Marketable securities</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2,089,146</w:t>
            </w:r>
          </w:p>
        </w:tc>
        <w:tc>
          <w:tcPr>
            <w:tcW w:w="12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98</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(8,864)</w:t>
            </w:r>
          </w:p>
        </w:tc>
        <w:tc>
          <w:tcPr>
            <w:tcW w:w="12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2,080,380</w:t>
            </w:r>
          </w:p>
        </w:tc>
      </w:tr>
      <w:tr>
        <w:trPr>
          <w:trHeight w:val="20"/>
        </w:trPr>
        <w:tc>
          <w:tcPr>
            <w:tcW w:w="56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292"/>
        </w:trPr>
        <w:tc>
          <w:tcPr>
            <w:tcW w:w="5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40" w:type="dxa"/>
            <w:vAlign w:val="bottom"/>
            <w:gridSpan w:val="5"/>
          </w:tcPr>
          <w:p>
            <w:pPr>
              <w:ind w:left="580"/>
              <w:spacing w:after="0"/>
              <w:rPr>
                <w:sz w:val="20"/>
                <w:szCs w:val="20"/>
                <w:color w:val="auto"/>
              </w:rPr>
            </w:pPr>
            <w:r>
              <w:rPr>
                <w:rFonts w:ascii="Arial" w:cs="Arial" w:eastAsia="Arial" w:hAnsi="Arial"/>
                <w:sz w:val="14"/>
                <w:szCs w:val="14"/>
                <w:b w:val="1"/>
                <w:bCs w:val="1"/>
                <w:color w:val="auto"/>
              </w:rPr>
              <w:t>December 31, 2022</w:t>
            </w: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26"/>
        </w:trPr>
        <w:tc>
          <w:tcPr>
            <w:tcW w:w="56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129"/>
        </w:trPr>
        <w:tc>
          <w:tcPr>
            <w:tcW w:w="5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20" w:type="dxa"/>
            <w:vAlign w:val="bottom"/>
            <w:gridSpan w:val="2"/>
          </w:tcPr>
          <w:p>
            <w:pPr>
              <w:jc w:val="center"/>
              <w:ind w:right="320"/>
              <w:spacing w:after="0" w:line="129" w:lineRule="exact"/>
              <w:rPr>
                <w:sz w:val="20"/>
                <w:szCs w:val="20"/>
                <w:color w:val="auto"/>
              </w:rPr>
            </w:pPr>
            <w:r>
              <w:rPr>
                <w:rFonts w:ascii="Arial" w:cs="Arial" w:eastAsia="Arial" w:hAnsi="Arial"/>
                <w:sz w:val="14"/>
                <w:szCs w:val="14"/>
                <w:b w:val="1"/>
                <w:bCs w:val="1"/>
                <w:color w:val="auto"/>
                <w:w w:val="96"/>
              </w:rPr>
              <w:t>Amortized</w:t>
            </w:r>
          </w:p>
        </w:tc>
        <w:tc>
          <w:tcPr>
            <w:tcW w:w="220" w:type="dxa"/>
            <w:vAlign w:val="bottom"/>
          </w:tcPr>
          <w:p>
            <w:pPr>
              <w:spacing w:after="0"/>
              <w:rPr>
                <w:sz w:val="11"/>
                <w:szCs w:val="11"/>
                <w:color w:val="auto"/>
              </w:rPr>
            </w:pPr>
          </w:p>
        </w:tc>
        <w:tc>
          <w:tcPr>
            <w:tcW w:w="1200" w:type="dxa"/>
            <w:vAlign w:val="bottom"/>
            <w:gridSpan w:val="2"/>
          </w:tcPr>
          <w:p>
            <w:pPr>
              <w:jc w:val="center"/>
              <w:ind w:right="320"/>
              <w:spacing w:after="0" w:line="129" w:lineRule="exact"/>
              <w:rPr>
                <w:sz w:val="20"/>
                <w:szCs w:val="20"/>
                <w:color w:val="auto"/>
              </w:rPr>
            </w:pPr>
            <w:r>
              <w:rPr>
                <w:rFonts w:ascii="Arial" w:cs="Arial" w:eastAsia="Arial" w:hAnsi="Arial"/>
                <w:sz w:val="14"/>
                <w:szCs w:val="14"/>
                <w:b w:val="1"/>
                <w:bCs w:val="1"/>
                <w:color w:val="auto"/>
                <w:w w:val="95"/>
              </w:rPr>
              <w:t>Unrealized</w:t>
            </w:r>
          </w:p>
        </w:tc>
        <w:tc>
          <w:tcPr>
            <w:tcW w:w="220" w:type="dxa"/>
            <w:vAlign w:val="bottom"/>
          </w:tcPr>
          <w:p>
            <w:pPr>
              <w:spacing w:after="0"/>
              <w:rPr>
                <w:sz w:val="11"/>
                <w:szCs w:val="11"/>
                <w:color w:val="auto"/>
              </w:rPr>
            </w:pPr>
          </w:p>
        </w:tc>
        <w:tc>
          <w:tcPr>
            <w:tcW w:w="1220" w:type="dxa"/>
            <w:vAlign w:val="bottom"/>
            <w:gridSpan w:val="2"/>
          </w:tcPr>
          <w:p>
            <w:pPr>
              <w:jc w:val="center"/>
              <w:ind w:right="320"/>
              <w:spacing w:after="0" w:line="129" w:lineRule="exact"/>
              <w:rPr>
                <w:sz w:val="20"/>
                <w:szCs w:val="20"/>
                <w:color w:val="auto"/>
              </w:rPr>
            </w:pPr>
            <w:r>
              <w:rPr>
                <w:rFonts w:ascii="Arial" w:cs="Arial" w:eastAsia="Arial" w:hAnsi="Arial"/>
                <w:sz w:val="14"/>
                <w:szCs w:val="14"/>
                <w:b w:val="1"/>
                <w:bCs w:val="1"/>
                <w:color w:val="auto"/>
                <w:w w:val="93"/>
              </w:rPr>
              <w:t>Unrealized</w:t>
            </w:r>
          </w:p>
        </w:tc>
        <w:tc>
          <w:tcPr>
            <w:tcW w:w="300" w:type="dxa"/>
            <w:vAlign w:val="bottom"/>
          </w:tcPr>
          <w:p>
            <w:pPr>
              <w:spacing w:after="0"/>
              <w:rPr>
                <w:sz w:val="11"/>
                <w:szCs w:val="11"/>
                <w:color w:val="auto"/>
              </w:rPr>
            </w:pPr>
          </w:p>
        </w:tc>
        <w:tc>
          <w:tcPr>
            <w:tcW w:w="1020" w:type="dxa"/>
            <w:vAlign w:val="bottom"/>
          </w:tcPr>
          <w:p>
            <w:pPr>
              <w:jc w:val="center"/>
              <w:ind w:right="215"/>
              <w:spacing w:after="0" w:line="129" w:lineRule="exact"/>
              <w:rPr>
                <w:sz w:val="20"/>
                <w:szCs w:val="20"/>
                <w:color w:val="auto"/>
              </w:rPr>
            </w:pPr>
            <w:r>
              <w:rPr>
                <w:rFonts w:ascii="Arial" w:cs="Arial" w:eastAsia="Arial" w:hAnsi="Arial"/>
                <w:sz w:val="14"/>
                <w:szCs w:val="14"/>
                <w:b w:val="1"/>
                <w:bCs w:val="1"/>
                <w:color w:val="auto"/>
              </w:rPr>
              <w:t>Fair</w:t>
            </w:r>
          </w:p>
        </w:tc>
      </w:tr>
      <w:tr>
        <w:trPr>
          <w:trHeight w:val="196"/>
        </w:trPr>
        <w:tc>
          <w:tcPr>
            <w:tcW w:w="5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9"/>
              </w:rPr>
              <w:t>Cost</w:t>
            </w:r>
          </w:p>
        </w:tc>
        <w:tc>
          <w:tcPr>
            <w:tcW w:w="220" w:type="dxa"/>
            <w:vAlign w:val="bottom"/>
          </w:tcPr>
          <w:p>
            <w:pPr>
              <w:spacing w:after="0"/>
              <w:rPr>
                <w:sz w:val="17"/>
                <w:szCs w:val="17"/>
                <w:color w:val="auto"/>
              </w:rPr>
            </w:pPr>
          </w:p>
        </w:tc>
        <w:tc>
          <w:tcPr>
            <w:tcW w:w="12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6"/>
              </w:rPr>
              <w:t>Gain</w:t>
            </w:r>
          </w:p>
        </w:tc>
        <w:tc>
          <w:tcPr>
            <w:tcW w:w="220" w:type="dxa"/>
            <w:vAlign w:val="bottom"/>
          </w:tcPr>
          <w:p>
            <w:pPr>
              <w:spacing w:after="0"/>
              <w:rPr>
                <w:sz w:val="17"/>
                <w:szCs w:val="17"/>
                <w:color w:val="auto"/>
              </w:rPr>
            </w:pPr>
          </w:p>
        </w:tc>
        <w:tc>
          <w:tcPr>
            <w:tcW w:w="12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2"/>
              </w:rPr>
              <w:t>Losses</w:t>
            </w:r>
          </w:p>
        </w:tc>
        <w:tc>
          <w:tcPr>
            <w:tcW w:w="300" w:type="dxa"/>
            <w:vAlign w:val="bottom"/>
          </w:tcPr>
          <w:p>
            <w:pPr>
              <w:spacing w:after="0"/>
              <w:rPr>
                <w:sz w:val="17"/>
                <w:szCs w:val="17"/>
                <w:color w:val="auto"/>
              </w:rPr>
            </w:pPr>
          </w:p>
        </w:tc>
        <w:tc>
          <w:tcPr>
            <w:tcW w:w="1020" w:type="dxa"/>
            <w:vAlign w:val="bottom"/>
          </w:tcPr>
          <w:p>
            <w:pPr>
              <w:jc w:val="center"/>
              <w:ind w:right="215"/>
              <w:spacing w:after="0"/>
              <w:rPr>
                <w:sz w:val="20"/>
                <w:szCs w:val="20"/>
                <w:color w:val="auto"/>
              </w:rPr>
            </w:pPr>
            <w:r>
              <w:rPr>
                <w:rFonts w:ascii="Arial" w:cs="Arial" w:eastAsia="Arial" w:hAnsi="Arial"/>
                <w:sz w:val="14"/>
                <w:szCs w:val="14"/>
                <w:b w:val="1"/>
                <w:bCs w:val="1"/>
                <w:color w:val="auto"/>
                <w:w w:val="96"/>
              </w:rPr>
              <w:t>Value</w:t>
            </w:r>
          </w:p>
        </w:tc>
      </w:tr>
      <w:tr>
        <w:trPr>
          <w:trHeight w:val="229"/>
        </w:trPr>
        <w:tc>
          <w:tcPr>
            <w:tcW w:w="56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Corporate debt securities</w:t>
            </w: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813,598</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(7,554)</w:t>
            </w:r>
          </w:p>
        </w:tc>
        <w:tc>
          <w:tcPr>
            <w:tcW w:w="1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806,108</w:t>
            </w:r>
          </w:p>
        </w:tc>
      </w:tr>
      <w:tr>
        <w:trPr>
          <w:trHeight w:val="229"/>
        </w:trPr>
        <w:tc>
          <w:tcPr>
            <w:tcW w:w="5620" w:type="dxa"/>
            <w:vAlign w:val="bottom"/>
          </w:tcPr>
          <w:p>
            <w:pPr>
              <w:ind w:left="20"/>
              <w:spacing w:after="0"/>
              <w:rPr>
                <w:sz w:val="20"/>
                <w:szCs w:val="20"/>
                <w:color w:val="auto"/>
              </w:rPr>
            </w:pPr>
            <w:r>
              <w:rPr>
                <w:rFonts w:ascii="Arial" w:cs="Arial" w:eastAsia="Arial" w:hAnsi="Arial"/>
                <w:sz w:val="18"/>
                <w:szCs w:val="18"/>
                <w:color w:val="auto"/>
              </w:rPr>
              <w:t>Commercial paper</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357,030</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(821)</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356,273</w:t>
            </w:r>
          </w:p>
        </w:tc>
      </w:tr>
      <w:tr>
        <w:trPr>
          <w:trHeight w:val="230"/>
        </w:trPr>
        <w:tc>
          <w:tcPr>
            <w:tcW w:w="5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Certificates of deposit</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174,080</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(587)</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173,530</w:t>
            </w:r>
          </w:p>
        </w:tc>
      </w:tr>
      <w:tr>
        <w:trPr>
          <w:trHeight w:val="229"/>
        </w:trPr>
        <w:tc>
          <w:tcPr>
            <w:tcW w:w="5620" w:type="dxa"/>
            <w:vAlign w:val="bottom"/>
          </w:tcPr>
          <w:p>
            <w:pPr>
              <w:ind w:left="20"/>
              <w:spacing w:after="0"/>
              <w:rPr>
                <w:sz w:val="20"/>
                <w:szCs w:val="20"/>
                <w:color w:val="auto"/>
              </w:rPr>
            </w:pPr>
            <w:r>
              <w:rPr>
                <w:rFonts w:ascii="Arial" w:cs="Arial" w:eastAsia="Arial" w:hAnsi="Arial"/>
                <w:sz w:val="18"/>
                <w:szCs w:val="18"/>
                <w:color w:val="auto"/>
              </w:rPr>
              <w:t>U.S. government treasury securities</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120,977</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(1,099)</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119,878</w:t>
            </w:r>
          </w:p>
        </w:tc>
      </w:tr>
      <w:tr>
        <w:trPr>
          <w:trHeight w:val="230"/>
        </w:trPr>
        <w:tc>
          <w:tcPr>
            <w:tcW w:w="5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U.S. government agency securities</w:t>
            </w:r>
          </w:p>
        </w:tc>
        <w:tc>
          <w:tcPr>
            <w:tcW w:w="2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89,718</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(178)</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89,552</w:t>
            </w:r>
          </w:p>
        </w:tc>
      </w:tr>
      <w:tr>
        <w:trPr>
          <w:trHeight w:val="223"/>
        </w:trPr>
        <w:tc>
          <w:tcPr>
            <w:tcW w:w="5620" w:type="dxa"/>
            <w:vAlign w:val="bottom"/>
          </w:tcPr>
          <w:p>
            <w:pPr>
              <w:ind w:left="220"/>
              <w:spacing w:after="0"/>
              <w:rPr>
                <w:sz w:val="20"/>
                <w:szCs w:val="20"/>
                <w:color w:val="auto"/>
              </w:rPr>
            </w:pPr>
            <w:r>
              <w:rPr>
                <w:rFonts w:ascii="Arial" w:cs="Arial" w:eastAsia="Arial" w:hAnsi="Arial"/>
                <w:sz w:val="18"/>
                <w:szCs w:val="18"/>
                <w:color w:val="auto"/>
              </w:rPr>
              <w:t>Marketable securities</w:t>
            </w: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1,555,403</w:t>
            </w: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177</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(10,239)</w:t>
            </w:r>
          </w:p>
        </w:tc>
        <w:tc>
          <w:tcPr>
            <w:tcW w:w="12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1,545,341</w:t>
            </w:r>
          </w:p>
        </w:tc>
      </w:tr>
      <w:tr>
        <w:trPr>
          <w:trHeight w:val="21"/>
        </w:trPr>
        <w:tc>
          <w:tcPr>
            <w:tcW w:w="56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83"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As of September 30, 2023, the fair values of available-for-sale marketable securities, by remaining contractual maturity, were as follows (in thousands):</w:t>
      </w:r>
    </w:p>
    <w:p>
      <w:pPr>
        <w:spacing w:after="0" w:line="212" w:lineRule="exact"/>
        <w:rPr>
          <w:sz w:val="20"/>
          <w:szCs w:val="20"/>
          <w:color w:val="auto"/>
        </w:rPr>
      </w:pPr>
    </w:p>
    <w:tbl>
      <w:tblPr>
        <w:tblLayout w:type="fixed"/>
        <w:tblInd w:w="2460" w:type="dxa"/>
        <w:tblCellMar>
          <w:top w:w="0" w:type="dxa"/>
          <w:left w:w="0" w:type="dxa"/>
          <w:bottom w:w="0" w:type="dxa"/>
          <w:right w:w="0" w:type="dxa"/>
        </w:tblCellMar>
      </w:tblPr>
      <w:tr>
        <w:trPr>
          <w:trHeight w:val="229"/>
        </w:trPr>
        <w:tc>
          <w:tcPr>
            <w:tcW w:w="4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Due within one year</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1,606,119</w:t>
            </w:r>
          </w:p>
        </w:tc>
      </w:tr>
      <w:tr>
        <w:trPr>
          <w:trHeight w:val="230"/>
        </w:trPr>
        <w:tc>
          <w:tcPr>
            <w:tcW w:w="49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Due in one year through five years</w:t>
            </w:r>
          </w:p>
        </w:tc>
        <w:tc>
          <w:tcPr>
            <w:tcW w:w="3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474,261</w:t>
            </w:r>
          </w:p>
        </w:tc>
      </w:tr>
      <w:tr>
        <w:trPr>
          <w:trHeight w:val="248"/>
        </w:trPr>
        <w:tc>
          <w:tcPr>
            <w:tcW w:w="49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2,080,380</w:t>
            </w:r>
          </w:p>
        </w:tc>
      </w:tr>
      <w:tr>
        <w:trPr>
          <w:trHeight w:val="20"/>
        </w:trPr>
        <w:tc>
          <w:tcPr>
            <w:tcW w:w="49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The Company does not believe that any unrealized losses are attributable to credit-related factors based on its evaluation of available evidence. To determine whether a decline in value is related to credit loss, the Company evaluates, among other factors: the extent to which the fair value is less than the amortized cost basis, changes to the rating of the security by a rating agency and any adverse conditions specifically related to an issuer of a security or its industry. Unrealized gains and losses on marketable securities are presented net of tax.</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color w:val="auto"/>
        </w:rPr>
        <w:t>4. Fair Value Measurements</w:t>
      </w:r>
    </w:p>
    <w:p>
      <w:pPr>
        <w:spacing w:after="0" w:line="229"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The following tables present information about the Company’s financial assets and liabilities that have been measured at fair value on a recurring basis as of September 30, 2023 and December 31, 2022, and indicate the fair value hierarchy of the valuation inputs utilized to determine such fair value (in thousands):</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6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3320" w:type="dxa"/>
            <w:vAlign w:val="bottom"/>
            <w:gridSpan w:val="9"/>
          </w:tcPr>
          <w:p>
            <w:pPr>
              <w:jc w:val="right"/>
              <w:ind w:right="150"/>
              <w:spacing w:after="0"/>
              <w:rPr>
                <w:sz w:val="20"/>
                <w:szCs w:val="20"/>
                <w:color w:val="auto"/>
              </w:rPr>
            </w:pPr>
            <w:r>
              <w:rPr>
                <w:rFonts w:ascii="Arial" w:cs="Arial" w:eastAsia="Arial" w:hAnsi="Arial"/>
                <w:sz w:val="14"/>
                <w:szCs w:val="14"/>
                <w:b w:val="1"/>
                <w:bCs w:val="1"/>
                <w:color w:val="auto"/>
                <w:w w:val="92"/>
              </w:rPr>
              <w:t>Fair Value Measurement as of September 30, 2023</w:t>
            </w:r>
          </w:p>
        </w:tc>
        <w:tc>
          <w:tcPr>
            <w:tcW w:w="1020" w:type="dxa"/>
            <w:vAlign w:val="bottom"/>
          </w:tcPr>
          <w:p>
            <w:pPr>
              <w:spacing w:after="0"/>
              <w:rPr>
                <w:sz w:val="16"/>
                <w:szCs w:val="16"/>
                <w:color w:val="auto"/>
              </w:rPr>
            </w:pPr>
          </w:p>
        </w:tc>
      </w:tr>
      <w:tr>
        <w:trPr>
          <w:trHeight w:val="26"/>
        </w:trPr>
        <w:tc>
          <w:tcPr>
            <w:tcW w:w="56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189"/>
        </w:trPr>
        <w:tc>
          <w:tcPr>
            <w:tcW w:w="56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jc w:val="right"/>
              <w:ind w:right="296"/>
              <w:spacing w:after="0"/>
              <w:rPr>
                <w:sz w:val="20"/>
                <w:szCs w:val="20"/>
                <w:color w:val="auto"/>
              </w:rPr>
            </w:pPr>
            <w:r>
              <w:rPr>
                <w:rFonts w:ascii="Arial" w:cs="Arial" w:eastAsia="Arial" w:hAnsi="Arial"/>
                <w:sz w:val="14"/>
                <w:szCs w:val="14"/>
                <w:b w:val="1"/>
                <w:bCs w:val="1"/>
                <w:color w:val="auto"/>
              </w:rPr>
              <w:t>Level 1</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60" w:type="dxa"/>
            <w:vAlign w:val="bottom"/>
            <w:gridSpan w:val="2"/>
          </w:tcPr>
          <w:p>
            <w:pPr>
              <w:ind w:left="160"/>
              <w:spacing w:after="0"/>
              <w:rPr>
                <w:sz w:val="20"/>
                <w:szCs w:val="20"/>
                <w:color w:val="auto"/>
              </w:rPr>
            </w:pPr>
            <w:r>
              <w:rPr>
                <w:rFonts w:ascii="Arial" w:cs="Arial" w:eastAsia="Arial" w:hAnsi="Arial"/>
                <w:sz w:val="14"/>
                <w:szCs w:val="14"/>
                <w:b w:val="1"/>
                <w:bCs w:val="1"/>
                <w:color w:val="auto"/>
              </w:rPr>
              <w:t>Level 2</w:t>
            </w:r>
          </w:p>
        </w:tc>
        <w:tc>
          <w:tcPr>
            <w:tcW w:w="280" w:type="dxa"/>
            <w:vAlign w:val="bottom"/>
          </w:tcPr>
          <w:p>
            <w:pPr>
              <w:spacing w:after="0"/>
              <w:rPr>
                <w:sz w:val="16"/>
                <w:szCs w:val="16"/>
                <w:color w:val="auto"/>
              </w:rPr>
            </w:pPr>
          </w:p>
        </w:tc>
        <w:tc>
          <w:tcPr>
            <w:tcW w:w="1140" w:type="dxa"/>
            <w:vAlign w:val="bottom"/>
            <w:gridSpan w:val="2"/>
          </w:tcPr>
          <w:p>
            <w:pPr>
              <w:ind w:left="160"/>
              <w:spacing w:after="0"/>
              <w:rPr>
                <w:sz w:val="20"/>
                <w:szCs w:val="20"/>
                <w:color w:val="auto"/>
              </w:rPr>
            </w:pPr>
            <w:r>
              <w:rPr>
                <w:rFonts w:ascii="Arial" w:cs="Arial" w:eastAsia="Arial" w:hAnsi="Arial"/>
                <w:sz w:val="14"/>
                <w:szCs w:val="14"/>
                <w:b w:val="1"/>
                <w:bCs w:val="1"/>
                <w:color w:val="auto"/>
              </w:rPr>
              <w:t>Level 3</w:t>
            </w:r>
          </w:p>
        </w:tc>
        <w:tc>
          <w:tcPr>
            <w:tcW w:w="300" w:type="dxa"/>
            <w:vAlign w:val="bottom"/>
          </w:tcPr>
          <w:p>
            <w:pPr>
              <w:spacing w:after="0"/>
              <w:rPr>
                <w:sz w:val="16"/>
                <w:szCs w:val="16"/>
                <w:color w:val="auto"/>
              </w:rPr>
            </w:pPr>
          </w:p>
        </w:tc>
        <w:tc>
          <w:tcPr>
            <w:tcW w:w="1020" w:type="dxa"/>
            <w:vAlign w:val="bottom"/>
          </w:tcPr>
          <w:p>
            <w:pPr>
              <w:jc w:val="right"/>
              <w:ind w:right="412"/>
              <w:spacing w:after="0"/>
              <w:rPr>
                <w:sz w:val="20"/>
                <w:szCs w:val="20"/>
                <w:color w:val="auto"/>
              </w:rPr>
            </w:pPr>
            <w:r>
              <w:rPr>
                <w:rFonts w:ascii="Arial" w:cs="Arial" w:eastAsia="Arial" w:hAnsi="Arial"/>
                <w:sz w:val="14"/>
                <w:szCs w:val="14"/>
                <w:b w:val="1"/>
                <w:bCs w:val="1"/>
                <w:color w:val="auto"/>
              </w:rPr>
              <w:t>Total</w:t>
            </w:r>
          </w:p>
        </w:tc>
      </w:tr>
      <w:tr>
        <w:trPr>
          <w:trHeight w:val="216"/>
        </w:trPr>
        <w:tc>
          <w:tcPr>
            <w:tcW w:w="56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Financial Assets:</w:t>
            </w:r>
          </w:p>
        </w:tc>
        <w:tc>
          <w:tcPr>
            <w:tcW w:w="28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r>
      <w:tr>
        <w:trPr>
          <w:trHeight w:val="229"/>
        </w:trPr>
        <w:tc>
          <w:tcPr>
            <w:tcW w:w="5640" w:type="dxa"/>
            <w:vAlign w:val="bottom"/>
          </w:tcPr>
          <w:p>
            <w:pPr>
              <w:ind w:left="20"/>
              <w:spacing w:after="0"/>
              <w:rPr>
                <w:sz w:val="20"/>
                <w:szCs w:val="20"/>
                <w:color w:val="auto"/>
              </w:rPr>
            </w:pPr>
            <w:r>
              <w:rPr>
                <w:rFonts w:ascii="Arial" w:cs="Arial" w:eastAsia="Arial" w:hAnsi="Arial"/>
                <w:sz w:val="18"/>
                <w:szCs w:val="18"/>
                <w:color w:val="auto"/>
              </w:rPr>
              <w:t>Cash equivalents:</w:t>
            </w: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30"/>
        </w:trPr>
        <w:tc>
          <w:tcPr>
            <w:tcW w:w="56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Money market funds</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223,250</w:t>
            </w:r>
          </w:p>
        </w:tc>
        <w:tc>
          <w:tcPr>
            <w:tcW w:w="440" w:type="dxa"/>
            <w:vAlign w:val="bottom"/>
            <w:gridSpan w:val="3"/>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223,250</w:t>
            </w:r>
          </w:p>
        </w:tc>
      </w:tr>
      <w:tr>
        <w:trPr>
          <w:trHeight w:val="229"/>
        </w:trPr>
        <w:tc>
          <w:tcPr>
            <w:tcW w:w="5640" w:type="dxa"/>
            <w:vAlign w:val="bottom"/>
          </w:tcPr>
          <w:p>
            <w:pPr>
              <w:ind w:left="240"/>
              <w:spacing w:after="0"/>
              <w:rPr>
                <w:sz w:val="20"/>
                <w:szCs w:val="20"/>
                <w:color w:val="auto"/>
              </w:rPr>
            </w:pPr>
            <w:r>
              <w:rPr>
                <w:rFonts w:ascii="Arial" w:cs="Arial" w:eastAsia="Arial" w:hAnsi="Arial"/>
                <w:sz w:val="18"/>
                <w:szCs w:val="18"/>
                <w:color w:val="auto"/>
              </w:rPr>
              <w:t>Corporate debt securities</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10,605</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10,605</w:t>
            </w:r>
          </w:p>
        </w:tc>
      </w:tr>
      <w:tr>
        <w:trPr>
          <w:trHeight w:val="230"/>
        </w:trPr>
        <w:tc>
          <w:tcPr>
            <w:tcW w:w="5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Marketable Securities:</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29"/>
        </w:trPr>
        <w:tc>
          <w:tcPr>
            <w:tcW w:w="5640" w:type="dxa"/>
            <w:vAlign w:val="bottom"/>
          </w:tcPr>
          <w:p>
            <w:pPr>
              <w:ind w:left="240"/>
              <w:spacing w:after="0"/>
              <w:rPr>
                <w:sz w:val="20"/>
                <w:szCs w:val="20"/>
                <w:color w:val="auto"/>
              </w:rPr>
            </w:pPr>
            <w:r>
              <w:rPr>
                <w:rFonts w:ascii="Arial" w:cs="Arial" w:eastAsia="Arial" w:hAnsi="Arial"/>
                <w:sz w:val="18"/>
                <w:szCs w:val="18"/>
                <w:color w:val="auto"/>
              </w:rPr>
              <w:t>Corporate debt securities</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652,746</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652,746</w:t>
            </w:r>
          </w:p>
        </w:tc>
      </w:tr>
      <w:tr>
        <w:trPr>
          <w:trHeight w:val="229"/>
        </w:trPr>
        <w:tc>
          <w:tcPr>
            <w:tcW w:w="56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Commercial paper</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667,535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667,535</w:t>
            </w:r>
          </w:p>
        </w:tc>
      </w:tr>
      <w:tr>
        <w:trPr>
          <w:trHeight w:val="230"/>
        </w:trPr>
        <w:tc>
          <w:tcPr>
            <w:tcW w:w="5640" w:type="dxa"/>
            <w:vAlign w:val="bottom"/>
          </w:tcPr>
          <w:p>
            <w:pPr>
              <w:ind w:left="240"/>
              <w:spacing w:after="0"/>
              <w:rPr>
                <w:sz w:val="20"/>
                <w:szCs w:val="20"/>
                <w:color w:val="auto"/>
              </w:rPr>
            </w:pPr>
            <w:r>
              <w:rPr>
                <w:rFonts w:ascii="Arial" w:cs="Arial" w:eastAsia="Arial" w:hAnsi="Arial"/>
                <w:sz w:val="18"/>
                <w:szCs w:val="18"/>
                <w:color w:val="auto"/>
              </w:rPr>
              <w:t>Certificates of deposit</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237,056</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237,056</w:t>
            </w:r>
          </w:p>
        </w:tc>
      </w:tr>
      <w:tr>
        <w:trPr>
          <w:trHeight w:val="229"/>
        </w:trPr>
        <w:tc>
          <w:tcPr>
            <w:tcW w:w="56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U.S. government treasury securities</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361,793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361,793</w:t>
            </w:r>
          </w:p>
        </w:tc>
      </w:tr>
      <w:tr>
        <w:trPr>
          <w:trHeight w:val="230"/>
        </w:trPr>
        <w:tc>
          <w:tcPr>
            <w:tcW w:w="5640" w:type="dxa"/>
            <w:vAlign w:val="bottom"/>
          </w:tcPr>
          <w:p>
            <w:pPr>
              <w:ind w:left="240"/>
              <w:spacing w:after="0"/>
              <w:rPr>
                <w:sz w:val="20"/>
                <w:szCs w:val="20"/>
                <w:color w:val="auto"/>
              </w:rPr>
            </w:pPr>
            <w:r>
              <w:rPr>
                <w:rFonts w:ascii="Arial" w:cs="Arial" w:eastAsia="Arial" w:hAnsi="Arial"/>
                <w:sz w:val="18"/>
                <w:szCs w:val="18"/>
                <w:color w:val="auto"/>
              </w:rPr>
              <w:t>U.S. government agency securities</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161,250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161,250</w:t>
            </w:r>
          </w:p>
        </w:tc>
      </w:tr>
      <w:tr>
        <w:trPr>
          <w:trHeight w:val="248"/>
        </w:trPr>
        <w:tc>
          <w:tcPr>
            <w:tcW w:w="5640" w:type="dxa"/>
            <w:vAlign w:val="bottom"/>
            <w:tcBorders>
              <w:top w:val="single" w:sz="8" w:color="CCEEFF"/>
              <w:bottom w:val="single" w:sz="8" w:color="CCEEFF"/>
            </w:tcBorders>
            <w:shd w:val="clear" w:color="auto" w:fill="CCEEFF"/>
          </w:tcPr>
          <w:p>
            <w:pPr>
              <w:ind w:left="560"/>
              <w:spacing w:after="0"/>
              <w:rPr>
                <w:sz w:val="20"/>
                <w:szCs w:val="20"/>
                <w:color w:val="auto"/>
              </w:rPr>
            </w:pPr>
            <w:r>
              <w:rPr>
                <w:rFonts w:ascii="Arial" w:cs="Arial" w:eastAsia="Arial" w:hAnsi="Arial"/>
                <w:sz w:val="18"/>
                <w:szCs w:val="18"/>
                <w:color w:val="auto"/>
              </w:rPr>
              <w:t>Total financial assets</w:t>
            </w: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223,250</w:t>
            </w:r>
          </w:p>
        </w:tc>
        <w:tc>
          <w:tcPr>
            <w:tcW w:w="60" w:type="dxa"/>
            <w:vAlign w:val="bottom"/>
            <w:tcBorders>
              <w:top w:val="single" w:sz="8" w:color="auto"/>
              <w:bottom w:val="single" w:sz="8" w:color="auto"/>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2,090,985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2,314,235</w:t>
            </w:r>
          </w:p>
        </w:tc>
      </w:tr>
      <w:tr>
        <w:trPr>
          <w:trHeight w:val="20"/>
        </w:trPr>
        <w:tc>
          <w:tcPr>
            <w:tcW w:w="56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r>
        <w:trPr>
          <w:trHeight w:val="475"/>
        </w:trPr>
        <w:tc>
          <w:tcPr>
            <w:tcW w:w="56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320" w:type="dxa"/>
            <w:vAlign w:val="bottom"/>
            <w:gridSpan w:val="9"/>
          </w:tcPr>
          <w:p>
            <w:pPr>
              <w:jc w:val="right"/>
              <w:ind w:right="170"/>
              <w:spacing w:after="0"/>
              <w:rPr>
                <w:sz w:val="20"/>
                <w:szCs w:val="20"/>
                <w:color w:val="auto"/>
              </w:rPr>
            </w:pPr>
            <w:r>
              <w:rPr>
                <w:rFonts w:ascii="Arial" w:cs="Arial" w:eastAsia="Arial" w:hAnsi="Arial"/>
                <w:sz w:val="14"/>
                <w:szCs w:val="14"/>
                <w:b w:val="1"/>
                <w:bCs w:val="1"/>
                <w:color w:val="auto"/>
                <w:w w:val="92"/>
              </w:rPr>
              <w:t>Fair Value Measurement as of December 31, 2022</w:t>
            </w:r>
          </w:p>
        </w:tc>
        <w:tc>
          <w:tcPr>
            <w:tcW w:w="1020" w:type="dxa"/>
            <w:vAlign w:val="bottom"/>
          </w:tcPr>
          <w:p>
            <w:pPr>
              <w:spacing w:after="0"/>
              <w:rPr>
                <w:sz w:val="24"/>
                <w:szCs w:val="24"/>
                <w:color w:val="auto"/>
              </w:rPr>
            </w:pPr>
          </w:p>
        </w:tc>
      </w:tr>
      <w:tr>
        <w:trPr>
          <w:trHeight w:val="26"/>
        </w:trPr>
        <w:tc>
          <w:tcPr>
            <w:tcW w:w="56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189"/>
        </w:trPr>
        <w:tc>
          <w:tcPr>
            <w:tcW w:w="56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jc w:val="right"/>
              <w:ind w:right="296"/>
              <w:spacing w:after="0"/>
              <w:rPr>
                <w:sz w:val="20"/>
                <w:szCs w:val="20"/>
                <w:color w:val="auto"/>
              </w:rPr>
            </w:pPr>
            <w:r>
              <w:rPr>
                <w:rFonts w:ascii="Arial" w:cs="Arial" w:eastAsia="Arial" w:hAnsi="Arial"/>
                <w:sz w:val="14"/>
                <w:szCs w:val="14"/>
                <w:b w:val="1"/>
                <w:bCs w:val="1"/>
                <w:color w:val="auto"/>
              </w:rPr>
              <w:t>Level 1</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60" w:type="dxa"/>
            <w:vAlign w:val="bottom"/>
            <w:gridSpan w:val="2"/>
          </w:tcPr>
          <w:p>
            <w:pPr>
              <w:ind w:left="160"/>
              <w:spacing w:after="0"/>
              <w:rPr>
                <w:sz w:val="20"/>
                <w:szCs w:val="20"/>
                <w:color w:val="auto"/>
              </w:rPr>
            </w:pPr>
            <w:r>
              <w:rPr>
                <w:rFonts w:ascii="Arial" w:cs="Arial" w:eastAsia="Arial" w:hAnsi="Arial"/>
                <w:sz w:val="14"/>
                <w:szCs w:val="14"/>
                <w:b w:val="1"/>
                <w:bCs w:val="1"/>
                <w:color w:val="auto"/>
              </w:rPr>
              <w:t>Level 2</w:t>
            </w:r>
          </w:p>
        </w:tc>
        <w:tc>
          <w:tcPr>
            <w:tcW w:w="280" w:type="dxa"/>
            <w:vAlign w:val="bottom"/>
          </w:tcPr>
          <w:p>
            <w:pPr>
              <w:spacing w:after="0"/>
              <w:rPr>
                <w:sz w:val="16"/>
                <w:szCs w:val="16"/>
                <w:color w:val="auto"/>
              </w:rPr>
            </w:pPr>
          </w:p>
        </w:tc>
        <w:tc>
          <w:tcPr>
            <w:tcW w:w="1140" w:type="dxa"/>
            <w:vAlign w:val="bottom"/>
            <w:gridSpan w:val="2"/>
          </w:tcPr>
          <w:p>
            <w:pPr>
              <w:ind w:left="160"/>
              <w:spacing w:after="0"/>
              <w:rPr>
                <w:sz w:val="20"/>
                <w:szCs w:val="20"/>
                <w:color w:val="auto"/>
              </w:rPr>
            </w:pPr>
            <w:r>
              <w:rPr>
                <w:rFonts w:ascii="Arial" w:cs="Arial" w:eastAsia="Arial" w:hAnsi="Arial"/>
                <w:sz w:val="14"/>
                <w:szCs w:val="14"/>
                <w:b w:val="1"/>
                <w:bCs w:val="1"/>
                <w:color w:val="auto"/>
              </w:rPr>
              <w:t>Level 3</w:t>
            </w:r>
          </w:p>
        </w:tc>
        <w:tc>
          <w:tcPr>
            <w:tcW w:w="300" w:type="dxa"/>
            <w:vAlign w:val="bottom"/>
          </w:tcPr>
          <w:p>
            <w:pPr>
              <w:spacing w:after="0"/>
              <w:rPr>
                <w:sz w:val="16"/>
                <w:szCs w:val="16"/>
                <w:color w:val="auto"/>
              </w:rPr>
            </w:pPr>
          </w:p>
        </w:tc>
        <w:tc>
          <w:tcPr>
            <w:tcW w:w="1020" w:type="dxa"/>
            <w:vAlign w:val="bottom"/>
          </w:tcPr>
          <w:p>
            <w:pPr>
              <w:jc w:val="right"/>
              <w:ind w:right="412"/>
              <w:spacing w:after="0"/>
              <w:rPr>
                <w:sz w:val="20"/>
                <w:szCs w:val="20"/>
                <w:color w:val="auto"/>
              </w:rPr>
            </w:pPr>
            <w:r>
              <w:rPr>
                <w:rFonts w:ascii="Arial" w:cs="Arial" w:eastAsia="Arial" w:hAnsi="Arial"/>
                <w:sz w:val="14"/>
                <w:szCs w:val="14"/>
                <w:b w:val="1"/>
                <w:bCs w:val="1"/>
                <w:color w:val="auto"/>
              </w:rPr>
              <w:t>Total</w:t>
            </w:r>
          </w:p>
        </w:tc>
      </w:tr>
      <w:tr>
        <w:trPr>
          <w:trHeight w:val="216"/>
        </w:trPr>
        <w:tc>
          <w:tcPr>
            <w:tcW w:w="56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Financial Assets:</w:t>
            </w:r>
          </w:p>
        </w:tc>
        <w:tc>
          <w:tcPr>
            <w:tcW w:w="28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r>
      <w:tr>
        <w:trPr>
          <w:trHeight w:val="230"/>
        </w:trPr>
        <w:tc>
          <w:tcPr>
            <w:tcW w:w="5640" w:type="dxa"/>
            <w:vAlign w:val="bottom"/>
          </w:tcPr>
          <w:p>
            <w:pPr>
              <w:ind w:left="20"/>
              <w:spacing w:after="0"/>
              <w:rPr>
                <w:sz w:val="20"/>
                <w:szCs w:val="20"/>
                <w:color w:val="auto"/>
              </w:rPr>
            </w:pPr>
            <w:r>
              <w:rPr>
                <w:rFonts w:ascii="Arial" w:cs="Arial" w:eastAsia="Arial" w:hAnsi="Arial"/>
                <w:sz w:val="18"/>
                <w:szCs w:val="18"/>
                <w:color w:val="auto"/>
              </w:rPr>
              <w:t>Cash equivalents:</w:t>
            </w: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30"/>
        </w:trPr>
        <w:tc>
          <w:tcPr>
            <w:tcW w:w="5640" w:type="dxa"/>
            <w:vAlign w:val="bottom"/>
            <w:shd w:val="clear" w:color="auto" w:fill="CCEEFF"/>
          </w:tcPr>
          <w:p>
            <w:pPr>
              <w:ind w:left="260"/>
              <w:spacing w:after="0"/>
              <w:rPr>
                <w:sz w:val="20"/>
                <w:szCs w:val="20"/>
                <w:color w:val="auto"/>
              </w:rPr>
            </w:pPr>
            <w:r>
              <w:rPr>
                <w:rFonts w:ascii="Arial" w:cs="Arial" w:eastAsia="Arial" w:hAnsi="Arial"/>
                <w:sz w:val="18"/>
                <w:szCs w:val="18"/>
                <w:color w:val="auto"/>
              </w:rPr>
              <w:t>Money market funds</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302,902</w:t>
            </w:r>
          </w:p>
        </w:tc>
        <w:tc>
          <w:tcPr>
            <w:tcW w:w="440" w:type="dxa"/>
            <w:vAlign w:val="bottom"/>
            <w:gridSpan w:val="3"/>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302,902</w:t>
            </w:r>
          </w:p>
        </w:tc>
      </w:tr>
      <w:tr>
        <w:trPr>
          <w:trHeight w:val="230"/>
        </w:trPr>
        <w:tc>
          <w:tcPr>
            <w:tcW w:w="5640" w:type="dxa"/>
            <w:vAlign w:val="bottom"/>
          </w:tcPr>
          <w:p>
            <w:pPr>
              <w:ind w:left="240"/>
              <w:spacing w:after="0"/>
              <w:rPr>
                <w:sz w:val="20"/>
                <w:szCs w:val="20"/>
                <w:color w:val="auto"/>
              </w:rPr>
            </w:pPr>
            <w:r>
              <w:rPr>
                <w:rFonts w:ascii="Arial" w:cs="Arial" w:eastAsia="Arial" w:hAnsi="Arial"/>
                <w:sz w:val="18"/>
                <w:szCs w:val="18"/>
                <w:color w:val="auto"/>
              </w:rPr>
              <w:t>Corporate debt securities</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2,493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2,493</w:t>
            </w:r>
          </w:p>
        </w:tc>
      </w:tr>
      <w:tr>
        <w:trPr>
          <w:trHeight w:val="229"/>
        </w:trPr>
        <w:tc>
          <w:tcPr>
            <w:tcW w:w="5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Marketable Securities:</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30"/>
        </w:trPr>
        <w:tc>
          <w:tcPr>
            <w:tcW w:w="5640" w:type="dxa"/>
            <w:vAlign w:val="bottom"/>
          </w:tcPr>
          <w:p>
            <w:pPr>
              <w:ind w:left="260"/>
              <w:spacing w:after="0"/>
              <w:rPr>
                <w:sz w:val="20"/>
                <w:szCs w:val="20"/>
                <w:color w:val="auto"/>
              </w:rPr>
            </w:pPr>
            <w:r>
              <w:rPr>
                <w:rFonts w:ascii="Arial" w:cs="Arial" w:eastAsia="Arial" w:hAnsi="Arial"/>
                <w:sz w:val="18"/>
                <w:szCs w:val="18"/>
                <w:color w:val="auto"/>
              </w:rPr>
              <w:t>Corporate debt securities</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806,108</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806,108</w:t>
            </w:r>
          </w:p>
        </w:tc>
      </w:tr>
      <w:tr>
        <w:trPr>
          <w:trHeight w:val="230"/>
        </w:trPr>
        <w:tc>
          <w:tcPr>
            <w:tcW w:w="5640" w:type="dxa"/>
            <w:vAlign w:val="bottom"/>
            <w:shd w:val="clear" w:color="auto" w:fill="CCEEFF"/>
          </w:tcPr>
          <w:p>
            <w:pPr>
              <w:ind w:left="260"/>
              <w:spacing w:after="0"/>
              <w:rPr>
                <w:sz w:val="20"/>
                <w:szCs w:val="20"/>
                <w:color w:val="auto"/>
              </w:rPr>
            </w:pPr>
            <w:r>
              <w:rPr>
                <w:rFonts w:ascii="Arial" w:cs="Arial" w:eastAsia="Arial" w:hAnsi="Arial"/>
                <w:sz w:val="18"/>
                <w:szCs w:val="18"/>
                <w:color w:val="auto"/>
              </w:rPr>
              <w:t>Commercial paper</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356,273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356,273</w:t>
            </w:r>
          </w:p>
        </w:tc>
      </w:tr>
      <w:tr>
        <w:trPr>
          <w:trHeight w:val="230"/>
        </w:trPr>
        <w:tc>
          <w:tcPr>
            <w:tcW w:w="5640" w:type="dxa"/>
            <w:vAlign w:val="bottom"/>
          </w:tcPr>
          <w:p>
            <w:pPr>
              <w:ind w:left="260"/>
              <w:spacing w:after="0"/>
              <w:rPr>
                <w:sz w:val="20"/>
                <w:szCs w:val="20"/>
                <w:color w:val="auto"/>
              </w:rPr>
            </w:pPr>
            <w:r>
              <w:rPr>
                <w:rFonts w:ascii="Arial" w:cs="Arial" w:eastAsia="Arial" w:hAnsi="Arial"/>
                <w:sz w:val="18"/>
                <w:szCs w:val="18"/>
                <w:color w:val="auto"/>
              </w:rPr>
              <w:t>Certificates of deposit</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173,530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173,530</w:t>
            </w:r>
          </w:p>
        </w:tc>
      </w:tr>
      <w:tr>
        <w:trPr>
          <w:trHeight w:val="229"/>
        </w:trPr>
        <w:tc>
          <w:tcPr>
            <w:tcW w:w="5640" w:type="dxa"/>
            <w:vAlign w:val="bottom"/>
            <w:shd w:val="clear" w:color="auto" w:fill="CCEEFF"/>
          </w:tcPr>
          <w:p>
            <w:pPr>
              <w:ind w:left="260"/>
              <w:spacing w:after="0"/>
              <w:rPr>
                <w:sz w:val="20"/>
                <w:szCs w:val="20"/>
                <w:color w:val="auto"/>
              </w:rPr>
            </w:pPr>
            <w:r>
              <w:rPr>
                <w:rFonts w:ascii="Arial" w:cs="Arial" w:eastAsia="Arial" w:hAnsi="Arial"/>
                <w:sz w:val="18"/>
                <w:szCs w:val="18"/>
                <w:color w:val="auto"/>
              </w:rPr>
              <w:t>U.S. government treasury securities</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119,878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119,878</w:t>
            </w:r>
          </w:p>
        </w:tc>
      </w:tr>
      <w:tr>
        <w:trPr>
          <w:trHeight w:val="230"/>
        </w:trPr>
        <w:tc>
          <w:tcPr>
            <w:tcW w:w="5640" w:type="dxa"/>
            <w:vAlign w:val="bottom"/>
          </w:tcPr>
          <w:p>
            <w:pPr>
              <w:ind w:left="260"/>
              <w:spacing w:after="0"/>
              <w:rPr>
                <w:sz w:val="20"/>
                <w:szCs w:val="20"/>
                <w:color w:val="auto"/>
              </w:rPr>
            </w:pPr>
            <w:r>
              <w:rPr>
                <w:rFonts w:ascii="Arial" w:cs="Arial" w:eastAsia="Arial" w:hAnsi="Arial"/>
                <w:sz w:val="18"/>
                <w:szCs w:val="18"/>
                <w:color w:val="auto"/>
              </w:rPr>
              <w:t>U.S. government agency securities</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89,552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89,552</w:t>
            </w:r>
          </w:p>
        </w:tc>
      </w:tr>
      <w:tr>
        <w:trPr>
          <w:trHeight w:val="248"/>
        </w:trPr>
        <w:tc>
          <w:tcPr>
            <w:tcW w:w="5640" w:type="dxa"/>
            <w:vAlign w:val="bottom"/>
            <w:tcBorders>
              <w:top w:val="single" w:sz="8" w:color="CCEEFF"/>
              <w:bottom w:val="single" w:sz="8" w:color="CCEEFF"/>
            </w:tcBorders>
            <w:shd w:val="clear" w:color="auto" w:fill="CCEEFF"/>
          </w:tcPr>
          <w:p>
            <w:pPr>
              <w:ind w:left="560"/>
              <w:spacing w:after="0"/>
              <w:rPr>
                <w:sz w:val="20"/>
                <w:szCs w:val="20"/>
                <w:color w:val="auto"/>
              </w:rPr>
            </w:pPr>
            <w:r>
              <w:rPr>
                <w:rFonts w:ascii="Arial" w:cs="Arial" w:eastAsia="Arial" w:hAnsi="Arial"/>
                <w:sz w:val="18"/>
                <w:szCs w:val="18"/>
                <w:color w:val="auto"/>
              </w:rPr>
              <w:t>Total financial assets</w:t>
            </w: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302,902</w:t>
            </w:r>
          </w:p>
        </w:tc>
        <w:tc>
          <w:tcPr>
            <w:tcW w:w="60" w:type="dxa"/>
            <w:vAlign w:val="bottom"/>
            <w:tcBorders>
              <w:top w:val="single" w:sz="8" w:color="auto"/>
              <w:bottom w:val="single" w:sz="8" w:color="auto"/>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1,547,834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1,850,736</w:t>
            </w:r>
          </w:p>
        </w:tc>
      </w:tr>
      <w:tr>
        <w:trPr>
          <w:trHeight w:val="20"/>
        </w:trPr>
        <w:tc>
          <w:tcPr>
            <w:tcW w:w="56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The Company classifies its highly liquid money market funds and securities purchased within three months of maturity within Level 1 of the fair value hierarchy because they are valued based on quoted market prices in active markets. The Company classifies its commercial paper, corporate debt securities, certificates of deposit, U.S. government agency securities, and U.S. government treasury securities within Level 2 because they are valued using inputs other than quoted prices that are directly or indirectly observable in the market, including readily available pricing sources for the identical underlying security which may not be actively traded.</w:t>
      </w:r>
    </w:p>
    <w:p>
      <w:pPr>
        <w:spacing w:after="0" w:line="188"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 xml:space="preserve">In addition to its cash equivalents and marketable securities, the Company measures the fair value of its outstanding convertible senior notes on a quarterly basis for disclosure purposes. The Company considers the fair value of the convertible senior notes to be a Level 2 measurement due to limited trading activity of the convertible senior notes. Refer to Note 7, </w:t>
      </w:r>
      <w:r>
        <w:rPr>
          <w:rFonts w:ascii="Arial" w:cs="Arial" w:eastAsia="Arial" w:hAnsi="Arial"/>
          <w:sz w:val="18"/>
          <w:szCs w:val="18"/>
          <w:i w:val="1"/>
          <w:iCs w:val="1"/>
          <w:color w:val="auto"/>
        </w:rPr>
        <w:t>Convertible Senior Notes</w:t>
      </w:r>
      <w:r>
        <w:rPr>
          <w:rFonts w:ascii="Arial" w:cs="Arial" w:eastAsia="Arial" w:hAnsi="Arial"/>
          <w:sz w:val="18"/>
          <w:szCs w:val="18"/>
          <w:color w:val="auto"/>
        </w:rPr>
        <w:t>, to the condensed consolidated financial statements for further details.</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color w:val="auto"/>
        </w:rPr>
        <w:t>5. Property and Equipment, Net</w:t>
      </w:r>
    </w:p>
    <w:p>
      <w:pPr>
        <w:spacing w:after="0" w:line="22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Property and equipment, net consisted of the following (in thousands):</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60" w:type="dxa"/>
            <w:vAlign w:val="bottom"/>
            <w:gridSpan w:val="2"/>
          </w:tcPr>
          <w:p>
            <w:pPr>
              <w:ind w:left="40"/>
              <w:spacing w:after="0"/>
              <w:rPr>
                <w:sz w:val="20"/>
                <w:szCs w:val="20"/>
                <w:color w:val="auto"/>
              </w:rPr>
            </w:pPr>
            <w:r>
              <w:rPr>
                <w:rFonts w:ascii="Arial" w:cs="Arial" w:eastAsia="Arial" w:hAnsi="Arial"/>
                <w:sz w:val="14"/>
                <w:szCs w:val="14"/>
                <w:b w:val="1"/>
                <w:bCs w:val="1"/>
                <w:color w:val="auto"/>
              </w:rPr>
              <w:t>September 30,</w:t>
            </w:r>
          </w:p>
        </w:tc>
        <w:tc>
          <w:tcPr>
            <w:tcW w:w="180" w:type="dxa"/>
            <w:vAlign w:val="bottom"/>
          </w:tcPr>
          <w:p>
            <w:pPr>
              <w:spacing w:after="0"/>
              <w:rPr>
                <w:sz w:val="14"/>
                <w:szCs w:val="14"/>
                <w:color w:val="auto"/>
              </w:rPr>
            </w:pPr>
          </w:p>
        </w:tc>
        <w:tc>
          <w:tcPr>
            <w:tcW w:w="1140" w:type="dxa"/>
            <w:vAlign w:val="bottom"/>
          </w:tcPr>
          <w:p>
            <w:pPr>
              <w:jc w:val="right"/>
              <w:ind w:right="154"/>
              <w:spacing w:after="0"/>
              <w:rPr>
                <w:sz w:val="20"/>
                <w:szCs w:val="20"/>
                <w:color w:val="auto"/>
              </w:rPr>
            </w:pPr>
            <w:r>
              <w:rPr>
                <w:rFonts w:ascii="Arial" w:cs="Arial" w:eastAsia="Arial" w:hAnsi="Arial"/>
                <w:sz w:val="14"/>
                <w:szCs w:val="14"/>
                <w:b w:val="1"/>
                <w:bCs w:val="1"/>
                <w:color w:val="auto"/>
                <w:w w:val="96"/>
              </w:rPr>
              <w:t>December 31,</w:t>
            </w:r>
          </w:p>
        </w:tc>
      </w:tr>
      <w:tr>
        <w:trPr>
          <w:trHeight w:val="196"/>
        </w:trPr>
        <w:tc>
          <w:tcPr>
            <w:tcW w:w="848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2023</w:t>
            </w:r>
          </w:p>
        </w:tc>
        <w:tc>
          <w:tcPr>
            <w:tcW w:w="1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rPr>
              <w:t>2022</w:t>
            </w:r>
          </w:p>
        </w:tc>
      </w:tr>
      <w:tr>
        <w:trPr>
          <w:trHeight w:val="230"/>
        </w:trPr>
        <w:tc>
          <w:tcPr>
            <w:tcW w:w="8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Computers and equipment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34,632</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33,376</w:t>
            </w:r>
          </w:p>
        </w:tc>
      </w:tr>
      <w:tr>
        <w:trPr>
          <w:trHeight w:val="229"/>
        </w:trPr>
        <w:tc>
          <w:tcPr>
            <w:tcW w:w="8480" w:type="dxa"/>
            <w:vAlign w:val="bottom"/>
          </w:tcPr>
          <w:p>
            <w:pPr>
              <w:ind w:left="20"/>
              <w:spacing w:after="0"/>
              <w:rPr>
                <w:sz w:val="20"/>
                <w:szCs w:val="20"/>
                <w:color w:val="auto"/>
              </w:rPr>
            </w:pPr>
            <w:r>
              <w:rPr>
                <w:rFonts w:ascii="Arial" w:cs="Arial" w:eastAsia="Arial" w:hAnsi="Arial"/>
                <w:sz w:val="18"/>
                <w:szCs w:val="18"/>
                <w:color w:val="auto"/>
              </w:rPr>
              <w:t>Furniture and fixtures</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15,460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13,315</w:t>
            </w:r>
          </w:p>
        </w:tc>
      </w:tr>
      <w:tr>
        <w:trPr>
          <w:trHeight w:val="230"/>
        </w:trPr>
        <w:tc>
          <w:tcPr>
            <w:tcW w:w="8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Leasehold improvements</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44,127</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27,683</w:t>
            </w:r>
          </w:p>
        </w:tc>
      </w:tr>
      <w:tr>
        <w:trPr>
          <w:trHeight w:val="229"/>
        </w:trPr>
        <w:tc>
          <w:tcPr>
            <w:tcW w:w="84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Capitalized software development costs</w:t>
            </w: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178,637</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134,890</w:t>
            </w:r>
          </w:p>
        </w:tc>
      </w:tr>
      <w:tr>
        <w:trPr>
          <w:trHeight w:val="223"/>
        </w:trPr>
        <w:tc>
          <w:tcPr>
            <w:tcW w:w="84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property and equipment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272,856</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209,264</w:t>
            </w:r>
          </w:p>
        </w:tc>
      </w:tr>
      <w:tr>
        <w:trPr>
          <w:trHeight w:val="229"/>
        </w:trPr>
        <w:tc>
          <w:tcPr>
            <w:tcW w:w="84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accumulated depreciation and amortization</w:t>
            </w: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(115,167)</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(83,918)</w:t>
            </w:r>
          </w:p>
        </w:tc>
      </w:tr>
      <w:tr>
        <w:trPr>
          <w:trHeight w:val="248"/>
        </w:trPr>
        <w:tc>
          <w:tcPr>
            <w:tcW w:w="8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property and equipment, net</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157,689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125,346</w:t>
            </w:r>
          </w:p>
        </w:tc>
      </w:tr>
      <w:tr>
        <w:trPr>
          <w:trHeight w:val="20"/>
        </w:trPr>
        <w:tc>
          <w:tcPr>
            <w:tcW w:w="84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283"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The Company capitalizes costs related to the development of computer software for internal use and is included in capitalized software development costs within property and equipment, net.</w:t>
      </w:r>
    </w:p>
    <w:p>
      <w:pPr>
        <w:spacing w:after="0" w:line="170"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Depreciation and amortization expense was approximately $9.4 million and $25.8 million for the three and nine months ended September 30, 2023, respectively. Depreciation and amortization expense was approximately $7.2 million and $19.4 million for the three and nine months ended September 30, 2022, respectively.</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Acquisitions, Intangible Assets and Goodwill</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2023 Acquisitions</w:t>
      </w:r>
    </w:p>
    <w:p>
      <w:pPr>
        <w:spacing w:after="0" w:line="225" w:lineRule="exact"/>
        <w:rPr>
          <w:sz w:val="20"/>
          <w:szCs w:val="20"/>
          <w:color w:val="auto"/>
        </w:rPr>
      </w:pPr>
    </w:p>
    <w:p>
      <w:pPr>
        <w:jc w:val="both"/>
        <w:ind w:firstLine="486"/>
        <w:spacing w:after="0" w:line="308" w:lineRule="auto"/>
        <w:rPr>
          <w:sz w:val="20"/>
          <w:szCs w:val="20"/>
          <w:color w:val="auto"/>
        </w:rPr>
      </w:pPr>
      <w:r>
        <w:rPr>
          <w:rFonts w:ascii="Arial" w:cs="Arial" w:eastAsia="Arial" w:hAnsi="Arial"/>
          <w:sz w:val="17"/>
          <w:szCs w:val="17"/>
          <w:color w:val="auto"/>
        </w:rPr>
        <w:t xml:space="preserve">In April 2023, the Company entered into a purchase agreement for the acquisition of a business and the transaction was accounted for as a business combination in accordance with ASC 805, </w:t>
      </w:r>
      <w:r>
        <w:rPr>
          <w:rFonts w:ascii="Arial" w:cs="Arial" w:eastAsia="Arial" w:hAnsi="Arial"/>
          <w:sz w:val="17"/>
          <w:szCs w:val="17"/>
          <w:i w:val="1"/>
          <w:iCs w:val="1"/>
          <w:color w:val="auto"/>
        </w:rPr>
        <w:t>Business Combinations</w:t>
      </w:r>
      <w:r>
        <w:rPr>
          <w:rFonts w:ascii="Arial" w:cs="Arial" w:eastAsia="Arial" w:hAnsi="Arial"/>
          <w:sz w:val="17"/>
          <w:szCs w:val="17"/>
          <w:color w:val="auto"/>
        </w:rPr>
        <w:t>. The Company does not consider this acquisition to be material.</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2022 Acquisitions</w:t>
      </w:r>
    </w:p>
    <w:p>
      <w:pPr>
        <w:spacing w:after="0" w:line="225" w:lineRule="exact"/>
        <w:rPr>
          <w:sz w:val="20"/>
          <w:szCs w:val="20"/>
          <w:color w:val="auto"/>
        </w:rPr>
      </w:pPr>
    </w:p>
    <w:p>
      <w:pPr>
        <w:jc w:val="both"/>
        <w:ind w:firstLine="486"/>
        <w:spacing w:after="0" w:line="255" w:lineRule="auto"/>
        <w:rPr>
          <w:sz w:val="20"/>
          <w:szCs w:val="20"/>
          <w:color w:val="auto"/>
        </w:rPr>
      </w:pPr>
      <w:r>
        <w:rPr>
          <w:rFonts w:ascii="Arial" w:cs="Arial" w:eastAsia="Arial" w:hAnsi="Arial"/>
          <w:sz w:val="18"/>
          <w:szCs w:val="18"/>
          <w:color w:val="auto"/>
        </w:rPr>
        <w:t>During the year ended December 31, 2022, the Company entered into four purchase agreements for acquisitions of businesses, each of which were accounted for as business combinations in accordance with ASC 805, Business Combinations. The Company does not consider these acquisitions to be material, individually or in aggregate. The total purchase price was allocated to intangible assets in the amount of $8.2 million and goodwill in the amount of $56.6 million based on the respective estimated fair values. The resulting goodwill from each of the agreements is not deductible for income tax purposes. Pro forma results of operations from these acquisitions have not been presented because they were not material to the consolidated results of operations.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Intangible Assets</w:t>
      </w:r>
    </w:p>
    <w:p>
      <w:pPr>
        <w:spacing w:after="0" w:line="22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Intangible assets, net consisted of the following (in thousands):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620" w:type="dxa"/>
            <w:vAlign w:val="bottom"/>
          </w:tcPr>
          <w:p>
            <w:pPr>
              <w:spacing w:after="0"/>
              <w:rPr>
                <w:sz w:val="16"/>
                <w:szCs w:val="16"/>
                <w:color w:val="auto"/>
              </w:rPr>
            </w:pPr>
          </w:p>
        </w:tc>
        <w:tc>
          <w:tcPr>
            <w:tcW w:w="20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560" w:type="dxa"/>
            <w:vAlign w:val="bottom"/>
            <w:gridSpan w:val="4"/>
          </w:tcPr>
          <w:p>
            <w:pPr>
              <w:jc w:val="right"/>
              <w:ind w:right="679"/>
              <w:spacing w:after="0"/>
              <w:rPr>
                <w:sz w:val="20"/>
                <w:szCs w:val="20"/>
                <w:color w:val="auto"/>
              </w:rPr>
            </w:pPr>
            <w:r>
              <w:rPr>
                <w:rFonts w:ascii="Arial" w:cs="Arial" w:eastAsia="Arial" w:hAnsi="Arial"/>
                <w:sz w:val="14"/>
                <w:szCs w:val="14"/>
                <w:b w:val="1"/>
                <w:bCs w:val="1"/>
                <w:color w:val="auto"/>
              </w:rPr>
              <w:t>September 30, 2023</w:t>
            </w:r>
          </w:p>
        </w:tc>
        <w:tc>
          <w:tcPr>
            <w:tcW w:w="1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3620" w:type="dxa"/>
            <w:vAlign w:val="bottom"/>
          </w:tcPr>
          <w:p>
            <w:pPr>
              <w:spacing w:after="0"/>
              <w:rPr>
                <w:sz w:val="2"/>
                <w:szCs w:val="2"/>
                <w:color w:val="auto"/>
              </w:rPr>
            </w:pPr>
          </w:p>
        </w:tc>
        <w:tc>
          <w:tcPr>
            <w:tcW w:w="20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3"/>
        </w:trPr>
        <w:tc>
          <w:tcPr>
            <w:tcW w:w="3620" w:type="dxa"/>
            <w:vAlign w:val="bottom"/>
          </w:tcPr>
          <w:p>
            <w:pPr>
              <w:spacing w:after="0"/>
              <w:rPr>
                <w:sz w:val="11"/>
                <w:szCs w:val="11"/>
                <w:color w:val="auto"/>
              </w:rPr>
            </w:pPr>
          </w:p>
        </w:tc>
        <w:tc>
          <w:tcPr>
            <w:tcW w:w="20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80" w:type="dxa"/>
            <w:vAlign w:val="bottom"/>
            <w:gridSpan w:val="2"/>
          </w:tcPr>
          <w:p>
            <w:pPr>
              <w:jc w:val="center"/>
              <w:ind w:right="340"/>
              <w:spacing w:after="0" w:line="133" w:lineRule="exact"/>
              <w:rPr>
                <w:sz w:val="20"/>
                <w:szCs w:val="20"/>
                <w:color w:val="auto"/>
              </w:rPr>
            </w:pPr>
            <w:r>
              <w:rPr>
                <w:rFonts w:ascii="Arial" w:cs="Arial" w:eastAsia="Arial" w:hAnsi="Arial"/>
                <w:sz w:val="14"/>
                <w:szCs w:val="14"/>
                <w:b w:val="1"/>
                <w:bCs w:val="1"/>
                <w:color w:val="auto"/>
                <w:w w:val="88"/>
              </w:rPr>
              <w:t>Gross</w:t>
            </w:r>
          </w:p>
        </w:tc>
        <w:tc>
          <w:tcPr>
            <w:tcW w:w="180" w:type="dxa"/>
            <w:vAlign w:val="bottom"/>
          </w:tcPr>
          <w:p>
            <w:pPr>
              <w:spacing w:after="0"/>
              <w:rPr>
                <w:sz w:val="11"/>
                <w:szCs w:val="11"/>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Accumulated</w:t>
            </w:r>
          </w:p>
        </w:tc>
        <w:tc>
          <w:tcPr>
            <w:tcW w:w="240" w:type="dxa"/>
            <w:vAlign w:val="bottom"/>
          </w:tcPr>
          <w:p>
            <w:pPr>
              <w:spacing w:after="0"/>
              <w:rPr>
                <w:sz w:val="11"/>
                <w:szCs w:val="11"/>
                <w:color w:val="auto"/>
              </w:rPr>
            </w:pPr>
          </w:p>
        </w:tc>
        <w:tc>
          <w:tcPr>
            <w:tcW w:w="1080" w:type="dxa"/>
            <w:vAlign w:val="bottom"/>
          </w:tcPr>
          <w:p>
            <w:pPr>
              <w:jc w:val="center"/>
              <w:ind w:right="139"/>
              <w:spacing w:after="0" w:line="133" w:lineRule="exact"/>
              <w:rPr>
                <w:sz w:val="20"/>
                <w:szCs w:val="20"/>
                <w:color w:val="auto"/>
              </w:rPr>
            </w:pPr>
            <w:r>
              <w:rPr>
                <w:rFonts w:ascii="Arial" w:cs="Arial" w:eastAsia="Arial" w:hAnsi="Arial"/>
                <w:sz w:val="14"/>
                <w:szCs w:val="14"/>
                <w:b w:val="1"/>
                <w:bCs w:val="1"/>
                <w:color w:val="auto"/>
                <w:w w:val="97"/>
              </w:rPr>
              <w:t>Net</w:t>
            </w:r>
          </w:p>
        </w:tc>
        <w:tc>
          <w:tcPr>
            <w:tcW w:w="120" w:type="dxa"/>
            <w:vAlign w:val="bottom"/>
          </w:tcPr>
          <w:p>
            <w:pPr>
              <w:spacing w:after="0"/>
              <w:rPr>
                <w:sz w:val="11"/>
                <w:szCs w:val="11"/>
                <w:color w:val="auto"/>
              </w:rPr>
            </w:pPr>
          </w:p>
        </w:tc>
        <w:tc>
          <w:tcPr>
            <w:tcW w:w="13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8"/>
              </w:rPr>
              <w:t>Amortization</w:t>
            </w:r>
          </w:p>
        </w:tc>
        <w:tc>
          <w:tcPr>
            <w:tcW w:w="0" w:type="dxa"/>
            <w:vAlign w:val="bottom"/>
          </w:tcPr>
          <w:p>
            <w:pPr>
              <w:spacing w:after="0"/>
              <w:rPr>
                <w:sz w:val="1"/>
                <w:szCs w:val="1"/>
                <w:color w:val="auto"/>
              </w:rPr>
            </w:pPr>
          </w:p>
        </w:tc>
      </w:tr>
      <w:tr>
        <w:trPr>
          <w:trHeight w:val="144"/>
        </w:trPr>
        <w:tc>
          <w:tcPr>
            <w:tcW w:w="362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80" w:type="dxa"/>
            <w:vAlign w:val="bottom"/>
            <w:gridSpan w:val="2"/>
          </w:tcPr>
          <w:p>
            <w:pPr>
              <w:jc w:val="center"/>
              <w:ind w:right="360"/>
              <w:spacing w:after="0" w:line="145" w:lineRule="exact"/>
              <w:rPr>
                <w:sz w:val="20"/>
                <w:szCs w:val="20"/>
                <w:color w:val="auto"/>
              </w:rPr>
            </w:pPr>
            <w:r>
              <w:rPr>
                <w:rFonts w:ascii="Arial" w:cs="Arial" w:eastAsia="Arial" w:hAnsi="Arial"/>
                <w:sz w:val="14"/>
                <w:szCs w:val="14"/>
                <w:b w:val="1"/>
                <w:bCs w:val="1"/>
                <w:color w:val="auto"/>
              </w:rPr>
              <w:t>Carrying</w:t>
            </w:r>
          </w:p>
        </w:tc>
        <w:tc>
          <w:tcPr>
            <w:tcW w:w="18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1080" w:type="dxa"/>
            <w:vAlign w:val="bottom"/>
          </w:tcPr>
          <w:p>
            <w:pPr>
              <w:jc w:val="center"/>
              <w:ind w:right="139"/>
              <w:spacing w:after="0" w:line="145" w:lineRule="exact"/>
              <w:rPr>
                <w:sz w:val="20"/>
                <w:szCs w:val="20"/>
                <w:color w:val="auto"/>
              </w:rPr>
            </w:pPr>
            <w:r>
              <w:rPr>
                <w:rFonts w:ascii="Arial" w:cs="Arial" w:eastAsia="Arial" w:hAnsi="Arial"/>
                <w:sz w:val="14"/>
                <w:szCs w:val="14"/>
                <w:b w:val="1"/>
                <w:bCs w:val="1"/>
                <w:color w:val="auto"/>
              </w:rPr>
              <w:t>Carrying</w:t>
            </w:r>
          </w:p>
        </w:tc>
        <w:tc>
          <w:tcPr>
            <w:tcW w:w="120" w:type="dxa"/>
            <w:vAlign w:val="bottom"/>
          </w:tcPr>
          <w:p>
            <w:pPr>
              <w:spacing w:after="0"/>
              <w:rPr>
                <w:sz w:val="12"/>
                <w:szCs w:val="12"/>
                <w:color w:val="auto"/>
              </w:rPr>
            </w:pPr>
          </w:p>
        </w:tc>
        <w:tc>
          <w:tcPr>
            <w:tcW w:w="13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362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4"/>
              </w:rPr>
              <w:t>Amount</w:t>
            </w:r>
          </w:p>
        </w:tc>
        <w:tc>
          <w:tcPr>
            <w:tcW w:w="180" w:type="dxa"/>
            <w:vAlign w:val="bottom"/>
          </w:tcPr>
          <w:p>
            <w:pPr>
              <w:spacing w:after="0"/>
              <w:rPr>
                <w:sz w:val="17"/>
                <w:szCs w:val="17"/>
                <w:color w:val="auto"/>
              </w:rPr>
            </w:pPr>
          </w:p>
        </w:tc>
        <w:tc>
          <w:tcPr>
            <w:tcW w:w="1240" w:type="dxa"/>
            <w:vAlign w:val="bottom"/>
            <w:gridSpan w:val="2"/>
          </w:tcPr>
          <w:p>
            <w:pPr>
              <w:ind w:left="60"/>
              <w:spacing w:after="0"/>
              <w:rPr>
                <w:sz w:val="20"/>
                <w:szCs w:val="20"/>
                <w:color w:val="auto"/>
              </w:rPr>
            </w:pPr>
            <w:r>
              <w:rPr>
                <w:rFonts w:ascii="Arial" w:cs="Arial" w:eastAsia="Arial" w:hAnsi="Arial"/>
                <w:sz w:val="14"/>
                <w:szCs w:val="14"/>
                <w:b w:val="1"/>
                <w:bCs w:val="1"/>
                <w:color w:val="auto"/>
              </w:rPr>
              <w:t>Amortization</w:t>
            </w:r>
          </w:p>
        </w:tc>
        <w:tc>
          <w:tcPr>
            <w:tcW w:w="240" w:type="dxa"/>
            <w:vAlign w:val="bottom"/>
          </w:tcPr>
          <w:p>
            <w:pPr>
              <w:spacing w:after="0"/>
              <w:rPr>
                <w:sz w:val="17"/>
                <w:szCs w:val="17"/>
                <w:color w:val="auto"/>
              </w:rPr>
            </w:pPr>
          </w:p>
        </w:tc>
        <w:tc>
          <w:tcPr>
            <w:tcW w:w="1080" w:type="dxa"/>
            <w:vAlign w:val="bottom"/>
          </w:tcPr>
          <w:p>
            <w:pPr>
              <w:jc w:val="center"/>
              <w:ind w:right="139"/>
              <w:spacing w:after="0"/>
              <w:rPr>
                <w:sz w:val="20"/>
                <w:szCs w:val="20"/>
                <w:color w:val="auto"/>
              </w:rPr>
            </w:pPr>
            <w:r>
              <w:rPr>
                <w:rFonts w:ascii="Arial" w:cs="Arial" w:eastAsia="Arial" w:hAnsi="Arial"/>
                <w:sz w:val="14"/>
                <w:szCs w:val="14"/>
                <w:b w:val="1"/>
                <w:bCs w:val="1"/>
                <w:color w:val="auto"/>
                <w:w w:val="94"/>
              </w:rPr>
              <w:t>Amount</w:t>
            </w:r>
          </w:p>
        </w:tc>
        <w:tc>
          <w:tcPr>
            <w:tcW w:w="120" w:type="dxa"/>
            <w:vAlign w:val="bottom"/>
          </w:tcPr>
          <w:p>
            <w:pPr>
              <w:spacing w:after="0"/>
              <w:rPr>
                <w:sz w:val="17"/>
                <w:szCs w:val="17"/>
                <w:color w:val="auto"/>
              </w:rPr>
            </w:pPr>
          </w:p>
        </w:tc>
        <w:tc>
          <w:tcPr>
            <w:tcW w:w="1320" w:type="dxa"/>
            <w:vAlign w:val="bottom"/>
          </w:tcPr>
          <w:p>
            <w:pPr>
              <w:jc w:val="center"/>
              <w:spacing w:after="0"/>
              <w:rPr>
                <w:sz w:val="20"/>
                <w:szCs w:val="20"/>
                <w:color w:val="auto"/>
              </w:rPr>
            </w:pPr>
            <w:r>
              <w:rPr>
                <w:rFonts w:ascii="Arial" w:cs="Arial" w:eastAsia="Arial" w:hAnsi="Arial"/>
                <w:sz w:val="14"/>
                <w:szCs w:val="14"/>
                <w:b w:val="1"/>
                <w:bCs w:val="1"/>
                <w:color w:val="auto"/>
                <w:w w:val="91"/>
              </w:rPr>
              <w:t>Period</w:t>
            </w:r>
          </w:p>
        </w:tc>
        <w:tc>
          <w:tcPr>
            <w:tcW w:w="0" w:type="dxa"/>
            <w:vAlign w:val="bottom"/>
          </w:tcPr>
          <w:p>
            <w:pPr>
              <w:spacing w:after="0"/>
              <w:rPr>
                <w:sz w:val="1"/>
                <w:szCs w:val="1"/>
                <w:color w:val="auto"/>
              </w:rPr>
            </w:pPr>
          </w:p>
        </w:tc>
      </w:tr>
      <w:tr>
        <w:trPr>
          <w:trHeight w:val="229"/>
        </w:trPr>
        <w:tc>
          <w:tcPr>
            <w:tcW w:w="36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Developed technology</w:t>
            </w:r>
          </w:p>
        </w:tc>
        <w:tc>
          <w:tcPr>
            <w:tcW w:w="20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23,482</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(14,595)</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8,887</w:t>
            </w:r>
          </w:p>
        </w:tc>
        <w:tc>
          <w:tcPr>
            <w:tcW w:w="120" w:type="dxa"/>
            <w:vAlign w:val="bottom"/>
            <w:tcBorders>
              <w:top w:val="single" w:sz="8" w:color="CCEEFF"/>
            </w:tcBorders>
            <w:shd w:val="clear" w:color="auto" w:fill="CCEEFF"/>
          </w:tcPr>
          <w:p>
            <w:pPr>
              <w:spacing w:after="0"/>
              <w:rPr>
                <w:sz w:val="19"/>
                <w:szCs w:val="19"/>
                <w:color w:val="auto"/>
              </w:rPr>
            </w:pPr>
          </w:p>
        </w:tc>
        <w:tc>
          <w:tcPr>
            <w:tcW w:w="1320" w:type="dxa"/>
            <w:vAlign w:val="bottom"/>
            <w:tcBorders>
              <w:top w:val="single" w:sz="8" w:color="auto"/>
            </w:tcBorders>
            <w:shd w:val="clear" w:color="auto" w:fill="CCEEFF"/>
          </w:tcPr>
          <w:p>
            <w:pPr>
              <w:ind w:left="760"/>
              <w:spacing w:after="0"/>
              <w:rPr>
                <w:sz w:val="20"/>
                <w:szCs w:val="20"/>
                <w:color w:val="auto"/>
              </w:rPr>
            </w:pPr>
            <w:r>
              <w:rPr>
                <w:rFonts w:ascii="Arial" w:cs="Arial" w:eastAsia="Arial" w:hAnsi="Arial"/>
                <w:sz w:val="18"/>
                <w:szCs w:val="18"/>
                <w:color w:val="auto"/>
                <w:w w:val="86"/>
              </w:rPr>
              <w:t>3 Years</w:t>
            </w:r>
          </w:p>
        </w:tc>
        <w:tc>
          <w:tcPr>
            <w:tcW w:w="0" w:type="dxa"/>
            <w:vAlign w:val="bottom"/>
          </w:tcPr>
          <w:p>
            <w:pPr>
              <w:spacing w:after="0"/>
              <w:rPr>
                <w:sz w:val="1"/>
                <w:szCs w:val="1"/>
                <w:color w:val="auto"/>
              </w:rPr>
            </w:pPr>
          </w:p>
        </w:tc>
      </w:tr>
      <w:tr>
        <w:trPr>
          <w:trHeight w:val="230"/>
        </w:trPr>
        <w:tc>
          <w:tcPr>
            <w:tcW w:w="36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Customer relationships</w:t>
            </w:r>
          </w:p>
        </w:tc>
        <w:tc>
          <w:tcPr>
            <w:tcW w:w="20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3,300</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(2,042)</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1,258</w:t>
            </w:r>
          </w:p>
        </w:tc>
        <w:tc>
          <w:tcPr>
            <w:tcW w:w="120" w:type="dxa"/>
            <w:vAlign w:val="bottom"/>
            <w:tcBorders>
              <w:bottom w:val="single" w:sz="8" w:color="CCEEFF"/>
            </w:tcBorders>
          </w:tcPr>
          <w:p>
            <w:pPr>
              <w:spacing w:after="0"/>
              <w:rPr>
                <w:sz w:val="19"/>
                <w:szCs w:val="19"/>
                <w:color w:val="auto"/>
              </w:rPr>
            </w:pPr>
          </w:p>
        </w:tc>
        <w:tc>
          <w:tcPr>
            <w:tcW w:w="1320" w:type="dxa"/>
            <w:vAlign w:val="bottom"/>
            <w:tcBorders>
              <w:bottom w:val="single" w:sz="8" w:color="CCEEFF"/>
            </w:tcBorders>
          </w:tcPr>
          <w:p>
            <w:pPr>
              <w:ind w:left="760"/>
              <w:spacing w:after="0"/>
              <w:rPr>
                <w:sz w:val="20"/>
                <w:szCs w:val="20"/>
                <w:color w:val="auto"/>
              </w:rPr>
            </w:pPr>
            <w:r>
              <w:rPr>
                <w:rFonts w:ascii="Arial" w:cs="Arial" w:eastAsia="Arial" w:hAnsi="Arial"/>
                <w:sz w:val="18"/>
                <w:szCs w:val="18"/>
                <w:color w:val="auto"/>
                <w:w w:val="86"/>
              </w:rPr>
              <w:t>4 Years</w:t>
            </w:r>
          </w:p>
        </w:tc>
        <w:tc>
          <w:tcPr>
            <w:tcW w:w="0" w:type="dxa"/>
            <w:vAlign w:val="bottom"/>
          </w:tcPr>
          <w:p>
            <w:pPr>
              <w:spacing w:after="0"/>
              <w:rPr>
                <w:sz w:val="1"/>
                <w:szCs w:val="1"/>
                <w:color w:val="auto"/>
              </w:rPr>
            </w:pPr>
          </w:p>
        </w:tc>
      </w:tr>
      <w:tr>
        <w:trPr>
          <w:trHeight w:val="248"/>
        </w:trPr>
        <w:tc>
          <w:tcPr>
            <w:tcW w:w="36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Total</w:t>
            </w:r>
          </w:p>
        </w:tc>
        <w:tc>
          <w:tcPr>
            <w:tcW w:w="20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26,782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(16,637)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10,145</w:t>
            </w:r>
          </w:p>
        </w:tc>
        <w:tc>
          <w:tcPr>
            <w:tcW w:w="1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620" w:type="dxa"/>
            <w:vAlign w:val="bottom"/>
            <w:tcBorders>
              <w:top w:val="single" w:sz="8" w:color="CCEEFF"/>
            </w:tcBorders>
          </w:tcPr>
          <w:p>
            <w:pPr>
              <w:spacing w:after="0" w:line="20" w:lineRule="exact"/>
              <w:rPr>
                <w:sz w:val="1"/>
                <w:szCs w:val="1"/>
                <w:color w:val="auto"/>
              </w:rPr>
            </w:pPr>
          </w:p>
        </w:tc>
        <w:tc>
          <w:tcPr>
            <w:tcW w:w="20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38"/>
        </w:trPr>
        <w:tc>
          <w:tcPr>
            <w:tcW w:w="3620" w:type="dxa"/>
            <w:vAlign w:val="bottom"/>
          </w:tcPr>
          <w:p>
            <w:pPr>
              <w:spacing w:after="0"/>
              <w:rPr>
                <w:sz w:val="24"/>
                <w:szCs w:val="24"/>
                <w:color w:val="auto"/>
              </w:rPr>
            </w:pPr>
          </w:p>
        </w:tc>
        <w:tc>
          <w:tcPr>
            <w:tcW w:w="2260" w:type="dxa"/>
            <w:vAlign w:val="bottom"/>
            <w:gridSpan w:val="2"/>
          </w:tcPr>
          <w:p>
            <w:pPr>
              <w:jc w:val="right"/>
              <w:ind w:right="70"/>
              <w:spacing w:after="0"/>
              <w:rPr>
                <w:sz w:val="20"/>
                <w:szCs w:val="20"/>
                <w:color w:val="auto"/>
              </w:rPr>
            </w:pPr>
            <w:r>
              <w:rPr>
                <w:rFonts w:ascii="Arial" w:cs="Arial" w:eastAsia="Arial" w:hAnsi="Arial"/>
                <w:sz w:val="18"/>
                <w:szCs w:val="18"/>
                <w:color w:val="auto"/>
              </w:rPr>
              <w:t>12</w:t>
            </w: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620" w:type="dxa"/>
            <w:vAlign w:val="bottom"/>
            <w:tcBorders>
              <w:bottom w:val="single" w:sz="8" w:color="9A9A9A"/>
            </w:tcBorders>
          </w:tcPr>
          <w:p>
            <w:pPr>
              <w:spacing w:after="0"/>
              <w:rPr>
                <w:sz w:val="10"/>
                <w:szCs w:val="10"/>
                <w:color w:val="auto"/>
              </w:rPr>
            </w:pPr>
          </w:p>
        </w:tc>
        <w:tc>
          <w:tcPr>
            <w:tcW w:w="20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3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13" w:name="page14"/>
    <w:bookmarkEnd w:id="13"/>
    <w:tbl>
      <w:tblPr>
        <w:tblLayout w:type="fixed"/>
        <w:tblInd w:w="0" w:type="dxa"/>
        <w:tblCellMar>
          <w:top w:w="0" w:type="dxa"/>
          <w:left w:w="0" w:type="dxa"/>
          <w:bottom w:w="0" w:type="dxa"/>
          <w:right w:w="0" w:type="dxa"/>
        </w:tblCellMar>
      </w:tblPr>
      <w:tr>
        <w:trPr>
          <w:trHeight w:val="186"/>
        </w:trPr>
        <w:tc>
          <w:tcPr>
            <w:tcW w:w="56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560" w:type="dxa"/>
            <w:vAlign w:val="bottom"/>
            <w:gridSpan w:val="4"/>
          </w:tcPr>
          <w:p>
            <w:pPr>
              <w:jc w:val="right"/>
              <w:ind w:right="699"/>
              <w:spacing w:after="0"/>
              <w:rPr>
                <w:sz w:val="20"/>
                <w:szCs w:val="20"/>
                <w:color w:val="auto"/>
              </w:rPr>
            </w:pPr>
            <w:r>
              <w:rPr>
                <w:rFonts w:ascii="Arial" w:cs="Arial" w:eastAsia="Arial" w:hAnsi="Arial"/>
                <w:sz w:val="14"/>
                <w:szCs w:val="14"/>
                <w:b w:val="1"/>
                <w:bCs w:val="1"/>
                <w:color w:val="auto"/>
              </w:rPr>
              <w:t>December 31, 2022</w:t>
            </w:r>
          </w:p>
        </w:tc>
        <w:tc>
          <w:tcPr>
            <w:tcW w:w="1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56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3"/>
        </w:trPr>
        <w:tc>
          <w:tcPr>
            <w:tcW w:w="56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80" w:type="dxa"/>
            <w:vAlign w:val="bottom"/>
            <w:gridSpan w:val="2"/>
          </w:tcPr>
          <w:p>
            <w:pPr>
              <w:jc w:val="center"/>
              <w:ind w:right="340"/>
              <w:spacing w:after="0" w:line="133" w:lineRule="exact"/>
              <w:rPr>
                <w:sz w:val="20"/>
                <w:szCs w:val="20"/>
                <w:color w:val="auto"/>
              </w:rPr>
            </w:pPr>
            <w:r>
              <w:rPr>
                <w:rFonts w:ascii="Arial" w:cs="Arial" w:eastAsia="Arial" w:hAnsi="Arial"/>
                <w:sz w:val="14"/>
                <w:szCs w:val="14"/>
                <w:b w:val="1"/>
                <w:bCs w:val="1"/>
                <w:color w:val="auto"/>
                <w:w w:val="88"/>
              </w:rPr>
              <w:t>Gross</w:t>
            </w:r>
          </w:p>
        </w:tc>
        <w:tc>
          <w:tcPr>
            <w:tcW w:w="180" w:type="dxa"/>
            <w:vAlign w:val="bottom"/>
          </w:tcPr>
          <w:p>
            <w:pPr>
              <w:spacing w:after="0"/>
              <w:rPr>
                <w:sz w:val="11"/>
                <w:szCs w:val="11"/>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Accumulated</w:t>
            </w:r>
          </w:p>
        </w:tc>
        <w:tc>
          <w:tcPr>
            <w:tcW w:w="240" w:type="dxa"/>
            <w:vAlign w:val="bottom"/>
          </w:tcPr>
          <w:p>
            <w:pPr>
              <w:spacing w:after="0"/>
              <w:rPr>
                <w:sz w:val="11"/>
                <w:szCs w:val="11"/>
                <w:color w:val="auto"/>
              </w:rPr>
            </w:pPr>
          </w:p>
        </w:tc>
        <w:tc>
          <w:tcPr>
            <w:tcW w:w="1080" w:type="dxa"/>
            <w:vAlign w:val="bottom"/>
          </w:tcPr>
          <w:p>
            <w:pPr>
              <w:jc w:val="center"/>
              <w:ind w:right="139"/>
              <w:spacing w:after="0" w:line="133" w:lineRule="exact"/>
              <w:rPr>
                <w:sz w:val="20"/>
                <w:szCs w:val="20"/>
                <w:color w:val="auto"/>
              </w:rPr>
            </w:pPr>
            <w:r>
              <w:rPr>
                <w:rFonts w:ascii="Arial" w:cs="Arial" w:eastAsia="Arial" w:hAnsi="Arial"/>
                <w:sz w:val="14"/>
                <w:szCs w:val="14"/>
                <w:b w:val="1"/>
                <w:bCs w:val="1"/>
                <w:color w:val="auto"/>
                <w:w w:val="97"/>
              </w:rPr>
              <w:t>Net</w:t>
            </w:r>
          </w:p>
        </w:tc>
        <w:tc>
          <w:tcPr>
            <w:tcW w:w="120" w:type="dxa"/>
            <w:vAlign w:val="bottom"/>
          </w:tcPr>
          <w:p>
            <w:pPr>
              <w:spacing w:after="0"/>
              <w:rPr>
                <w:sz w:val="11"/>
                <w:szCs w:val="11"/>
                <w:color w:val="auto"/>
              </w:rPr>
            </w:pPr>
          </w:p>
        </w:tc>
        <w:tc>
          <w:tcPr>
            <w:tcW w:w="13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8"/>
              </w:rPr>
              <w:t>Amortization</w:t>
            </w:r>
          </w:p>
        </w:tc>
        <w:tc>
          <w:tcPr>
            <w:tcW w:w="0" w:type="dxa"/>
            <w:vAlign w:val="bottom"/>
          </w:tcPr>
          <w:p>
            <w:pPr>
              <w:spacing w:after="0"/>
              <w:rPr>
                <w:sz w:val="1"/>
                <w:szCs w:val="1"/>
                <w:color w:val="auto"/>
              </w:rPr>
            </w:pPr>
          </w:p>
        </w:tc>
      </w:tr>
      <w:tr>
        <w:trPr>
          <w:trHeight w:val="144"/>
        </w:trPr>
        <w:tc>
          <w:tcPr>
            <w:tcW w:w="5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80" w:type="dxa"/>
            <w:vAlign w:val="bottom"/>
            <w:gridSpan w:val="2"/>
          </w:tcPr>
          <w:p>
            <w:pPr>
              <w:jc w:val="center"/>
              <w:ind w:right="360"/>
              <w:spacing w:after="0" w:line="145" w:lineRule="exact"/>
              <w:rPr>
                <w:sz w:val="20"/>
                <w:szCs w:val="20"/>
                <w:color w:val="auto"/>
              </w:rPr>
            </w:pPr>
            <w:r>
              <w:rPr>
                <w:rFonts w:ascii="Arial" w:cs="Arial" w:eastAsia="Arial" w:hAnsi="Arial"/>
                <w:sz w:val="14"/>
                <w:szCs w:val="14"/>
                <w:b w:val="1"/>
                <w:bCs w:val="1"/>
                <w:color w:val="auto"/>
              </w:rPr>
              <w:t>Carrying</w:t>
            </w:r>
          </w:p>
        </w:tc>
        <w:tc>
          <w:tcPr>
            <w:tcW w:w="18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1080" w:type="dxa"/>
            <w:vAlign w:val="bottom"/>
          </w:tcPr>
          <w:p>
            <w:pPr>
              <w:jc w:val="center"/>
              <w:ind w:right="139"/>
              <w:spacing w:after="0" w:line="145" w:lineRule="exact"/>
              <w:rPr>
                <w:sz w:val="20"/>
                <w:szCs w:val="20"/>
                <w:color w:val="auto"/>
              </w:rPr>
            </w:pPr>
            <w:r>
              <w:rPr>
                <w:rFonts w:ascii="Arial" w:cs="Arial" w:eastAsia="Arial" w:hAnsi="Arial"/>
                <w:sz w:val="14"/>
                <w:szCs w:val="14"/>
                <w:b w:val="1"/>
                <w:bCs w:val="1"/>
                <w:color w:val="auto"/>
              </w:rPr>
              <w:t>Carrying</w:t>
            </w:r>
          </w:p>
        </w:tc>
        <w:tc>
          <w:tcPr>
            <w:tcW w:w="120" w:type="dxa"/>
            <w:vAlign w:val="bottom"/>
          </w:tcPr>
          <w:p>
            <w:pPr>
              <w:spacing w:after="0"/>
              <w:rPr>
                <w:sz w:val="12"/>
                <w:szCs w:val="12"/>
                <w:color w:val="auto"/>
              </w:rPr>
            </w:pPr>
          </w:p>
        </w:tc>
        <w:tc>
          <w:tcPr>
            <w:tcW w:w="13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56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4"/>
              </w:rPr>
              <w:t>Amount</w:t>
            </w:r>
          </w:p>
        </w:tc>
        <w:tc>
          <w:tcPr>
            <w:tcW w:w="180" w:type="dxa"/>
            <w:vAlign w:val="bottom"/>
          </w:tcPr>
          <w:p>
            <w:pPr>
              <w:spacing w:after="0"/>
              <w:rPr>
                <w:sz w:val="17"/>
                <w:szCs w:val="17"/>
                <w:color w:val="auto"/>
              </w:rPr>
            </w:pPr>
          </w:p>
        </w:tc>
        <w:tc>
          <w:tcPr>
            <w:tcW w:w="1240" w:type="dxa"/>
            <w:vAlign w:val="bottom"/>
            <w:gridSpan w:val="2"/>
          </w:tcPr>
          <w:p>
            <w:pPr>
              <w:ind w:left="60"/>
              <w:spacing w:after="0"/>
              <w:rPr>
                <w:sz w:val="20"/>
                <w:szCs w:val="20"/>
                <w:color w:val="auto"/>
              </w:rPr>
            </w:pPr>
            <w:r>
              <w:rPr>
                <w:rFonts w:ascii="Arial" w:cs="Arial" w:eastAsia="Arial" w:hAnsi="Arial"/>
                <w:sz w:val="14"/>
                <w:szCs w:val="14"/>
                <w:b w:val="1"/>
                <w:bCs w:val="1"/>
                <w:color w:val="auto"/>
              </w:rPr>
              <w:t>Amortization</w:t>
            </w:r>
          </w:p>
        </w:tc>
        <w:tc>
          <w:tcPr>
            <w:tcW w:w="240" w:type="dxa"/>
            <w:vAlign w:val="bottom"/>
          </w:tcPr>
          <w:p>
            <w:pPr>
              <w:spacing w:after="0"/>
              <w:rPr>
                <w:sz w:val="17"/>
                <w:szCs w:val="17"/>
                <w:color w:val="auto"/>
              </w:rPr>
            </w:pPr>
          </w:p>
        </w:tc>
        <w:tc>
          <w:tcPr>
            <w:tcW w:w="1080" w:type="dxa"/>
            <w:vAlign w:val="bottom"/>
          </w:tcPr>
          <w:p>
            <w:pPr>
              <w:jc w:val="center"/>
              <w:ind w:right="139"/>
              <w:spacing w:after="0"/>
              <w:rPr>
                <w:sz w:val="20"/>
                <w:szCs w:val="20"/>
                <w:color w:val="auto"/>
              </w:rPr>
            </w:pPr>
            <w:r>
              <w:rPr>
                <w:rFonts w:ascii="Arial" w:cs="Arial" w:eastAsia="Arial" w:hAnsi="Arial"/>
                <w:sz w:val="14"/>
                <w:szCs w:val="14"/>
                <w:b w:val="1"/>
                <w:bCs w:val="1"/>
                <w:color w:val="auto"/>
                <w:w w:val="94"/>
              </w:rPr>
              <w:t>Amount</w:t>
            </w:r>
          </w:p>
        </w:tc>
        <w:tc>
          <w:tcPr>
            <w:tcW w:w="120" w:type="dxa"/>
            <w:vAlign w:val="bottom"/>
          </w:tcPr>
          <w:p>
            <w:pPr>
              <w:spacing w:after="0"/>
              <w:rPr>
                <w:sz w:val="17"/>
                <w:szCs w:val="17"/>
                <w:color w:val="auto"/>
              </w:rPr>
            </w:pPr>
          </w:p>
        </w:tc>
        <w:tc>
          <w:tcPr>
            <w:tcW w:w="1320" w:type="dxa"/>
            <w:vAlign w:val="bottom"/>
          </w:tcPr>
          <w:p>
            <w:pPr>
              <w:jc w:val="center"/>
              <w:spacing w:after="0"/>
              <w:rPr>
                <w:sz w:val="20"/>
                <w:szCs w:val="20"/>
                <w:color w:val="auto"/>
              </w:rPr>
            </w:pPr>
            <w:r>
              <w:rPr>
                <w:rFonts w:ascii="Arial" w:cs="Arial" w:eastAsia="Arial" w:hAnsi="Arial"/>
                <w:sz w:val="14"/>
                <w:szCs w:val="14"/>
                <w:b w:val="1"/>
                <w:bCs w:val="1"/>
                <w:color w:val="auto"/>
                <w:w w:val="91"/>
              </w:rPr>
              <w:t>Period</w:t>
            </w:r>
          </w:p>
        </w:tc>
        <w:tc>
          <w:tcPr>
            <w:tcW w:w="0" w:type="dxa"/>
            <w:vAlign w:val="bottom"/>
          </w:tcPr>
          <w:p>
            <w:pPr>
              <w:spacing w:after="0"/>
              <w:rPr>
                <w:sz w:val="1"/>
                <w:szCs w:val="1"/>
                <w:color w:val="auto"/>
              </w:rPr>
            </w:pPr>
          </w:p>
        </w:tc>
      </w:tr>
      <w:tr>
        <w:trPr>
          <w:trHeight w:val="229"/>
        </w:trPr>
        <w:tc>
          <w:tcPr>
            <w:tcW w:w="56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Developed technology</w:t>
            </w: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24,460</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(9,970)</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14,490</w:t>
            </w:r>
          </w:p>
        </w:tc>
        <w:tc>
          <w:tcPr>
            <w:tcW w:w="120" w:type="dxa"/>
            <w:vAlign w:val="bottom"/>
            <w:tcBorders>
              <w:top w:val="single" w:sz="8" w:color="CCEEFF"/>
            </w:tcBorders>
            <w:shd w:val="clear" w:color="auto" w:fill="CCEEFF"/>
          </w:tcPr>
          <w:p>
            <w:pPr>
              <w:spacing w:after="0"/>
              <w:rPr>
                <w:sz w:val="19"/>
                <w:szCs w:val="19"/>
                <w:color w:val="auto"/>
              </w:rPr>
            </w:pPr>
          </w:p>
        </w:tc>
        <w:tc>
          <w:tcPr>
            <w:tcW w:w="1320" w:type="dxa"/>
            <w:vAlign w:val="bottom"/>
            <w:tcBorders>
              <w:top w:val="single" w:sz="8" w:color="auto"/>
            </w:tcBorders>
            <w:shd w:val="clear" w:color="auto" w:fill="CCEEFF"/>
          </w:tcPr>
          <w:p>
            <w:pPr>
              <w:ind w:left="780"/>
              <w:spacing w:after="0"/>
              <w:rPr>
                <w:sz w:val="20"/>
                <w:szCs w:val="20"/>
                <w:color w:val="auto"/>
              </w:rPr>
            </w:pPr>
            <w:r>
              <w:rPr>
                <w:rFonts w:ascii="Arial" w:cs="Arial" w:eastAsia="Arial" w:hAnsi="Arial"/>
                <w:sz w:val="18"/>
                <w:szCs w:val="18"/>
                <w:color w:val="auto"/>
                <w:w w:val="88"/>
              </w:rPr>
              <w:t>3 years</w:t>
            </w:r>
          </w:p>
        </w:tc>
        <w:tc>
          <w:tcPr>
            <w:tcW w:w="0" w:type="dxa"/>
            <w:vAlign w:val="bottom"/>
          </w:tcPr>
          <w:p>
            <w:pPr>
              <w:spacing w:after="0"/>
              <w:rPr>
                <w:sz w:val="1"/>
                <w:szCs w:val="1"/>
                <w:color w:val="auto"/>
              </w:rPr>
            </w:pPr>
          </w:p>
        </w:tc>
      </w:tr>
      <w:tr>
        <w:trPr>
          <w:trHeight w:val="230"/>
        </w:trPr>
        <w:tc>
          <w:tcPr>
            <w:tcW w:w="56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Customer relationships</w:t>
            </w:r>
          </w:p>
        </w:tc>
        <w:tc>
          <w:tcPr>
            <w:tcW w:w="2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3,300</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(1,425)</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1,875</w:t>
            </w:r>
          </w:p>
        </w:tc>
        <w:tc>
          <w:tcPr>
            <w:tcW w:w="120" w:type="dxa"/>
            <w:vAlign w:val="bottom"/>
            <w:tcBorders>
              <w:bottom w:val="single" w:sz="8" w:color="CCEEFF"/>
            </w:tcBorders>
          </w:tcPr>
          <w:p>
            <w:pPr>
              <w:spacing w:after="0"/>
              <w:rPr>
                <w:sz w:val="19"/>
                <w:szCs w:val="19"/>
                <w:color w:val="auto"/>
              </w:rPr>
            </w:pPr>
          </w:p>
        </w:tc>
        <w:tc>
          <w:tcPr>
            <w:tcW w:w="1320" w:type="dxa"/>
            <w:vAlign w:val="bottom"/>
            <w:tcBorders>
              <w:bottom w:val="single" w:sz="8" w:color="CCEEFF"/>
            </w:tcBorders>
          </w:tcPr>
          <w:p>
            <w:pPr>
              <w:ind w:left="780"/>
              <w:spacing w:after="0"/>
              <w:rPr>
                <w:sz w:val="20"/>
                <w:szCs w:val="20"/>
                <w:color w:val="auto"/>
              </w:rPr>
            </w:pPr>
            <w:r>
              <w:rPr>
                <w:rFonts w:ascii="Arial" w:cs="Arial" w:eastAsia="Arial" w:hAnsi="Arial"/>
                <w:sz w:val="18"/>
                <w:szCs w:val="18"/>
                <w:color w:val="auto"/>
                <w:w w:val="88"/>
              </w:rPr>
              <w:t>4 years</w:t>
            </w:r>
          </w:p>
        </w:tc>
        <w:tc>
          <w:tcPr>
            <w:tcW w:w="0" w:type="dxa"/>
            <w:vAlign w:val="bottom"/>
          </w:tcPr>
          <w:p>
            <w:pPr>
              <w:spacing w:after="0"/>
              <w:rPr>
                <w:sz w:val="1"/>
                <w:szCs w:val="1"/>
                <w:color w:val="auto"/>
              </w:rPr>
            </w:pPr>
          </w:p>
        </w:tc>
      </w:tr>
      <w:tr>
        <w:trPr>
          <w:trHeight w:val="248"/>
        </w:trPr>
        <w:tc>
          <w:tcPr>
            <w:tcW w:w="56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Total</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27,760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(11,395)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16,365</w:t>
            </w:r>
          </w:p>
        </w:tc>
        <w:tc>
          <w:tcPr>
            <w:tcW w:w="1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6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6"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Intangible amortization expense was approximately $2.2 million and $2.1 million for the three months ended September 30, 2023 and 2022, respectively, and $6.6 million and $5.4 million for the nine months ended September 30, 2023 and 2022, respectively.</w:t>
      </w:r>
    </w:p>
    <w:p>
      <w:pPr>
        <w:spacing w:after="0" w:line="170"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As of September 30, 2023, future amortization expense by year is expected to be as follows (in thousands):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99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60" w:type="dxa"/>
            <w:vAlign w:val="bottom"/>
          </w:tcPr>
          <w:p>
            <w:pPr>
              <w:jc w:val="right"/>
              <w:ind w:right="313"/>
              <w:spacing w:after="0"/>
              <w:rPr>
                <w:sz w:val="20"/>
                <w:szCs w:val="20"/>
                <w:color w:val="auto"/>
              </w:rPr>
            </w:pPr>
            <w:r>
              <w:rPr>
                <w:rFonts w:ascii="Arial" w:cs="Arial" w:eastAsia="Arial" w:hAnsi="Arial"/>
                <w:sz w:val="14"/>
                <w:szCs w:val="14"/>
                <w:b w:val="1"/>
                <w:bCs w:val="1"/>
                <w:color w:val="auto"/>
              </w:rPr>
              <w:t>Amount</w:t>
            </w:r>
          </w:p>
        </w:tc>
        <w:tc>
          <w:tcPr>
            <w:tcW w:w="0" w:type="dxa"/>
            <w:vAlign w:val="bottom"/>
          </w:tcPr>
          <w:p>
            <w:pPr>
              <w:spacing w:after="0"/>
              <w:rPr>
                <w:sz w:val="1"/>
                <w:szCs w:val="1"/>
                <w:color w:val="auto"/>
              </w:rPr>
            </w:pPr>
          </w:p>
        </w:tc>
      </w:tr>
      <w:tr>
        <w:trPr>
          <w:trHeight w:val="26"/>
        </w:trPr>
        <w:tc>
          <w:tcPr>
            <w:tcW w:w="99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9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Remainder of 2023</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2,172</w:t>
            </w:r>
          </w:p>
        </w:tc>
        <w:tc>
          <w:tcPr>
            <w:tcW w:w="0" w:type="dxa"/>
            <w:vAlign w:val="bottom"/>
          </w:tcPr>
          <w:p>
            <w:pPr>
              <w:spacing w:after="0"/>
              <w:rPr>
                <w:sz w:val="1"/>
                <w:szCs w:val="1"/>
                <w:color w:val="auto"/>
              </w:rPr>
            </w:pPr>
          </w:p>
        </w:tc>
      </w:tr>
      <w:tr>
        <w:trPr>
          <w:trHeight w:val="230"/>
        </w:trPr>
        <w:tc>
          <w:tcPr>
            <w:tcW w:w="9920" w:type="dxa"/>
            <w:vAlign w:val="bottom"/>
          </w:tcPr>
          <w:p>
            <w:pPr>
              <w:ind w:left="20"/>
              <w:spacing w:after="0"/>
              <w:rPr>
                <w:sz w:val="20"/>
                <w:szCs w:val="20"/>
                <w:color w:val="auto"/>
              </w:rPr>
            </w:pPr>
            <w:r>
              <w:rPr>
                <w:rFonts w:ascii="Arial" w:cs="Arial" w:eastAsia="Arial" w:hAnsi="Arial"/>
                <w:sz w:val="18"/>
                <w:szCs w:val="18"/>
                <w:color w:val="auto"/>
              </w:rPr>
              <w:t>2024</w:t>
            </w: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5,866</w:t>
            </w:r>
          </w:p>
        </w:tc>
        <w:tc>
          <w:tcPr>
            <w:tcW w:w="0" w:type="dxa"/>
            <w:vAlign w:val="bottom"/>
          </w:tcPr>
          <w:p>
            <w:pPr>
              <w:spacing w:after="0"/>
              <w:rPr>
                <w:sz w:val="1"/>
                <w:szCs w:val="1"/>
                <w:color w:val="auto"/>
              </w:rPr>
            </w:pPr>
          </w:p>
        </w:tc>
      </w:tr>
      <w:tr>
        <w:trPr>
          <w:trHeight w:val="229"/>
        </w:trPr>
        <w:tc>
          <w:tcPr>
            <w:tcW w:w="9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2,044</w:t>
            </w:r>
          </w:p>
        </w:tc>
        <w:tc>
          <w:tcPr>
            <w:tcW w:w="0" w:type="dxa"/>
            <w:vAlign w:val="bottom"/>
          </w:tcPr>
          <w:p>
            <w:pPr>
              <w:spacing w:after="0"/>
              <w:rPr>
                <w:sz w:val="1"/>
                <w:szCs w:val="1"/>
                <w:color w:val="auto"/>
              </w:rPr>
            </w:pPr>
          </w:p>
        </w:tc>
      </w:tr>
      <w:tr>
        <w:trPr>
          <w:trHeight w:val="230"/>
        </w:trPr>
        <w:tc>
          <w:tcPr>
            <w:tcW w:w="99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2026</w:t>
            </w:r>
          </w:p>
        </w:tc>
        <w:tc>
          <w:tcPr>
            <w:tcW w:w="2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48"/>
        </w:trPr>
        <w:tc>
          <w:tcPr>
            <w:tcW w:w="99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Total</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10,145</w:t>
            </w:r>
          </w:p>
        </w:tc>
        <w:tc>
          <w:tcPr>
            <w:tcW w:w="0" w:type="dxa"/>
            <w:vAlign w:val="bottom"/>
          </w:tcPr>
          <w:p>
            <w:pPr>
              <w:spacing w:after="0"/>
              <w:rPr>
                <w:sz w:val="1"/>
                <w:szCs w:val="1"/>
                <w:color w:val="auto"/>
              </w:rPr>
            </w:pPr>
          </w:p>
        </w:tc>
      </w:tr>
      <w:tr>
        <w:trPr>
          <w:trHeight w:val="20"/>
        </w:trPr>
        <w:tc>
          <w:tcPr>
            <w:tcW w:w="992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b w:val="1"/>
                <w:bCs w:val="1"/>
                <w:i w:val="1"/>
                <w:iCs w:val="1"/>
                <w:color w:val="auto"/>
              </w:rPr>
              <w:t>Goodwill</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1"/>
        </w:trPr>
        <w:tc>
          <w:tcPr>
            <w:tcW w:w="992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9920" w:type="dxa"/>
            <w:vAlign w:val="bottom"/>
          </w:tcPr>
          <w:p>
            <w:pPr>
              <w:ind w:left="500"/>
              <w:spacing w:after="0"/>
              <w:rPr>
                <w:sz w:val="20"/>
                <w:szCs w:val="20"/>
                <w:color w:val="auto"/>
              </w:rPr>
            </w:pPr>
            <w:r>
              <w:rPr>
                <w:rFonts w:ascii="Arial" w:cs="Arial" w:eastAsia="Arial" w:hAnsi="Arial"/>
                <w:sz w:val="18"/>
                <w:szCs w:val="18"/>
                <w:color w:val="auto"/>
              </w:rPr>
              <w:t>The changes in the carrying amount of goodwill were as follows (in thousands):</w:t>
            </w: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9"/>
        </w:trPr>
        <w:tc>
          <w:tcPr>
            <w:tcW w:w="99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tcPr>
          <w:p>
            <w:pPr>
              <w:jc w:val="right"/>
              <w:ind w:right="313"/>
              <w:spacing w:after="0"/>
              <w:rPr>
                <w:sz w:val="20"/>
                <w:szCs w:val="20"/>
                <w:color w:val="auto"/>
              </w:rPr>
            </w:pPr>
            <w:r>
              <w:rPr>
                <w:rFonts w:ascii="Arial" w:cs="Arial" w:eastAsia="Arial" w:hAnsi="Arial"/>
                <w:sz w:val="14"/>
                <w:szCs w:val="14"/>
                <w:b w:val="1"/>
                <w:bCs w:val="1"/>
                <w:color w:val="auto"/>
              </w:rPr>
              <w:t>Amount</w:t>
            </w:r>
          </w:p>
        </w:tc>
        <w:tc>
          <w:tcPr>
            <w:tcW w:w="0" w:type="dxa"/>
            <w:vAlign w:val="bottom"/>
          </w:tcPr>
          <w:p>
            <w:pPr>
              <w:spacing w:after="0"/>
              <w:rPr>
                <w:sz w:val="1"/>
                <w:szCs w:val="1"/>
                <w:color w:val="auto"/>
              </w:rPr>
            </w:pPr>
          </w:p>
        </w:tc>
      </w:tr>
      <w:tr>
        <w:trPr>
          <w:trHeight w:val="25"/>
        </w:trPr>
        <w:tc>
          <w:tcPr>
            <w:tcW w:w="99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9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as of December 31, 2022</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348,277</w:t>
            </w:r>
          </w:p>
        </w:tc>
        <w:tc>
          <w:tcPr>
            <w:tcW w:w="0" w:type="dxa"/>
            <w:vAlign w:val="bottom"/>
          </w:tcPr>
          <w:p>
            <w:pPr>
              <w:spacing w:after="0"/>
              <w:rPr>
                <w:sz w:val="1"/>
                <w:szCs w:val="1"/>
                <w:color w:val="auto"/>
              </w:rPr>
            </w:pPr>
          </w:p>
        </w:tc>
      </w:tr>
      <w:tr>
        <w:trPr>
          <w:trHeight w:val="230"/>
        </w:trPr>
        <w:tc>
          <w:tcPr>
            <w:tcW w:w="9920" w:type="dxa"/>
            <w:vAlign w:val="bottom"/>
          </w:tcPr>
          <w:p>
            <w:pPr>
              <w:ind w:left="20"/>
              <w:spacing w:after="0"/>
              <w:rPr>
                <w:sz w:val="20"/>
                <w:szCs w:val="20"/>
                <w:color w:val="auto"/>
              </w:rPr>
            </w:pPr>
            <w:r>
              <w:rPr>
                <w:rFonts w:ascii="Arial" w:cs="Arial" w:eastAsia="Arial" w:hAnsi="Arial"/>
                <w:sz w:val="18"/>
                <w:szCs w:val="18"/>
                <w:color w:val="auto"/>
              </w:rPr>
              <w:t>2023 Acquisition</w:t>
            </w: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2,029</w:t>
            </w:r>
          </w:p>
        </w:tc>
        <w:tc>
          <w:tcPr>
            <w:tcW w:w="0" w:type="dxa"/>
            <w:vAlign w:val="bottom"/>
          </w:tcPr>
          <w:p>
            <w:pPr>
              <w:spacing w:after="0"/>
              <w:rPr>
                <w:sz w:val="1"/>
                <w:szCs w:val="1"/>
                <w:color w:val="auto"/>
              </w:rPr>
            </w:pPr>
          </w:p>
        </w:tc>
      </w:tr>
      <w:tr>
        <w:trPr>
          <w:trHeight w:val="229"/>
        </w:trPr>
        <w:tc>
          <w:tcPr>
            <w:tcW w:w="9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Foreign currency translation adjustments</w:t>
            </w:r>
          </w:p>
        </w:tc>
        <w:tc>
          <w:tcPr>
            <w:tcW w:w="2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(1,609)</w:t>
            </w:r>
          </w:p>
        </w:tc>
        <w:tc>
          <w:tcPr>
            <w:tcW w:w="0" w:type="dxa"/>
            <w:vAlign w:val="bottom"/>
          </w:tcPr>
          <w:p>
            <w:pPr>
              <w:spacing w:after="0"/>
              <w:rPr>
                <w:sz w:val="1"/>
                <w:szCs w:val="1"/>
                <w:color w:val="auto"/>
              </w:rPr>
            </w:pPr>
          </w:p>
        </w:tc>
      </w:tr>
      <w:tr>
        <w:trPr>
          <w:trHeight w:val="223"/>
        </w:trPr>
        <w:tc>
          <w:tcPr>
            <w:tcW w:w="9920" w:type="dxa"/>
            <w:vAlign w:val="bottom"/>
          </w:tcPr>
          <w:p>
            <w:pPr>
              <w:ind w:left="20"/>
              <w:spacing w:after="0"/>
              <w:rPr>
                <w:sz w:val="20"/>
                <w:szCs w:val="20"/>
                <w:color w:val="auto"/>
              </w:rPr>
            </w:pPr>
            <w:r>
              <w:rPr>
                <w:rFonts w:ascii="Arial" w:cs="Arial" w:eastAsia="Arial" w:hAnsi="Arial"/>
                <w:sz w:val="18"/>
                <w:szCs w:val="18"/>
                <w:color w:val="auto"/>
              </w:rPr>
              <w:t>Balance as of September 30, 2023</w:t>
            </w: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348,697</w:t>
            </w:r>
          </w:p>
        </w:tc>
        <w:tc>
          <w:tcPr>
            <w:tcW w:w="0" w:type="dxa"/>
            <w:vAlign w:val="bottom"/>
          </w:tcPr>
          <w:p>
            <w:pPr>
              <w:spacing w:after="0"/>
              <w:rPr>
                <w:sz w:val="1"/>
                <w:szCs w:val="1"/>
                <w:color w:val="auto"/>
              </w:rPr>
            </w:pPr>
          </w:p>
        </w:tc>
      </w:tr>
      <w:tr>
        <w:trPr>
          <w:trHeight w:val="21"/>
        </w:trPr>
        <w:tc>
          <w:tcPr>
            <w:tcW w:w="99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Convertible Senior Notes</w:t>
      </w:r>
    </w:p>
    <w:p>
      <w:pPr>
        <w:spacing w:after="0" w:line="229" w:lineRule="exact"/>
        <w:rPr>
          <w:sz w:val="20"/>
          <w:szCs w:val="20"/>
          <w:color w:val="auto"/>
        </w:rPr>
      </w:pPr>
    </w:p>
    <w:p>
      <w:pPr>
        <w:jc w:val="both"/>
        <w:ind w:firstLine="486"/>
        <w:spacing w:after="0" w:line="275" w:lineRule="auto"/>
        <w:rPr>
          <w:sz w:val="20"/>
          <w:szCs w:val="20"/>
          <w:color w:val="auto"/>
        </w:rPr>
      </w:pPr>
      <w:r>
        <w:rPr>
          <w:rFonts w:ascii="Arial" w:cs="Arial" w:eastAsia="Arial" w:hAnsi="Arial"/>
          <w:sz w:val="17"/>
          <w:szCs w:val="17"/>
          <w:color w:val="auto"/>
        </w:rPr>
        <w:t>On June 2, 2020, the Company issued $747.5 million aggregate principal amount of 0.125% convertible senior notes due 2025 (the “2025 Notes”) in a private placement to qualified institutional buyers pursuant to Rule 144A under the Securities Act of 1933, as amended (“Securities Act”). The total net proceeds from the sale of the 2025 Notes, after deducting the initial purchasers’ discounts and debt issuance costs, were approximately $730.2 million. The 2025 Notes bear interest at a rate of 0.125% per year, payable semiannually in arrears on June 15 and December 15 of each year, beginning on December 15, 2020. The 2025 Notes will mature on June 15, 2025, unless earlier converted, redeemed or repurchased.</w:t>
      </w:r>
    </w:p>
    <w:p>
      <w:pPr>
        <w:spacing w:after="0" w:line="176" w:lineRule="exact"/>
        <w:rPr>
          <w:sz w:val="20"/>
          <w:szCs w:val="20"/>
          <w:color w:val="auto"/>
        </w:rPr>
      </w:pPr>
    </w:p>
    <w:p>
      <w:pPr>
        <w:jc w:val="both"/>
        <w:ind w:right="20" w:firstLine="486"/>
        <w:spacing w:after="0" w:line="277" w:lineRule="auto"/>
        <w:rPr>
          <w:sz w:val="20"/>
          <w:szCs w:val="20"/>
          <w:color w:val="auto"/>
        </w:rPr>
      </w:pPr>
      <w:r>
        <w:rPr>
          <w:rFonts w:ascii="Arial" w:cs="Arial" w:eastAsia="Arial" w:hAnsi="Arial"/>
          <w:sz w:val="18"/>
          <w:szCs w:val="18"/>
          <w:color w:val="auto"/>
        </w:rPr>
        <w:t>Holders may convert their notes at their option at any time prior to the close of business on the business day immediately preceding March 15, 2025 only under the following circumstances:</w:t>
      </w:r>
    </w:p>
    <w:p>
      <w:pPr>
        <w:spacing w:after="0" w:line="62" w:lineRule="exact"/>
        <w:rPr>
          <w:sz w:val="20"/>
          <w:szCs w:val="20"/>
          <w:color w:val="auto"/>
        </w:rPr>
      </w:pPr>
    </w:p>
    <w:p>
      <w:pPr>
        <w:jc w:val="both"/>
        <w:ind w:left="980" w:hanging="486"/>
        <w:spacing w:after="0" w:line="259" w:lineRule="auto"/>
        <w:tabs>
          <w:tab w:leader="none" w:pos="974" w:val="left"/>
        </w:tabs>
        <w:numPr>
          <w:ilvl w:val="0"/>
          <w:numId w:val="4"/>
        </w:numPr>
        <w:rPr>
          <w:rFonts w:ascii="Arial" w:cs="Arial" w:eastAsia="Arial" w:hAnsi="Arial"/>
          <w:sz w:val="18"/>
          <w:szCs w:val="18"/>
          <w:color w:val="auto"/>
        </w:rPr>
      </w:pPr>
      <w:r>
        <w:rPr>
          <w:rFonts w:ascii="Arial" w:cs="Arial" w:eastAsia="Arial" w:hAnsi="Arial"/>
          <w:sz w:val="18"/>
          <w:szCs w:val="18"/>
          <w:color w:val="auto"/>
        </w:rPr>
        <w:t>during any calendar quarter commencing after the calendar quarter ending on September 30, 2020 (and only during such calendar quarter), if the last reported sale price of the Company’s Class A common stock for at least 20 trading days (whether or not consecutive) during a period of 30 consecutive trading days ending on, and including, the last trading day of the immediately preceding calendar quarter is greater than or equal to 130% of the conversion price on each applicable trading day;</w:t>
      </w:r>
    </w:p>
    <w:p>
      <w:pPr>
        <w:spacing w:after="0" w:line="78" w:lineRule="exact"/>
        <w:rPr>
          <w:rFonts w:ascii="Arial" w:cs="Arial" w:eastAsia="Arial" w:hAnsi="Arial"/>
          <w:sz w:val="18"/>
          <w:szCs w:val="18"/>
          <w:color w:val="auto"/>
        </w:rPr>
      </w:pPr>
    </w:p>
    <w:p>
      <w:pPr>
        <w:jc w:val="both"/>
        <w:ind w:left="980" w:hanging="486"/>
        <w:spacing w:after="0" w:line="286" w:lineRule="auto"/>
        <w:tabs>
          <w:tab w:leader="none" w:pos="974" w:val="left"/>
        </w:tabs>
        <w:numPr>
          <w:ilvl w:val="0"/>
          <w:numId w:val="4"/>
        </w:numPr>
        <w:rPr>
          <w:rFonts w:ascii="Arial" w:cs="Arial" w:eastAsia="Arial" w:hAnsi="Arial"/>
          <w:sz w:val="17"/>
          <w:szCs w:val="17"/>
          <w:color w:val="auto"/>
        </w:rPr>
      </w:pPr>
      <w:r>
        <w:rPr>
          <w:rFonts w:ascii="Arial" w:cs="Arial" w:eastAsia="Arial" w:hAnsi="Arial"/>
          <w:sz w:val="17"/>
          <w:szCs w:val="17"/>
          <w:color w:val="auto"/>
        </w:rPr>
        <w:t>during the five business day period after any ten consecutive trading day period (the "measurement period") in which the trading price per $1,000 principal amount of 2025 Notes for each trading day of the measurement period was less than 98% of the product of the last reported sale price of the Company’s Class A common stock and the conversion rate on each such trading day;</w:t>
      </w:r>
    </w:p>
    <w:p>
      <w:pPr>
        <w:spacing w:after="0" w:line="57" w:lineRule="exact"/>
        <w:rPr>
          <w:rFonts w:ascii="Arial" w:cs="Arial" w:eastAsia="Arial" w:hAnsi="Arial"/>
          <w:sz w:val="17"/>
          <w:szCs w:val="17"/>
          <w:color w:val="auto"/>
        </w:rPr>
      </w:pPr>
    </w:p>
    <w:p>
      <w:pPr>
        <w:ind w:left="980" w:hanging="486"/>
        <w:spacing w:after="0" w:line="277" w:lineRule="auto"/>
        <w:tabs>
          <w:tab w:leader="none" w:pos="974" w:val="left"/>
        </w:tabs>
        <w:numPr>
          <w:ilvl w:val="0"/>
          <w:numId w:val="4"/>
        </w:numPr>
        <w:rPr>
          <w:rFonts w:ascii="Arial" w:cs="Arial" w:eastAsia="Arial" w:hAnsi="Arial"/>
          <w:sz w:val="18"/>
          <w:szCs w:val="18"/>
          <w:color w:val="auto"/>
        </w:rPr>
      </w:pPr>
      <w:r>
        <w:rPr>
          <w:rFonts w:ascii="Arial" w:cs="Arial" w:eastAsia="Arial" w:hAnsi="Arial"/>
          <w:sz w:val="18"/>
          <w:szCs w:val="18"/>
          <w:color w:val="auto"/>
        </w:rPr>
        <w:t>if the Company calls such 2025 Notes for redemption, at any time prior to the close of business on the scheduled trading day immediately preceding the redemption date; or</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45" w:right="339" w:bottom="1440" w:gutter="0" w:footer="0" w:header="0"/>
        </w:sectPr>
      </w:pPr>
    </w:p>
    <w:bookmarkStart w:id="14" w:name="page15"/>
    <w:bookmarkEnd w:id="14"/>
    <w:p>
      <w:pPr>
        <w:ind w:left="980" w:hanging="486"/>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upon the occurrence of specified corporate events, as set forth in the indenture governing the 2025 Notes (“the Indenture”).</w:t>
      </w:r>
    </w:p>
    <w:p>
      <w:pPr>
        <w:spacing w:after="0" w:line="225" w:lineRule="exact"/>
        <w:rPr>
          <w:sz w:val="20"/>
          <w:szCs w:val="20"/>
          <w:color w:val="auto"/>
        </w:rPr>
      </w:pPr>
    </w:p>
    <w:p>
      <w:pPr>
        <w:jc w:val="both"/>
        <w:ind w:firstLine="486"/>
        <w:spacing w:after="0" w:line="269" w:lineRule="auto"/>
        <w:rPr>
          <w:sz w:val="20"/>
          <w:szCs w:val="20"/>
          <w:color w:val="auto"/>
        </w:rPr>
      </w:pPr>
      <w:r>
        <w:rPr>
          <w:rFonts w:ascii="Arial" w:cs="Arial" w:eastAsia="Arial" w:hAnsi="Arial"/>
          <w:sz w:val="17"/>
          <w:szCs w:val="17"/>
          <w:color w:val="auto"/>
        </w:rPr>
        <w:t>On or after March 15, 2025 until the close of business on the second scheduled trading day immediately preceding the maturity date, holders may convert all or any portion of their notes, in integral multiples of $1,000 principal amount, at the option of the holder regardless of the foregoing circumstances. The conversion rate for the 2025 Notes is initially 10.8338 shares of Class A common stock per $1,000 principal amount of notes (equivalent to an initial conversion price of approximately $92.30 per share of Class A common stock), subject to adjustment as set forth in the Indenture. Upon conversion, the Company will pay or deliver, as the case may be, cash, shares of Class A common stock or a combination of cash and shares of Class A common stock, at the Company’s election. If the Company satisfies its conversion obligation solely in cash or through payment and delivery, as the case may be, of a combination of cash and shares of Class A common stock, the amount of cash and shares of Class A common stock, if any, due upon conversion will be based on a daily conversion value calculated on a proportionate basis for each trading day in a 30 trading day observation period as described in the Indenture. In addition, if specific corporate events occur prior to the applicable maturity date, or if the Company elects to redeem the 2025 Notes, the Company will increase the conversion rate for a holder who elects to convert their notes in connection with such a corporate event or redemption in certain circumstances.</w:t>
      </w:r>
    </w:p>
    <w:p>
      <w:pPr>
        <w:spacing w:after="0" w:line="182" w:lineRule="exact"/>
        <w:rPr>
          <w:sz w:val="20"/>
          <w:szCs w:val="20"/>
          <w:color w:val="auto"/>
        </w:rPr>
      </w:pPr>
    </w:p>
    <w:p>
      <w:pPr>
        <w:jc w:val="both"/>
        <w:ind w:firstLine="486"/>
        <w:spacing w:after="0" w:line="255" w:lineRule="auto"/>
        <w:rPr>
          <w:sz w:val="20"/>
          <w:szCs w:val="20"/>
          <w:color w:val="auto"/>
        </w:rPr>
      </w:pPr>
      <w:r>
        <w:rPr>
          <w:rFonts w:ascii="Arial" w:cs="Arial" w:eastAsia="Arial" w:hAnsi="Arial"/>
          <w:sz w:val="18"/>
          <w:szCs w:val="18"/>
          <w:color w:val="auto"/>
        </w:rPr>
        <w:t>During the three months ended September 30, 2023, the conditional conversion feature of the 2025 Notes was not triggered as the last reported sale price of the Company's Class A common stock was not greater than or equal to 130% of the conversion price for at least 20 trading days (whether or not consecutive) during a period of 30 consecutive trading days ending on, and including, the last trading day of the quarter ended September 30, 2023. Therefore the 2025 Notes are not convertible, in whole or in part, at the option of the holders between October 1, 2023 through December 31, 2023. Whether the 2025 Notes will be convertible following such period will depend on the continued satisfaction of this condition or another conversion condition in the future.</w:t>
      </w:r>
    </w:p>
    <w:p>
      <w:pPr>
        <w:spacing w:after="0" w:line="192" w:lineRule="exact"/>
        <w:rPr>
          <w:sz w:val="20"/>
          <w:szCs w:val="20"/>
          <w:color w:val="auto"/>
        </w:rPr>
      </w:pPr>
    </w:p>
    <w:p>
      <w:pPr>
        <w:jc w:val="both"/>
        <w:ind w:right="20" w:firstLine="486"/>
        <w:spacing w:after="0" w:line="311" w:lineRule="auto"/>
        <w:rPr>
          <w:sz w:val="20"/>
          <w:szCs w:val="20"/>
          <w:color w:val="auto"/>
        </w:rPr>
      </w:pPr>
      <w:r>
        <w:rPr>
          <w:rFonts w:ascii="Arial" w:cs="Arial" w:eastAsia="Arial" w:hAnsi="Arial"/>
          <w:sz w:val="16"/>
          <w:szCs w:val="16"/>
          <w:color w:val="auto"/>
        </w:rPr>
        <w:t>When a conversion notice is received, the Company has the option to pay or deliver cash, shares of the Company’s common stock, or a combination thereof. Since the issuance of the 2025 Notes, the Company received and settled an immaterial amount of conversion notices from the holders in cash. As of September 30, 2023, the 2025 Notes were classified as long-term debt on the Company's condensed consolidated balance sheet.</w:t>
      </w:r>
    </w:p>
    <w:p>
      <w:pPr>
        <w:spacing w:after="0" w:line="143" w:lineRule="exact"/>
        <w:rPr>
          <w:sz w:val="20"/>
          <w:szCs w:val="20"/>
          <w:color w:val="auto"/>
        </w:rPr>
      </w:pPr>
    </w:p>
    <w:p>
      <w:pPr>
        <w:jc w:val="both"/>
        <w:ind w:firstLine="486"/>
        <w:spacing w:after="0" w:line="258" w:lineRule="auto"/>
        <w:rPr>
          <w:sz w:val="20"/>
          <w:szCs w:val="20"/>
          <w:color w:val="auto"/>
        </w:rPr>
      </w:pPr>
      <w:r>
        <w:rPr>
          <w:rFonts w:ascii="Arial" w:cs="Arial" w:eastAsia="Arial" w:hAnsi="Arial"/>
          <w:sz w:val="17"/>
          <w:szCs w:val="17"/>
          <w:color w:val="auto"/>
        </w:rPr>
        <w:t>The Company may redeem for cash all or any portion of the 2025 Notes prior to the 31</w:t>
      </w:r>
      <w:r>
        <w:rPr>
          <w:rFonts w:ascii="Arial" w:cs="Arial" w:eastAsia="Arial" w:hAnsi="Arial"/>
          <w:sz w:val="22"/>
          <w:szCs w:val="22"/>
          <w:color w:val="auto"/>
          <w:vertAlign w:val="superscript"/>
        </w:rPr>
        <w:t>st</w:t>
      </w:r>
      <w:r>
        <w:rPr>
          <w:rFonts w:ascii="Arial" w:cs="Arial" w:eastAsia="Arial" w:hAnsi="Arial"/>
          <w:sz w:val="17"/>
          <w:szCs w:val="17"/>
          <w:color w:val="auto"/>
        </w:rPr>
        <w:t xml:space="preserve"> scheduled trading day immediately preceding the maturity date, at its option, if the last reported sale price of its Class A common stock was at least 130% of the conversion price then in effect for at least 20 trading days (whether or not consecutive) during any 30 consecutive trading day period (including the last trading day of such period) ending on, and including, the trading day immediately preceding the date on which the Company provides a notice of redemption at a redemption price equal to 100% of the principal amount of the 2025 Notes to be redeemed, plus accrued and unpaid interest to, but excluding, the redemption date.</w:t>
      </w:r>
    </w:p>
    <w:p>
      <w:pPr>
        <w:spacing w:after="0" w:line="189" w:lineRule="exact"/>
        <w:rPr>
          <w:sz w:val="20"/>
          <w:szCs w:val="20"/>
          <w:color w:val="auto"/>
        </w:rPr>
      </w:pPr>
    </w:p>
    <w:p>
      <w:pPr>
        <w:jc w:val="both"/>
        <w:ind w:firstLine="486"/>
        <w:spacing w:after="0" w:line="293" w:lineRule="auto"/>
        <w:rPr>
          <w:sz w:val="20"/>
          <w:szCs w:val="20"/>
          <w:color w:val="auto"/>
        </w:rPr>
      </w:pPr>
      <w:r>
        <w:rPr>
          <w:rFonts w:ascii="Arial" w:cs="Arial" w:eastAsia="Arial" w:hAnsi="Arial"/>
          <w:sz w:val="16"/>
          <w:szCs w:val="16"/>
          <w:color w:val="auto"/>
        </w:rPr>
        <w:t>In accounting for the issuance of the 2025 Notes, the 2025 Notes were separated into liability and equity components. The carrying amount of the liability component was calculated by measuring the fair value of similar liabilities that do not have associated convertible features. The carrying amount of the equity component representing the conversion option was determined by deducting the fair value of the liability component from the par value of the respective 2025 Notes. This difference represents the debt discount that is amortized to interest expense over the contractual terms of the 2025 Notes using the effective interest rate method. The carrying amount of the equity component representing the conversion option was $177.2 million. The equity component was recorded in additional paid-in capital and is not remeasured as long as it continues to meet the conditions for equity classification.</w:t>
      </w:r>
    </w:p>
    <w:p>
      <w:pPr>
        <w:spacing w:after="0" w:line="164"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In accounting for the debt issuance costs of $17.3 million related to the 2025 Notes, the Company allocated the total amount incurred to the liability and equity components of the 2025 Notes in the same proportion as the allocation of the proceeds. Issuance costs attributable to the liability component were $13.2 million and will be amortized, along with the debt discount to interest expense over the contractual term of the 2025 Notes at an effective interest rate of 5.97%. Issuance costs attributable to the equity component were $4.1 million and are netted against the equity component in additional paid-in capital.</w:t>
      </w:r>
    </w:p>
    <w:p>
      <w:pPr>
        <w:spacing w:after="0" w:line="188" w:lineRule="exact"/>
        <w:rPr>
          <w:sz w:val="20"/>
          <w:szCs w:val="20"/>
          <w:color w:val="auto"/>
        </w:rPr>
      </w:pPr>
    </w:p>
    <w:p>
      <w:pPr>
        <w:jc w:val="both"/>
        <w:ind w:firstLine="486"/>
        <w:spacing w:after="0" w:line="273" w:lineRule="auto"/>
        <w:rPr>
          <w:sz w:val="20"/>
          <w:szCs w:val="20"/>
          <w:color w:val="auto"/>
        </w:rPr>
      </w:pPr>
      <w:r>
        <w:rPr>
          <w:rFonts w:ascii="Arial" w:cs="Arial" w:eastAsia="Arial" w:hAnsi="Arial"/>
          <w:sz w:val="17"/>
          <w:szCs w:val="17"/>
          <w:color w:val="auto"/>
        </w:rPr>
        <w:t xml:space="preserve">On January 1, 2021 the Company adopted ASU No. 2020-06, </w:t>
      </w:r>
      <w:r>
        <w:rPr>
          <w:rFonts w:ascii="Arial" w:cs="Arial" w:eastAsia="Arial" w:hAnsi="Arial"/>
          <w:sz w:val="17"/>
          <w:szCs w:val="17"/>
          <w:i w:val="1"/>
          <w:iCs w:val="1"/>
          <w:color w:val="auto"/>
        </w:rPr>
        <w:t>Accounting for Convertible Instruments and Contracts in an Entity’s Own Equity</w:t>
      </w:r>
      <w:r>
        <w:rPr>
          <w:rFonts w:ascii="Arial" w:cs="Arial" w:eastAsia="Arial" w:hAnsi="Arial"/>
          <w:sz w:val="17"/>
          <w:szCs w:val="17"/>
          <w:color w:val="auto"/>
        </w:rPr>
        <w:t xml:space="preserve"> (“ASU No. 2020-06”). As a result of the adoption, the debt conversion option of $177.2 million and debt issuance costs of $4.1 million previously attributable to the equity component are no longer presented in equity. Similarly, the debt discount, that is equal to the carrying value of the embedded conversion feature upon issuance, is no longer amortized into income as interest expense over the life of the instrument. This resulted in a $16.8 million decrease to the opening balance of accumulated deficit, a $173.1 million decrease to the opening balance of additional paid-in capital and a $156.3 million increase to the opening balance of convertible senior notes, net on the condensed consolidated balance sheet.</w:t>
      </w: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5" w:right="339" w:bottom="1440" w:gutter="0" w:footer="0" w:header="0"/>
        </w:sectPr>
      </w:pPr>
    </w:p>
    <w:bookmarkStart w:id="15" w:name="page16"/>
    <w:bookmarkEnd w:id="15"/>
    <w:p>
      <w:pPr>
        <w:ind w:left="500"/>
        <w:spacing w:after="0"/>
        <w:rPr>
          <w:sz w:val="20"/>
          <w:szCs w:val="20"/>
          <w:color w:val="auto"/>
        </w:rPr>
      </w:pPr>
      <w:r>
        <w:rPr>
          <w:rFonts w:ascii="Arial" w:cs="Arial" w:eastAsia="Arial" w:hAnsi="Arial"/>
          <w:sz w:val="18"/>
          <w:szCs w:val="18"/>
          <w:color w:val="auto"/>
        </w:rPr>
        <w:t>The net carrying amount of the liability component of the 2025 Notes was as follows (in thousands):</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9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60" w:type="dxa"/>
            <w:vAlign w:val="bottom"/>
            <w:gridSpan w:val="2"/>
          </w:tcPr>
          <w:p>
            <w:pPr>
              <w:ind w:left="120"/>
              <w:spacing w:after="0"/>
              <w:rPr>
                <w:sz w:val="20"/>
                <w:szCs w:val="20"/>
                <w:color w:val="auto"/>
              </w:rPr>
            </w:pPr>
            <w:r>
              <w:rPr>
                <w:rFonts w:ascii="Arial" w:cs="Arial" w:eastAsia="Arial" w:hAnsi="Arial"/>
                <w:sz w:val="14"/>
                <w:szCs w:val="14"/>
                <w:b w:val="1"/>
                <w:bCs w:val="1"/>
                <w:color w:val="auto"/>
              </w:rPr>
              <w:t>September 30,</w:t>
            </w:r>
          </w:p>
        </w:tc>
        <w:tc>
          <w:tcPr>
            <w:tcW w:w="240" w:type="dxa"/>
            <w:vAlign w:val="bottom"/>
          </w:tcPr>
          <w:p>
            <w:pPr>
              <w:spacing w:after="0"/>
              <w:rPr>
                <w:sz w:val="14"/>
                <w:szCs w:val="14"/>
                <w:color w:val="auto"/>
              </w:rPr>
            </w:pPr>
          </w:p>
        </w:tc>
        <w:tc>
          <w:tcPr>
            <w:tcW w:w="1360" w:type="dxa"/>
            <w:vAlign w:val="bottom"/>
          </w:tcPr>
          <w:p>
            <w:pPr>
              <w:jc w:val="right"/>
              <w:ind w:right="297"/>
              <w:spacing w:after="0"/>
              <w:rPr>
                <w:sz w:val="20"/>
                <w:szCs w:val="20"/>
                <w:color w:val="auto"/>
              </w:rPr>
            </w:pPr>
            <w:r>
              <w:rPr>
                <w:rFonts w:ascii="Arial" w:cs="Arial" w:eastAsia="Arial" w:hAnsi="Arial"/>
                <w:sz w:val="14"/>
                <w:szCs w:val="14"/>
                <w:b w:val="1"/>
                <w:bCs w:val="1"/>
                <w:color w:val="auto"/>
              </w:rPr>
              <w:t>December 31,</w:t>
            </w:r>
          </w:p>
        </w:tc>
      </w:tr>
      <w:tr>
        <w:trPr>
          <w:trHeight w:val="196"/>
        </w:trPr>
        <w:tc>
          <w:tcPr>
            <w:tcW w:w="794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ind w:right="577"/>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ind w:right="577"/>
              <w:spacing w:after="0"/>
              <w:rPr>
                <w:sz w:val="20"/>
                <w:szCs w:val="20"/>
                <w:color w:val="auto"/>
              </w:rPr>
            </w:pPr>
            <w:r>
              <w:rPr>
                <w:rFonts w:ascii="Arial" w:cs="Arial" w:eastAsia="Arial" w:hAnsi="Arial"/>
                <w:sz w:val="14"/>
                <w:szCs w:val="14"/>
                <w:b w:val="1"/>
                <w:bCs w:val="1"/>
                <w:color w:val="auto"/>
              </w:rPr>
              <w:t>2022</w:t>
            </w:r>
          </w:p>
        </w:tc>
      </w:tr>
      <w:tr>
        <w:trPr>
          <w:trHeight w:val="216"/>
        </w:trPr>
        <w:tc>
          <w:tcPr>
            <w:tcW w:w="7940" w:type="dxa"/>
            <w:vAlign w:val="bottom"/>
            <w:shd w:val="clear" w:color="auto" w:fill="CCEEFF"/>
          </w:tcPr>
          <w:p>
            <w:pPr>
              <w:jc w:val="center"/>
              <w:ind w:right="5690"/>
              <w:spacing w:after="0"/>
              <w:rPr>
                <w:sz w:val="20"/>
                <w:szCs w:val="20"/>
                <w:color w:val="auto"/>
              </w:rPr>
            </w:pPr>
            <w:r>
              <w:rPr>
                <w:rFonts w:ascii="Arial" w:cs="Arial" w:eastAsia="Arial" w:hAnsi="Arial"/>
                <w:sz w:val="18"/>
                <w:szCs w:val="18"/>
                <w:color w:val="auto"/>
                <w:w w:val="90"/>
              </w:rPr>
              <w:t>Convertible senior notes, net:</w:t>
            </w:r>
          </w:p>
        </w:tc>
        <w:tc>
          <w:tcPr>
            <w:tcW w:w="2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r>
      <w:tr>
        <w:trPr>
          <w:trHeight w:val="230"/>
        </w:trPr>
        <w:tc>
          <w:tcPr>
            <w:tcW w:w="7940" w:type="dxa"/>
            <w:vAlign w:val="bottom"/>
          </w:tcPr>
          <w:p>
            <w:pPr>
              <w:ind w:left="140"/>
              <w:spacing w:after="0"/>
              <w:rPr>
                <w:sz w:val="20"/>
                <w:szCs w:val="20"/>
                <w:color w:val="auto"/>
              </w:rPr>
            </w:pPr>
            <w:r>
              <w:rPr>
                <w:rFonts w:ascii="Arial" w:cs="Arial" w:eastAsia="Arial" w:hAnsi="Arial"/>
                <w:sz w:val="18"/>
                <w:szCs w:val="18"/>
                <w:color w:val="auto"/>
              </w:rPr>
              <w:t>Principal</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747,496</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747,496</w:t>
            </w:r>
          </w:p>
        </w:tc>
      </w:tr>
      <w:tr>
        <w:trPr>
          <w:trHeight w:val="229"/>
        </w:trPr>
        <w:tc>
          <w:tcPr>
            <w:tcW w:w="79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Unamortized debt issuance costs</w:t>
            </w:r>
          </w:p>
        </w:tc>
        <w:tc>
          <w:tcPr>
            <w:tcW w:w="24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(6,110)</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(8,649)</w:t>
            </w:r>
          </w:p>
        </w:tc>
      </w:tr>
      <w:tr>
        <w:trPr>
          <w:trHeight w:val="223"/>
        </w:trPr>
        <w:tc>
          <w:tcPr>
            <w:tcW w:w="7940" w:type="dxa"/>
            <w:vAlign w:val="bottom"/>
          </w:tcPr>
          <w:p>
            <w:pPr>
              <w:jc w:val="center"/>
              <w:ind w:right="5650"/>
              <w:spacing w:after="0"/>
              <w:rPr>
                <w:sz w:val="20"/>
                <w:szCs w:val="20"/>
                <w:color w:val="auto"/>
              </w:rPr>
            </w:pPr>
            <w:r>
              <w:rPr>
                <w:rFonts w:ascii="Arial" w:cs="Arial" w:eastAsia="Arial" w:hAnsi="Arial"/>
                <w:sz w:val="18"/>
                <w:szCs w:val="18"/>
                <w:color w:val="auto"/>
                <w:w w:val="91"/>
              </w:rPr>
              <w:t>Net carrying amount</w:t>
            </w: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741,386</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738,847</w:t>
            </w:r>
          </w:p>
        </w:tc>
      </w:tr>
      <w:tr>
        <w:trPr>
          <w:trHeight w:val="20"/>
        </w:trPr>
        <w:tc>
          <w:tcPr>
            <w:tcW w:w="79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283" w:lineRule="exact"/>
        <w:rPr>
          <w:sz w:val="20"/>
          <w:szCs w:val="20"/>
          <w:color w:val="auto"/>
        </w:rPr>
      </w:pPr>
    </w:p>
    <w:p>
      <w:pPr>
        <w:jc w:val="both"/>
        <w:ind w:right="20" w:firstLine="486"/>
        <w:spacing w:after="0" w:line="263" w:lineRule="auto"/>
        <w:rPr>
          <w:sz w:val="20"/>
          <w:szCs w:val="20"/>
          <w:color w:val="auto"/>
        </w:rPr>
      </w:pPr>
      <w:r>
        <w:rPr>
          <w:rFonts w:ascii="Arial" w:cs="Arial" w:eastAsia="Arial" w:hAnsi="Arial"/>
          <w:sz w:val="18"/>
          <w:szCs w:val="18"/>
          <w:color w:val="auto"/>
        </w:rPr>
        <w:t>As of September 30, 2023, the total estimated fair value of the 2025 Notes was approximately $881.0 million. The fair value was determined based on the closing trading price or quoted market price per $100 of the 2025 Notes as of the last day of trading for the period. The fair value of the 2025 Notes is primarily affected by the trading price of the Company’s Class A common stock and market interest rates.</w:t>
      </w:r>
    </w:p>
    <w:p>
      <w:pPr>
        <w:spacing w:after="0" w:line="184"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The following table sets forth the interest expense related to the 2025 Notes for the three and nine months ended September 30, 2023 and 2022 (in thousands):</w:t>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800" w:type="dxa"/>
            <w:vAlign w:val="bottom"/>
            <w:gridSpan w:val="3"/>
          </w:tcPr>
          <w:p>
            <w:pPr>
              <w:jc w:val="right"/>
              <w:ind w:right="376"/>
              <w:spacing w:after="0"/>
              <w:rPr>
                <w:sz w:val="20"/>
                <w:szCs w:val="20"/>
                <w:color w:val="auto"/>
              </w:rPr>
            </w:pPr>
            <w:r>
              <w:rPr>
                <w:rFonts w:ascii="Arial" w:cs="Arial" w:eastAsia="Arial" w:hAnsi="Arial"/>
                <w:sz w:val="14"/>
                <w:szCs w:val="14"/>
                <w:b w:val="1"/>
                <w:bCs w:val="1"/>
                <w:color w:val="auto"/>
                <w:w w:val="95"/>
              </w:rPr>
              <w:t>Three Months Ended</w:t>
            </w: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340" w:type="dxa"/>
            <w:vAlign w:val="bottom"/>
            <w:gridSpan w:val="3"/>
          </w:tcPr>
          <w:p>
            <w:pPr>
              <w:jc w:val="right"/>
              <w:spacing w:after="0"/>
              <w:rPr>
                <w:sz w:val="20"/>
                <w:szCs w:val="20"/>
                <w:color w:val="auto"/>
              </w:rPr>
            </w:pPr>
            <w:r>
              <w:rPr>
                <w:rFonts w:ascii="Arial" w:cs="Arial" w:eastAsia="Arial" w:hAnsi="Arial"/>
                <w:sz w:val="14"/>
                <w:szCs w:val="14"/>
                <w:b w:val="1"/>
                <w:bCs w:val="1"/>
                <w:color w:val="auto"/>
                <w:w w:val="96"/>
              </w:rPr>
              <w:t>Nine Months Ended</w:t>
            </w:r>
          </w:p>
        </w:tc>
        <w:tc>
          <w:tcPr>
            <w:tcW w:w="1020" w:type="dxa"/>
            <w:vAlign w:val="bottom"/>
          </w:tcPr>
          <w:p>
            <w:pPr>
              <w:spacing w:after="0"/>
              <w:rPr>
                <w:sz w:val="14"/>
                <w:szCs w:val="14"/>
                <w:color w:val="auto"/>
              </w:rPr>
            </w:pPr>
          </w:p>
        </w:tc>
      </w:tr>
      <w:tr>
        <w:trPr>
          <w:trHeight w:val="192"/>
        </w:trPr>
        <w:tc>
          <w:tcPr>
            <w:tcW w:w="4260" w:type="dxa"/>
            <w:vAlign w:val="bottom"/>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gridSpan w:val="3"/>
          </w:tcPr>
          <w:p>
            <w:pPr>
              <w:jc w:val="right"/>
              <w:ind w:right="596"/>
              <w:spacing w:after="0"/>
              <w:rPr>
                <w:sz w:val="20"/>
                <w:szCs w:val="20"/>
                <w:color w:val="auto"/>
              </w:rPr>
            </w:pPr>
            <w:r>
              <w:rPr>
                <w:rFonts w:ascii="Arial" w:cs="Arial" w:eastAsia="Arial" w:hAnsi="Arial"/>
                <w:sz w:val="14"/>
                <w:szCs w:val="14"/>
                <w:b w:val="1"/>
                <w:bCs w:val="1"/>
                <w:color w:val="auto"/>
              </w:rPr>
              <w:t>September 30,</w:t>
            </w:r>
          </w:p>
        </w:tc>
        <w:tc>
          <w:tcPr>
            <w:tcW w:w="5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3"/>
          </w:tcPr>
          <w:p>
            <w:pPr>
              <w:jc w:val="right"/>
              <w:ind w:right="130"/>
              <w:spacing w:after="0"/>
              <w:rPr>
                <w:sz w:val="20"/>
                <w:szCs w:val="20"/>
                <w:color w:val="auto"/>
              </w:rPr>
            </w:pPr>
            <w:r>
              <w:rPr>
                <w:rFonts w:ascii="Arial" w:cs="Arial" w:eastAsia="Arial" w:hAnsi="Arial"/>
                <w:sz w:val="14"/>
                <w:szCs w:val="14"/>
                <w:b w:val="1"/>
                <w:bCs w:val="1"/>
                <w:color w:val="auto"/>
              </w:rPr>
              <w:t>September 30,</w:t>
            </w:r>
          </w:p>
        </w:tc>
        <w:tc>
          <w:tcPr>
            <w:tcW w:w="1020" w:type="dxa"/>
            <w:vAlign w:val="bottom"/>
            <w:tcBorders>
              <w:bottom w:val="single" w:sz="8" w:color="auto"/>
            </w:tcBorders>
          </w:tcPr>
          <w:p>
            <w:pPr>
              <w:spacing w:after="0"/>
              <w:rPr>
                <w:sz w:val="16"/>
                <w:szCs w:val="16"/>
                <w:color w:val="auto"/>
              </w:rPr>
            </w:pPr>
          </w:p>
        </w:tc>
      </w:tr>
      <w:tr>
        <w:trPr>
          <w:trHeight w:val="195"/>
        </w:trPr>
        <w:tc>
          <w:tcPr>
            <w:tcW w:w="4260" w:type="dxa"/>
            <w:vAlign w:val="bottom"/>
            <w:tcBorders>
              <w:bottom w:val="single" w:sz="8" w:color="CCEEFF"/>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64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060" w:type="dxa"/>
            <w:vAlign w:val="bottom"/>
            <w:tcBorders>
              <w:bottom w:val="single" w:sz="8" w:color="auto"/>
            </w:tcBorders>
          </w:tcPr>
          <w:p>
            <w:pPr>
              <w:jc w:val="right"/>
              <w:ind w:right="16"/>
              <w:spacing w:after="0"/>
              <w:rPr>
                <w:sz w:val="20"/>
                <w:szCs w:val="20"/>
                <w:color w:val="auto"/>
              </w:rPr>
            </w:pPr>
            <w:r>
              <w:rPr>
                <w:rFonts w:ascii="Arial" w:cs="Arial" w:eastAsia="Arial" w:hAnsi="Arial"/>
                <w:sz w:val="14"/>
                <w:szCs w:val="14"/>
                <w:b w:val="1"/>
                <w:bCs w:val="1"/>
                <w:color w:val="auto"/>
              </w:rPr>
              <w:t>2022</w:t>
            </w:r>
          </w:p>
        </w:tc>
        <w:tc>
          <w:tcPr>
            <w:tcW w:w="58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62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595"/>
              <w:spacing w:after="0"/>
              <w:rPr>
                <w:sz w:val="20"/>
                <w:szCs w:val="20"/>
                <w:color w:val="auto"/>
              </w:rPr>
            </w:pPr>
            <w:r>
              <w:rPr>
                <w:rFonts w:ascii="Arial" w:cs="Arial" w:eastAsia="Arial" w:hAnsi="Arial"/>
                <w:sz w:val="14"/>
                <w:szCs w:val="14"/>
                <w:b w:val="1"/>
                <w:bCs w:val="1"/>
                <w:color w:val="auto"/>
              </w:rPr>
              <w:t>2022</w:t>
            </w:r>
          </w:p>
        </w:tc>
      </w:tr>
      <w:tr>
        <w:trPr>
          <w:trHeight w:val="229"/>
        </w:trPr>
        <w:tc>
          <w:tcPr>
            <w:tcW w:w="4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Contractual interest expense</w:t>
            </w:r>
          </w:p>
        </w:tc>
        <w:tc>
          <w:tcPr>
            <w:tcW w:w="1000" w:type="dxa"/>
            <w:vAlign w:val="bottom"/>
            <w:shd w:val="clear" w:color="auto" w:fill="CCEEFF"/>
          </w:tcPr>
          <w:p>
            <w:pPr>
              <w:jc w:val="right"/>
              <w:ind w:right="816"/>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856"/>
              <w:spacing w:after="0"/>
              <w:rPr>
                <w:sz w:val="20"/>
                <w:szCs w:val="20"/>
                <w:color w:val="auto"/>
              </w:rPr>
            </w:pPr>
            <w:r>
              <w:rPr>
                <w:rFonts w:ascii="Arial" w:cs="Arial" w:eastAsia="Arial" w:hAnsi="Arial"/>
                <w:sz w:val="18"/>
                <w:szCs w:val="18"/>
                <w:color w:val="auto"/>
                <w:w w:val="9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w:t>
            </w: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816"/>
              <w:spacing w:after="0"/>
              <w:rPr>
                <w:sz w:val="20"/>
                <w:szCs w:val="20"/>
                <w:color w:val="auto"/>
              </w:rPr>
            </w:pPr>
            <w:r>
              <w:rPr>
                <w:rFonts w:ascii="Arial" w:cs="Arial" w:eastAsia="Arial" w:hAnsi="Arial"/>
                <w:sz w:val="18"/>
                <w:szCs w:val="18"/>
                <w:color w:val="auto"/>
                <w:w w:val="9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701</w:t>
            </w: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701</w:t>
            </w:r>
          </w:p>
        </w:tc>
      </w:tr>
      <w:tr>
        <w:trPr>
          <w:trHeight w:val="230"/>
        </w:trPr>
        <w:tc>
          <w:tcPr>
            <w:tcW w:w="42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Amortization of issuance costs</w:t>
            </w:r>
          </w:p>
        </w:tc>
        <w:tc>
          <w:tcPr>
            <w:tcW w:w="10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848</w:t>
            </w:r>
          </w:p>
        </w:tc>
        <w:tc>
          <w:tcPr>
            <w:tcW w:w="100" w:type="dxa"/>
            <w:vAlign w:val="bottom"/>
            <w:tcBorders>
              <w:bottom w:val="single" w:sz="8" w:color="CCEEFF"/>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843</w:t>
            </w:r>
          </w:p>
        </w:tc>
        <w:tc>
          <w:tcPr>
            <w:tcW w:w="100" w:type="dxa"/>
            <w:vAlign w:val="bottom"/>
            <w:tcBorders>
              <w:bottom w:val="single" w:sz="8" w:color="CCEEFF"/>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2,539</w:t>
            </w:r>
          </w:p>
        </w:tc>
        <w:tc>
          <w:tcPr>
            <w:tcW w:w="100" w:type="dxa"/>
            <w:vAlign w:val="bottom"/>
            <w:tcBorders>
              <w:bottom w:val="single" w:sz="8" w:color="CCEEFF"/>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2,525</w:t>
            </w:r>
          </w:p>
        </w:tc>
      </w:tr>
      <w:tr>
        <w:trPr>
          <w:trHeight w:val="248"/>
        </w:trPr>
        <w:tc>
          <w:tcPr>
            <w:tcW w:w="42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w:t>
            </w:r>
          </w:p>
        </w:tc>
        <w:tc>
          <w:tcPr>
            <w:tcW w:w="1000" w:type="dxa"/>
            <w:vAlign w:val="bottom"/>
            <w:tcBorders>
              <w:bottom w:val="single" w:sz="8" w:color="auto"/>
            </w:tcBorders>
            <w:shd w:val="clear" w:color="auto" w:fill="CCEEFF"/>
          </w:tcPr>
          <w:p>
            <w:pPr>
              <w:jc w:val="right"/>
              <w:ind w:right="816"/>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1,081</w:t>
            </w:r>
          </w:p>
        </w:tc>
        <w:tc>
          <w:tcPr>
            <w:tcW w:w="1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ind w:right="856"/>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1,077</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ind w:right="816"/>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3,240</w:t>
            </w: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auto"/>
            </w:tcBorders>
            <w:shd w:val="clear" w:color="auto" w:fill="CCEEFF"/>
          </w:tcPr>
          <w:p>
            <w:pPr>
              <w:jc w:val="right"/>
              <w:ind w:right="4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3,226</w:t>
            </w:r>
          </w:p>
        </w:tc>
      </w:tr>
      <w:tr>
        <w:trPr>
          <w:trHeight w:val="20"/>
        </w:trPr>
        <w:tc>
          <w:tcPr>
            <w:tcW w:w="426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Capped Calls</w:t>
      </w:r>
    </w:p>
    <w:p>
      <w:pPr>
        <w:spacing w:after="0" w:line="225" w:lineRule="exact"/>
        <w:rPr>
          <w:sz w:val="20"/>
          <w:szCs w:val="20"/>
          <w:color w:val="auto"/>
        </w:rPr>
      </w:pPr>
    </w:p>
    <w:p>
      <w:pPr>
        <w:jc w:val="both"/>
        <w:ind w:firstLine="486"/>
        <w:spacing w:after="0" w:line="290" w:lineRule="auto"/>
        <w:rPr>
          <w:sz w:val="20"/>
          <w:szCs w:val="20"/>
          <w:color w:val="auto"/>
        </w:rPr>
      </w:pPr>
      <w:r>
        <w:rPr>
          <w:rFonts w:ascii="Arial" w:cs="Arial" w:eastAsia="Arial" w:hAnsi="Arial"/>
          <w:sz w:val="16"/>
          <w:szCs w:val="16"/>
          <w:color w:val="auto"/>
        </w:rPr>
        <w:t>In connection with the pricing of the 2025 Notes, the Company entered into privately negotiated capped call transactions with certain counterparties (“Capped Calls”). The Capped Calls each have an initial strike price of approximately $92.30 per share, subject to certain adjustments, which corresponds to the initial conversion price of the 2025 Notes. The Capped Calls have initial cap prices of $151.04 per share, subject to certain adjustments. The Capped Calls are expected to partially offset the potential dilution to the Company’s Class A common stock upon any conversion of the 2025 Notes, with such offset subject to a cap based on the cap price. The Capped Calls cover, subject to anti-dilution adjustments, approximately 8.1 million shares of the Company’s Class A common stock. For accounting purposes, the Capped Calls are separate transactions, and not part of the 2025 Notes. As these transactions meet certain accounting criteria, the Capped Calls are recorded in stockholders’ equity and are not accounted for as derivatives. The cost of $89.6 million incurred to purchase the Capped Calls was recorded as a reduction to additional paid-in capital and will not be remeasured.</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Commitments and Contingencies</w:t>
      </w:r>
    </w:p>
    <w:p>
      <w:pPr>
        <w:spacing w:after="0" w:line="229"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b w:val="1"/>
          <w:bCs w:val="1"/>
          <w:i w:val="1"/>
          <w:iCs w:val="1"/>
          <w:color w:val="auto"/>
        </w:rPr>
        <w:t>Non-cancelable Material Commitments—</w:t>
      </w:r>
      <w:r>
        <w:rPr>
          <w:rFonts w:ascii="Arial" w:cs="Arial" w:eastAsia="Arial" w:hAnsi="Arial"/>
          <w:sz w:val="18"/>
          <w:szCs w:val="18"/>
          <w:color w:val="auto"/>
        </w:rPr>
        <w:t>During the nine months ended September 30, 2023, other than certain non-cancelable operating leases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described in Note 9, </w:t>
      </w:r>
      <w:r>
        <w:rPr>
          <w:rFonts w:ascii="Arial" w:cs="Arial" w:eastAsia="Arial" w:hAnsi="Arial"/>
          <w:sz w:val="18"/>
          <w:szCs w:val="18"/>
          <w:i w:val="1"/>
          <w:iCs w:val="1"/>
          <w:color w:val="auto"/>
        </w:rPr>
        <w:t>Leases</w:t>
      </w:r>
      <w:r>
        <w:rPr>
          <w:rFonts w:ascii="Arial" w:cs="Arial" w:eastAsia="Arial" w:hAnsi="Arial"/>
          <w:sz w:val="18"/>
          <w:szCs w:val="18"/>
          <w:color w:val="auto"/>
        </w:rPr>
        <w:t>, there have been no other material changes outside the ordinary course of business to the Company’s contractual obligations and commitments from those disclosed in the Annual Report.</w:t>
      </w:r>
    </w:p>
    <w:p>
      <w:pPr>
        <w:spacing w:after="0" w:line="184" w:lineRule="exact"/>
        <w:rPr>
          <w:sz w:val="20"/>
          <w:szCs w:val="20"/>
          <w:color w:val="auto"/>
        </w:rPr>
      </w:pPr>
    </w:p>
    <w:p>
      <w:pPr>
        <w:jc w:val="both"/>
        <w:ind w:firstLine="486"/>
        <w:spacing w:after="0" w:line="279" w:lineRule="auto"/>
        <w:rPr>
          <w:sz w:val="20"/>
          <w:szCs w:val="20"/>
          <w:color w:val="auto"/>
        </w:rPr>
      </w:pPr>
      <w:r>
        <w:rPr>
          <w:rFonts w:ascii="Arial" w:cs="Arial" w:eastAsia="Arial" w:hAnsi="Arial"/>
          <w:sz w:val="17"/>
          <w:szCs w:val="17"/>
          <w:b w:val="1"/>
          <w:bCs w:val="1"/>
          <w:i w:val="1"/>
          <w:iCs w:val="1"/>
          <w:color w:val="auto"/>
        </w:rPr>
        <w:t>401(k) Plan</w:t>
      </w:r>
      <w:r>
        <w:rPr>
          <w:rFonts w:ascii="Arial" w:cs="Arial" w:eastAsia="Arial" w:hAnsi="Arial"/>
          <w:sz w:val="17"/>
          <w:szCs w:val="17"/>
          <w:color w:val="auto"/>
        </w:rPr>
        <w:t>—The Company sponsors a 401(k) defined contribution plan covering all eligible U.S. employees. The Company is responsible for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administrative costs of the 401(k) plan and makes matching contributions to the 401(k) plan. For the three and nine months ended September 30, 2023, the Company incurred expense of $1.6 million and $4.7 million, respectively, for matching contributions. For the three and nine months ended September 30, 2022, the Company incurred expense of $1.6 million and $4.3 million, respectively, for matching contributions.</w:t>
      </w:r>
    </w:p>
    <w:p>
      <w:pPr>
        <w:spacing w:after="0" w:line="171"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b w:val="1"/>
          <w:bCs w:val="1"/>
          <w:i w:val="1"/>
          <w:iCs w:val="1"/>
          <w:color w:val="auto"/>
        </w:rPr>
        <w:t>Legal Matters</w:t>
      </w:r>
      <w:r>
        <w:rPr>
          <w:rFonts w:ascii="Arial" w:cs="Arial" w:eastAsia="Arial" w:hAnsi="Arial"/>
          <w:sz w:val="18"/>
          <w:szCs w:val="18"/>
          <w:color w:val="auto"/>
        </w:rPr>
        <w:t>—The Company is involved from time to time in various claims and legal actions arising in the ordinary course of business. While it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is not feasible to predict or determine the ultimate outcome of these matters, the Company believes that none of its current legal proceedings will have a material adverse effect on its financial position or results of operations.</w:t>
      </w:r>
    </w:p>
    <w:p>
      <w:pPr>
        <w:spacing w:after="0" w:line="184"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b w:val="1"/>
          <w:bCs w:val="1"/>
          <w:i w:val="1"/>
          <w:iCs w:val="1"/>
          <w:color w:val="auto"/>
        </w:rPr>
        <w:t>Indemnification</w:t>
      </w:r>
      <w:r>
        <w:rPr>
          <w:rFonts w:ascii="Arial" w:cs="Arial" w:eastAsia="Arial" w:hAnsi="Arial"/>
          <w:sz w:val="18"/>
          <w:szCs w:val="18"/>
          <w:color w:val="auto"/>
        </w:rPr>
        <w:t>—The Company enters into indemnification provisions under some agreements with other parties in the ordinary course of business,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including business partners, investors, contractors, customers and the Company’s officers, directors and certain employees. The Company has agreed to indemnify and defend the indemnified party claims and related losses suffered or incurred by the indemnified party from actual or threatened third-party claim because of the Company’s activities or non-compliance with certain representations and warranties made by the Company. It is not possible to determine the maximum</w:t>
      </w:r>
    </w:p>
    <w:p>
      <w:pPr>
        <w:sectPr>
          <w:pgSz w:w="11900" w:h="16838" w:orient="portrait"/>
          <w:cols w:equalWidth="0" w:num="1">
            <w:col w:w="11240"/>
          </w:cols>
          <w:pgMar w:left="320" w:top="1313" w:right="339" w:bottom="1440" w:gutter="0" w:footer="0" w:header="0"/>
        </w:sectPr>
      </w:pP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13" w:right="339" w:bottom="1440" w:gutter="0" w:footer="0" w:header="0"/>
          <w:type w:val="continuous"/>
        </w:sectPr>
      </w:pPr>
    </w:p>
    <w:bookmarkStart w:id="16" w:name="page17"/>
    <w:bookmarkEnd w:id="16"/>
    <w:p>
      <w:pPr>
        <w:jc w:val="both"/>
        <w:spacing w:after="0" w:line="263" w:lineRule="auto"/>
        <w:rPr>
          <w:sz w:val="20"/>
          <w:szCs w:val="20"/>
          <w:color w:val="auto"/>
        </w:rPr>
      </w:pPr>
      <w:r>
        <w:rPr>
          <w:rFonts w:ascii="Arial" w:cs="Arial" w:eastAsia="Arial" w:hAnsi="Arial"/>
          <w:sz w:val="18"/>
          <w:szCs w:val="18"/>
          <w:color w:val="auto"/>
        </w:rPr>
        <w:t>potential loss under these indemnification provisions due to the Company’s limited history of prior indemnification claims and the unique facts and circumstances involved in each particular provision. To date, losses recorded in the Company’s condensed consolidated statements of operations in connection with the indemnification provisions have not been material.</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Leases</w:t>
      </w:r>
    </w:p>
    <w:p>
      <w:pPr>
        <w:spacing w:after="0" w:line="229" w:lineRule="exact"/>
        <w:rPr>
          <w:sz w:val="20"/>
          <w:szCs w:val="20"/>
          <w:color w:val="auto"/>
        </w:rPr>
      </w:pPr>
    </w:p>
    <w:p>
      <w:pPr>
        <w:jc w:val="both"/>
        <w:ind w:firstLine="486"/>
        <w:spacing w:after="0" w:line="311" w:lineRule="auto"/>
        <w:rPr>
          <w:sz w:val="20"/>
          <w:szCs w:val="20"/>
          <w:color w:val="auto"/>
        </w:rPr>
      </w:pPr>
      <w:r>
        <w:rPr>
          <w:rFonts w:ascii="Arial" w:cs="Arial" w:eastAsia="Arial" w:hAnsi="Arial"/>
          <w:sz w:val="16"/>
          <w:szCs w:val="16"/>
          <w:color w:val="auto"/>
        </w:rPr>
        <w:t>The Company has entered into various non-cancelable operating leases for its facilities expiring between 2023 and 2033. Certain lease agreements contain an option for the Company to renew a lease for a term of up to three years or an option to terminate a lease early within one year. The Company considers these options, which may be elected at the Company’s sole discretion, in determining the lease term on a lease-by-lease basis.</w:t>
      </w:r>
    </w:p>
    <w:p>
      <w:pPr>
        <w:spacing w:after="0" w:line="149" w:lineRule="exact"/>
        <w:rPr>
          <w:sz w:val="20"/>
          <w:szCs w:val="20"/>
          <w:color w:val="auto"/>
        </w:rPr>
      </w:pPr>
    </w:p>
    <w:p>
      <w:pPr>
        <w:jc w:val="both"/>
        <w:ind w:right="20" w:firstLine="486"/>
        <w:spacing w:after="0" w:line="277" w:lineRule="auto"/>
        <w:rPr>
          <w:sz w:val="20"/>
          <w:szCs w:val="20"/>
          <w:color w:val="auto"/>
        </w:rPr>
      </w:pPr>
      <w:r>
        <w:rPr>
          <w:rFonts w:ascii="Arial" w:cs="Arial" w:eastAsia="Arial" w:hAnsi="Arial"/>
          <w:sz w:val="18"/>
          <w:szCs w:val="18"/>
          <w:color w:val="auto"/>
        </w:rPr>
        <w:t>Lease expense for these leases is recognized on a straight-line basis over the lease term, with variable lease payments recognized in the period those payments are incurred.</w:t>
      </w:r>
    </w:p>
    <w:p>
      <w:pPr>
        <w:spacing w:after="0" w:line="170" w:lineRule="exact"/>
        <w:rPr>
          <w:sz w:val="20"/>
          <w:szCs w:val="20"/>
          <w:color w:val="auto"/>
        </w:rPr>
      </w:pPr>
    </w:p>
    <w:p>
      <w:pPr>
        <w:ind w:left="500"/>
        <w:spacing w:after="0"/>
        <w:rPr>
          <w:sz w:val="20"/>
          <w:szCs w:val="20"/>
          <w:color w:val="auto"/>
        </w:rPr>
      </w:pPr>
      <w:r>
        <w:rPr>
          <w:rFonts w:ascii="Arial" w:cs="Arial" w:eastAsia="Arial" w:hAnsi="Arial"/>
          <w:sz w:val="16"/>
          <w:szCs w:val="16"/>
          <w:color w:val="auto"/>
        </w:rPr>
        <w:t>The components of lease cost recognized within the Company’s condensed consolidated statements of operations were as follows (in thousands):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60" w:type="dxa"/>
            <w:vAlign w:val="bottom"/>
          </w:tcPr>
          <w:p>
            <w:pPr>
              <w:spacing w:after="0"/>
              <w:rPr>
                <w:sz w:val="14"/>
                <w:szCs w:val="14"/>
                <w:color w:val="auto"/>
              </w:rPr>
            </w:pPr>
          </w:p>
        </w:tc>
        <w:tc>
          <w:tcPr>
            <w:tcW w:w="2220" w:type="dxa"/>
            <w:vAlign w:val="bottom"/>
            <w:gridSpan w:val="4"/>
          </w:tcPr>
          <w:p>
            <w:pPr>
              <w:jc w:val="center"/>
              <w:ind w:left="402"/>
              <w:spacing w:after="0"/>
              <w:rPr>
                <w:sz w:val="20"/>
                <w:szCs w:val="20"/>
                <w:color w:val="auto"/>
              </w:rPr>
            </w:pPr>
            <w:r>
              <w:rPr>
                <w:rFonts w:ascii="Arial" w:cs="Arial" w:eastAsia="Arial" w:hAnsi="Arial"/>
                <w:sz w:val="14"/>
                <w:szCs w:val="14"/>
                <w:b w:val="1"/>
                <w:bCs w:val="1"/>
                <w:color w:val="auto"/>
                <w:w w:val="93"/>
              </w:rPr>
              <w:t>Three Months Ended</w:t>
            </w: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440" w:type="dxa"/>
            <w:vAlign w:val="bottom"/>
            <w:gridSpan w:val="4"/>
          </w:tcPr>
          <w:p>
            <w:pPr>
              <w:jc w:val="center"/>
              <w:ind w:right="236"/>
              <w:spacing w:after="0"/>
              <w:rPr>
                <w:sz w:val="20"/>
                <w:szCs w:val="20"/>
                <w:color w:val="auto"/>
              </w:rPr>
            </w:pPr>
            <w:r>
              <w:rPr>
                <w:rFonts w:ascii="Arial" w:cs="Arial" w:eastAsia="Arial" w:hAnsi="Arial"/>
                <w:sz w:val="14"/>
                <w:szCs w:val="14"/>
                <w:b w:val="1"/>
                <w:bCs w:val="1"/>
                <w:color w:val="auto"/>
                <w:w w:val="94"/>
              </w:rPr>
              <w:t>Nine Months Ended</w:t>
            </w:r>
          </w:p>
        </w:tc>
      </w:tr>
      <w:tr>
        <w:trPr>
          <w:trHeight w:val="196"/>
        </w:trPr>
        <w:tc>
          <w:tcPr>
            <w:tcW w:w="5660" w:type="dxa"/>
            <w:vAlign w:val="bottom"/>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gridSpan w:val="3"/>
          </w:tcPr>
          <w:p>
            <w:pPr>
              <w:jc w:val="center"/>
              <w:ind w:right="219"/>
              <w:spacing w:after="0"/>
              <w:rPr>
                <w:sz w:val="20"/>
                <w:szCs w:val="20"/>
                <w:color w:val="auto"/>
              </w:rPr>
            </w:pPr>
            <w:r>
              <w:rPr>
                <w:rFonts w:ascii="Arial" w:cs="Arial" w:eastAsia="Arial" w:hAnsi="Arial"/>
                <w:sz w:val="14"/>
                <w:szCs w:val="14"/>
                <w:b w:val="1"/>
                <w:bCs w:val="1"/>
                <w:color w:val="auto"/>
                <w:w w:val="91"/>
              </w:rPr>
              <w:t>September 30,</w:t>
            </w:r>
          </w:p>
        </w:tc>
        <w:tc>
          <w:tcPr>
            <w:tcW w:w="50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gridSpan w:val="3"/>
          </w:tcPr>
          <w:p>
            <w:pPr>
              <w:jc w:val="center"/>
              <w:ind w:left="481"/>
              <w:spacing w:after="0"/>
              <w:rPr>
                <w:sz w:val="20"/>
                <w:szCs w:val="20"/>
                <w:color w:val="auto"/>
              </w:rPr>
            </w:pPr>
            <w:r>
              <w:rPr>
                <w:rFonts w:ascii="Arial" w:cs="Arial" w:eastAsia="Arial" w:hAnsi="Arial"/>
                <w:sz w:val="14"/>
                <w:szCs w:val="14"/>
                <w:b w:val="1"/>
                <w:bCs w:val="1"/>
                <w:color w:val="auto"/>
                <w:w w:val="91"/>
              </w:rPr>
              <w:t>September 30,</w:t>
            </w:r>
          </w:p>
        </w:tc>
        <w:tc>
          <w:tcPr>
            <w:tcW w:w="880" w:type="dxa"/>
            <w:vAlign w:val="bottom"/>
            <w:tcBorders>
              <w:bottom w:val="single" w:sz="8" w:color="auto"/>
            </w:tcBorders>
          </w:tcPr>
          <w:p>
            <w:pPr>
              <w:spacing w:after="0"/>
              <w:rPr>
                <w:sz w:val="17"/>
                <w:szCs w:val="17"/>
                <w:color w:val="auto"/>
              </w:rPr>
            </w:pPr>
          </w:p>
        </w:tc>
      </w:tr>
      <w:tr>
        <w:trPr>
          <w:trHeight w:val="196"/>
        </w:trPr>
        <w:tc>
          <w:tcPr>
            <w:tcW w:w="5660" w:type="dxa"/>
            <w:vAlign w:val="bottom"/>
            <w:tcBorders>
              <w:bottom w:val="single" w:sz="8" w:color="CCEEFF"/>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50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50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421"/>
              <w:spacing w:after="0"/>
              <w:rPr>
                <w:sz w:val="20"/>
                <w:szCs w:val="20"/>
                <w:color w:val="auto"/>
              </w:rPr>
            </w:pPr>
            <w:r>
              <w:rPr>
                <w:rFonts w:ascii="Arial" w:cs="Arial" w:eastAsia="Arial" w:hAnsi="Arial"/>
                <w:sz w:val="14"/>
                <w:szCs w:val="14"/>
                <w:b w:val="1"/>
                <w:bCs w:val="1"/>
                <w:color w:val="auto"/>
              </w:rPr>
              <w:t>2023</w:t>
            </w:r>
          </w:p>
        </w:tc>
        <w:tc>
          <w:tcPr>
            <w:tcW w:w="120" w:type="dxa"/>
            <w:vAlign w:val="bottom"/>
            <w:tcBorders>
              <w:bottom w:val="single" w:sz="8" w:color="CCEEFF"/>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436"/>
              <w:spacing w:after="0"/>
              <w:rPr>
                <w:sz w:val="20"/>
                <w:szCs w:val="20"/>
                <w:color w:val="auto"/>
              </w:rPr>
            </w:pPr>
            <w:r>
              <w:rPr>
                <w:rFonts w:ascii="Arial" w:cs="Arial" w:eastAsia="Arial" w:hAnsi="Arial"/>
                <w:sz w:val="14"/>
                <w:szCs w:val="14"/>
                <w:b w:val="1"/>
                <w:bCs w:val="1"/>
                <w:color w:val="auto"/>
              </w:rPr>
              <w:t>2022</w:t>
            </w:r>
          </w:p>
        </w:tc>
      </w:tr>
      <w:tr>
        <w:trPr>
          <w:trHeight w:val="229"/>
        </w:trPr>
        <w:tc>
          <w:tcPr>
            <w:tcW w:w="566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Operating lease cost</w:t>
            </w:r>
            <w:r>
              <w:rPr>
                <w:rFonts w:ascii="Arial" w:cs="Arial" w:eastAsia="Arial" w:hAnsi="Arial"/>
                <w:sz w:val="21"/>
                <w:szCs w:val="21"/>
                <w:color w:val="auto"/>
                <w:vertAlign w:val="superscript"/>
              </w:rPr>
              <w:t>(1)</w:t>
            </w:r>
          </w:p>
        </w:tc>
        <w:tc>
          <w:tcPr>
            <w:tcW w:w="800" w:type="dxa"/>
            <w:vAlign w:val="bottom"/>
            <w:shd w:val="clear" w:color="auto" w:fill="CCEEFF"/>
          </w:tcPr>
          <w:p>
            <w:pPr>
              <w:jc w:val="right"/>
              <w:ind w:right="622"/>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9,330</w:t>
            </w: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619"/>
              <w:spacing w:after="0"/>
              <w:rPr>
                <w:sz w:val="20"/>
                <w:szCs w:val="20"/>
                <w:color w:val="auto"/>
              </w:rPr>
            </w:pPr>
            <w:r>
              <w:rPr>
                <w:rFonts w:ascii="Arial" w:cs="Arial" w:eastAsia="Arial" w:hAnsi="Arial"/>
                <w:sz w:val="18"/>
                <w:szCs w:val="18"/>
                <w:color w:val="auto"/>
                <w:w w:val="9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6,438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24,779</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17,703</w:t>
            </w:r>
          </w:p>
        </w:tc>
      </w:tr>
      <w:tr>
        <w:trPr>
          <w:trHeight w:val="230"/>
        </w:trPr>
        <w:tc>
          <w:tcPr>
            <w:tcW w:w="5660" w:type="dxa"/>
            <w:vAlign w:val="bottom"/>
          </w:tcPr>
          <w:p>
            <w:pPr>
              <w:ind w:left="20"/>
              <w:spacing w:after="0"/>
              <w:rPr>
                <w:sz w:val="20"/>
                <w:szCs w:val="20"/>
                <w:color w:val="auto"/>
              </w:rPr>
            </w:pPr>
            <w:r>
              <w:rPr>
                <w:rFonts w:ascii="Arial" w:cs="Arial" w:eastAsia="Arial" w:hAnsi="Arial"/>
                <w:sz w:val="18"/>
                <w:szCs w:val="18"/>
                <w:color w:val="auto"/>
              </w:rPr>
              <w:t>Short-term lease cost</w:t>
            </w:r>
          </w:p>
        </w:tc>
        <w:tc>
          <w:tcPr>
            <w:tcW w:w="80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8"/>
              </w:rPr>
              <w:t>2,651</w:t>
            </w:r>
          </w:p>
        </w:tc>
        <w:tc>
          <w:tcPr>
            <w:tcW w:w="1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8"/>
              </w:rPr>
              <w:t>2,789</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7,370</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6,113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102235</wp:posOffset>
            </wp:positionV>
            <wp:extent cx="103695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036955" cy="8255"/>
                    </a:xfrm>
                    <a:prstGeom prst="rect">
                      <a:avLst/>
                    </a:prstGeom>
                    <a:noFill/>
                  </pic:spPr>
                </pic:pic>
              </a:graphicData>
            </a:graphic>
          </wp:anchor>
        </w:drawing>
      </w:r>
    </w:p>
    <w:p>
      <w:pPr>
        <w:spacing w:after="0" w:line="230" w:lineRule="exact"/>
        <w:rPr>
          <w:sz w:val="20"/>
          <w:szCs w:val="20"/>
          <w:color w:val="auto"/>
        </w:rPr>
      </w:pPr>
    </w:p>
    <w:p>
      <w:pPr>
        <w:ind w:left="340" w:right="220" w:hanging="332"/>
        <w:spacing w:after="0" w:line="293" w:lineRule="auto"/>
        <w:tabs>
          <w:tab w:leader="none" w:pos="338" w:val="left"/>
        </w:tabs>
        <w:numPr>
          <w:ilvl w:val="0"/>
          <w:numId w:val="6"/>
        </w:numPr>
        <w:rPr>
          <w:rFonts w:ascii="Arial" w:cs="Arial" w:eastAsia="Arial" w:hAnsi="Arial"/>
          <w:sz w:val="14"/>
          <w:szCs w:val="14"/>
          <w:color w:val="auto"/>
        </w:rPr>
      </w:pPr>
      <w:r>
        <w:rPr>
          <w:rFonts w:ascii="Arial" w:cs="Arial" w:eastAsia="Arial" w:hAnsi="Arial"/>
          <w:sz w:val="14"/>
          <w:szCs w:val="14"/>
          <w:color w:val="auto"/>
        </w:rPr>
        <w:t>Includes non-cash lease expense of $7.0 million and $5.5 million for the three months ended September 30, 2023 and 2022, respectively, and $19.3 million and $15.2 million for the nine months ended September 30, 2023 and 2022, respectively.</w:t>
      </w:r>
    </w:p>
    <w:p>
      <w:pPr>
        <w:spacing w:after="0" w:line="178" w:lineRule="exact"/>
        <w:rPr>
          <w:sz w:val="20"/>
          <w:szCs w:val="20"/>
          <w:color w:val="auto"/>
        </w:rPr>
      </w:pPr>
    </w:p>
    <w:p>
      <w:pPr>
        <w:ind w:left="500"/>
        <w:spacing w:after="0"/>
        <w:rPr>
          <w:sz w:val="20"/>
          <w:szCs w:val="20"/>
          <w:color w:val="auto"/>
        </w:rPr>
      </w:pPr>
      <w:r>
        <w:rPr>
          <w:rFonts w:ascii="Arial" w:cs="Arial" w:eastAsia="Arial" w:hAnsi="Arial"/>
          <w:sz w:val="18"/>
          <w:szCs w:val="18"/>
          <w:color w:val="auto"/>
        </w:rPr>
        <w:t>Supplemental cash flow information and non-cash activity related to the Company’s operating leases are as follows (in thousands):</w:t>
      </w:r>
    </w:p>
    <w:p>
      <w:pPr>
        <w:spacing w:after="0" w:line="122" w:lineRule="exact"/>
        <w:rPr>
          <w:sz w:val="20"/>
          <w:szCs w:val="20"/>
          <w:color w:val="auto"/>
        </w:rPr>
      </w:pPr>
    </w:p>
    <w:p>
      <w:pPr>
        <w:jc w:val="center"/>
        <w:ind w:left="8460"/>
        <w:spacing w:after="0"/>
        <w:rPr>
          <w:sz w:val="20"/>
          <w:szCs w:val="20"/>
          <w:color w:val="auto"/>
        </w:rPr>
      </w:pPr>
      <w:r>
        <w:rPr>
          <w:rFonts w:ascii="Arial" w:cs="Arial" w:eastAsia="Arial" w:hAnsi="Arial"/>
          <w:sz w:val="14"/>
          <w:szCs w:val="14"/>
          <w:b w:val="1"/>
          <w:bCs w:val="1"/>
          <w:color w:val="auto"/>
        </w:rPr>
        <w:t>Nine Months Ended</w:t>
      </w:r>
    </w:p>
    <w:p>
      <w:pPr>
        <w:spacing w:after="0" w:line="4" w:lineRule="exact"/>
        <w:rPr>
          <w:sz w:val="20"/>
          <w:szCs w:val="20"/>
          <w:color w:val="auto"/>
        </w:rPr>
      </w:pPr>
    </w:p>
    <w:p>
      <w:pPr>
        <w:jc w:val="center"/>
        <w:ind w:left="8460"/>
        <w:spacing w:after="0"/>
        <w:rPr>
          <w:sz w:val="20"/>
          <w:szCs w:val="20"/>
          <w:color w:val="auto"/>
        </w:rPr>
      </w:pPr>
      <w:r>
        <w:rPr>
          <w:rFonts w:ascii="Arial" w:cs="Arial" w:eastAsia="Arial" w:hAnsi="Arial"/>
          <w:sz w:val="14"/>
          <w:szCs w:val="14"/>
          <w:b w:val="1"/>
          <w:bCs w:val="1"/>
          <w:color w:val="auto"/>
        </w:rPr>
        <w:t>September 30,</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8480" w:type="dxa"/>
            <w:vAlign w:val="bottom"/>
            <w:tcBorders>
              <w:bottom w:val="single" w:sz="8" w:color="CCEEFF"/>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000" w:type="dxa"/>
            <w:vAlign w:val="bottom"/>
            <w:tcBorders>
              <w:top w:val="single" w:sz="8" w:color="auto"/>
              <w:bottom w:val="single" w:sz="8" w:color="auto"/>
            </w:tcBorders>
          </w:tcPr>
          <w:p>
            <w:pPr>
              <w:jc w:val="right"/>
              <w:ind w:right="416"/>
              <w:spacing w:after="0"/>
              <w:rPr>
                <w:sz w:val="20"/>
                <w:szCs w:val="20"/>
                <w:color w:val="auto"/>
              </w:rPr>
            </w:pPr>
            <w:r>
              <w:rPr>
                <w:rFonts w:ascii="Arial" w:cs="Arial" w:eastAsia="Arial" w:hAnsi="Arial"/>
                <w:sz w:val="14"/>
                <w:szCs w:val="14"/>
                <w:b w:val="1"/>
                <w:bCs w:val="1"/>
                <w:color w:val="auto"/>
              </w:rPr>
              <w:t>2023</w:t>
            </w:r>
          </w:p>
        </w:tc>
        <w:tc>
          <w:tcPr>
            <w:tcW w:w="120" w:type="dxa"/>
            <w:vAlign w:val="bottom"/>
            <w:tcBorders>
              <w:top w:val="single" w:sz="8" w:color="auto"/>
              <w:bottom w:val="single" w:sz="8" w:color="CCEEFF"/>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1060" w:type="dxa"/>
            <w:vAlign w:val="bottom"/>
            <w:tcBorders>
              <w:top w:val="single" w:sz="8" w:color="auto"/>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2022</w:t>
            </w:r>
          </w:p>
        </w:tc>
      </w:tr>
      <w:tr>
        <w:trPr>
          <w:trHeight w:val="230"/>
        </w:trPr>
        <w:tc>
          <w:tcPr>
            <w:tcW w:w="8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paid for amounts included in measurement of lease liabilities</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10,916</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18,198</w:t>
            </w:r>
          </w:p>
        </w:tc>
      </w:tr>
      <w:tr>
        <w:trPr>
          <w:trHeight w:val="230"/>
        </w:trPr>
        <w:tc>
          <w:tcPr>
            <w:tcW w:w="8480" w:type="dxa"/>
            <w:vAlign w:val="bottom"/>
          </w:tcPr>
          <w:p>
            <w:pPr>
              <w:ind w:left="20"/>
              <w:spacing w:after="0"/>
              <w:rPr>
                <w:sz w:val="20"/>
                <w:szCs w:val="20"/>
                <w:color w:val="auto"/>
              </w:rPr>
            </w:pPr>
            <w:r>
              <w:rPr>
                <w:rFonts w:ascii="Arial" w:cs="Arial" w:eastAsia="Arial" w:hAnsi="Arial"/>
                <w:sz w:val="18"/>
                <w:szCs w:val="18"/>
                <w:color w:val="auto"/>
              </w:rPr>
              <w:t>Operating lease assets obtained in exchange for new lease liabilities</w:t>
            </w:r>
          </w:p>
        </w:tc>
        <w:tc>
          <w:tcPr>
            <w:tcW w:w="3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53,660</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44,013</w:t>
            </w:r>
          </w:p>
        </w:tc>
      </w:tr>
      <w:tr>
        <w:trPr>
          <w:trHeight w:val="526"/>
        </w:trPr>
        <w:tc>
          <w:tcPr>
            <w:tcW w:w="8480" w:type="dxa"/>
            <w:vAlign w:val="bottom"/>
          </w:tcPr>
          <w:p>
            <w:pPr>
              <w:ind w:left="500"/>
              <w:spacing w:after="0"/>
              <w:rPr>
                <w:sz w:val="20"/>
                <w:szCs w:val="20"/>
                <w:color w:val="auto"/>
              </w:rPr>
            </w:pPr>
            <w:r>
              <w:rPr>
                <w:rFonts w:ascii="Arial" w:cs="Arial" w:eastAsia="Arial" w:hAnsi="Arial"/>
                <w:sz w:val="18"/>
                <w:szCs w:val="18"/>
                <w:color w:val="auto"/>
                <w:w w:val="92"/>
              </w:rPr>
              <w:t>Maturities of lease liabilities by fiscal year for the Company’s operating leases are as follows (in thousands):</w:t>
            </w: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366"/>
        </w:trPr>
        <w:tc>
          <w:tcPr>
            <w:tcW w:w="84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tcPr>
          <w:p>
            <w:pPr>
              <w:jc w:val="right"/>
              <w:ind w:right="313"/>
              <w:spacing w:after="0"/>
              <w:rPr>
                <w:sz w:val="20"/>
                <w:szCs w:val="20"/>
                <w:color w:val="auto"/>
              </w:rPr>
            </w:pPr>
            <w:r>
              <w:rPr>
                <w:rFonts w:ascii="Arial" w:cs="Arial" w:eastAsia="Arial" w:hAnsi="Arial"/>
                <w:sz w:val="14"/>
                <w:szCs w:val="14"/>
                <w:b w:val="1"/>
                <w:bCs w:val="1"/>
                <w:color w:val="auto"/>
              </w:rPr>
              <w:t>Amount</w:t>
            </w:r>
          </w:p>
        </w:tc>
      </w:tr>
      <w:tr>
        <w:trPr>
          <w:trHeight w:val="25"/>
        </w:trPr>
        <w:tc>
          <w:tcPr>
            <w:tcW w:w="8480" w:type="dxa"/>
            <w:vAlign w:val="bottom"/>
            <w:tcBorders>
              <w:bottom w:val="single" w:sz="8" w:color="CCEEFF"/>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10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23"/>
        </w:trPr>
        <w:tc>
          <w:tcPr>
            <w:tcW w:w="8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Remainder of 2023</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537</w:t>
            </w:r>
          </w:p>
        </w:tc>
      </w:tr>
      <w:tr>
        <w:trPr>
          <w:trHeight w:val="229"/>
        </w:trPr>
        <w:tc>
          <w:tcPr>
            <w:tcW w:w="8480" w:type="dxa"/>
            <w:vAlign w:val="bottom"/>
          </w:tcPr>
          <w:p>
            <w:pPr>
              <w:ind w:left="20"/>
              <w:spacing w:after="0"/>
              <w:rPr>
                <w:sz w:val="20"/>
                <w:szCs w:val="20"/>
                <w:color w:val="auto"/>
              </w:rPr>
            </w:pPr>
            <w:r>
              <w:rPr>
                <w:rFonts w:ascii="Arial" w:cs="Arial" w:eastAsia="Arial" w:hAnsi="Arial"/>
                <w:sz w:val="18"/>
                <w:szCs w:val="18"/>
                <w:color w:val="auto"/>
              </w:rPr>
              <w:t>2024</w:t>
            </w:r>
          </w:p>
        </w:tc>
        <w:tc>
          <w:tcPr>
            <w:tcW w:w="3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13,369</w:t>
            </w:r>
          </w:p>
        </w:tc>
      </w:tr>
      <w:tr>
        <w:trPr>
          <w:trHeight w:val="230"/>
        </w:trPr>
        <w:tc>
          <w:tcPr>
            <w:tcW w:w="8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30,769</w:t>
            </w:r>
          </w:p>
        </w:tc>
      </w:tr>
      <w:tr>
        <w:trPr>
          <w:trHeight w:val="230"/>
        </w:trPr>
        <w:tc>
          <w:tcPr>
            <w:tcW w:w="8480" w:type="dxa"/>
            <w:vAlign w:val="bottom"/>
          </w:tcPr>
          <w:p>
            <w:pPr>
              <w:ind w:left="20"/>
              <w:spacing w:after="0"/>
              <w:rPr>
                <w:sz w:val="20"/>
                <w:szCs w:val="20"/>
                <w:color w:val="auto"/>
              </w:rPr>
            </w:pPr>
            <w:r>
              <w:rPr>
                <w:rFonts w:ascii="Arial" w:cs="Arial" w:eastAsia="Arial" w:hAnsi="Arial"/>
                <w:sz w:val="18"/>
                <w:szCs w:val="18"/>
                <w:color w:val="auto"/>
              </w:rPr>
              <w:t>2026</w:t>
            </w:r>
          </w:p>
        </w:tc>
        <w:tc>
          <w:tcPr>
            <w:tcW w:w="3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27,691</w:t>
            </w:r>
          </w:p>
        </w:tc>
      </w:tr>
      <w:tr>
        <w:trPr>
          <w:trHeight w:val="230"/>
        </w:trPr>
        <w:tc>
          <w:tcPr>
            <w:tcW w:w="8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2027</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27,182</w:t>
            </w:r>
          </w:p>
        </w:tc>
      </w:tr>
      <w:tr>
        <w:trPr>
          <w:trHeight w:val="229"/>
        </w:trPr>
        <w:tc>
          <w:tcPr>
            <w:tcW w:w="84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2028 and beyond</w:t>
            </w:r>
          </w:p>
        </w:tc>
        <w:tc>
          <w:tcPr>
            <w:tcW w:w="320" w:type="dxa"/>
            <w:vAlign w:val="bottom"/>
            <w:tcBorders>
              <w:bottom w:val="single" w:sz="8" w:color="CCEEFF"/>
            </w:tcBorders>
          </w:tcPr>
          <w:p>
            <w:pPr>
              <w:spacing w:after="0"/>
              <w:rPr>
                <w:sz w:val="19"/>
                <w:szCs w:val="19"/>
                <w:color w:val="auto"/>
              </w:rPr>
            </w:pPr>
          </w:p>
        </w:tc>
        <w:tc>
          <w:tcPr>
            <w:tcW w:w="10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96,947</w:t>
            </w:r>
          </w:p>
        </w:tc>
      </w:tr>
      <w:tr>
        <w:trPr>
          <w:trHeight w:val="223"/>
        </w:trPr>
        <w:tc>
          <w:tcPr>
            <w:tcW w:w="8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lease payments</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196,495</w:t>
            </w:r>
          </w:p>
        </w:tc>
      </w:tr>
      <w:tr>
        <w:trPr>
          <w:trHeight w:val="230"/>
        </w:trPr>
        <w:tc>
          <w:tcPr>
            <w:tcW w:w="84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imputed interest</w:t>
            </w:r>
          </w:p>
        </w:tc>
        <w:tc>
          <w:tcPr>
            <w:tcW w:w="320" w:type="dxa"/>
            <w:vAlign w:val="bottom"/>
            <w:tcBorders>
              <w:bottom w:val="single" w:sz="8" w:color="CCEEFF"/>
            </w:tcBorders>
          </w:tcPr>
          <w:p>
            <w:pPr>
              <w:spacing w:after="0"/>
              <w:rPr>
                <w:sz w:val="19"/>
                <w:szCs w:val="19"/>
                <w:color w:val="auto"/>
              </w:rPr>
            </w:pPr>
          </w:p>
        </w:tc>
        <w:tc>
          <w:tcPr>
            <w:tcW w:w="10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(49,918)</w:t>
            </w:r>
          </w:p>
        </w:tc>
      </w:tr>
      <w:tr>
        <w:trPr>
          <w:trHeight w:val="248"/>
        </w:trPr>
        <w:tc>
          <w:tcPr>
            <w:tcW w:w="8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Present value of lease liabilities</w:t>
            </w: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146,577</w:t>
            </w:r>
          </w:p>
        </w:tc>
      </w:tr>
      <w:tr>
        <w:trPr>
          <w:trHeight w:val="20"/>
        </w:trPr>
        <w:tc>
          <w:tcPr>
            <w:tcW w:w="84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283"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As of September 30, 2023, the Company had various operating leases that had not yet commenced, which are excluded from the table above. The operating leases will commence between fiscal year 2024 and 2025 with total undiscounted future payments of $140.3 million and a weighted-average lease term of 9 years.</w:t>
      </w:r>
    </w:p>
    <w:p>
      <w:pPr>
        <w:spacing w:after="0" w:line="184" w:lineRule="exact"/>
        <w:rPr>
          <w:sz w:val="20"/>
          <w:szCs w:val="20"/>
          <w:color w:val="auto"/>
        </w:rPr>
      </w:pPr>
    </w:p>
    <w:p>
      <w:pPr>
        <w:ind w:left="500"/>
        <w:spacing w:after="0"/>
        <w:rPr>
          <w:sz w:val="20"/>
          <w:szCs w:val="20"/>
          <w:color w:val="auto"/>
        </w:rPr>
      </w:pPr>
      <w:r>
        <w:rPr>
          <w:rFonts w:ascii="Arial" w:cs="Arial" w:eastAsia="Arial" w:hAnsi="Arial"/>
          <w:sz w:val="18"/>
          <w:szCs w:val="18"/>
          <w:color w:val="auto"/>
        </w:rPr>
        <w:t>Weighted average remaining lease term and discount rate for the Company’s operating leases are as follows:</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760" w:type="dxa"/>
            <w:vAlign w:val="bottom"/>
          </w:tcPr>
          <w:p>
            <w:pPr>
              <w:spacing w:after="0"/>
              <w:rPr>
                <w:sz w:val="14"/>
                <w:szCs w:val="14"/>
                <w:color w:val="auto"/>
              </w:rPr>
            </w:pPr>
          </w:p>
        </w:tc>
        <w:tc>
          <w:tcPr>
            <w:tcW w:w="1480" w:type="dxa"/>
            <w:vAlign w:val="bottom"/>
          </w:tcPr>
          <w:p>
            <w:pPr>
              <w:jc w:val="right"/>
              <w:ind w:right="219"/>
              <w:spacing w:after="0"/>
              <w:rPr>
                <w:sz w:val="20"/>
                <w:szCs w:val="20"/>
                <w:color w:val="auto"/>
              </w:rPr>
            </w:pPr>
            <w:r>
              <w:rPr>
                <w:rFonts w:ascii="Arial" w:cs="Arial" w:eastAsia="Arial" w:hAnsi="Arial"/>
                <w:sz w:val="14"/>
                <w:szCs w:val="14"/>
                <w:b w:val="1"/>
                <w:bCs w:val="1"/>
                <w:color w:val="auto"/>
              </w:rPr>
              <w:t>September 30,</w:t>
            </w:r>
          </w:p>
        </w:tc>
      </w:tr>
      <w:tr>
        <w:trPr>
          <w:trHeight w:val="192"/>
        </w:trPr>
        <w:tc>
          <w:tcPr>
            <w:tcW w:w="9760" w:type="dxa"/>
            <w:vAlign w:val="bottom"/>
            <w:tcBorders>
              <w:bottom w:val="single" w:sz="8" w:color="CCEEFF"/>
            </w:tcBorders>
          </w:tcPr>
          <w:p>
            <w:pPr>
              <w:spacing w:after="0"/>
              <w:rPr>
                <w:sz w:val="16"/>
                <w:szCs w:val="16"/>
                <w:color w:val="auto"/>
              </w:rPr>
            </w:pPr>
          </w:p>
        </w:tc>
        <w:tc>
          <w:tcPr>
            <w:tcW w:w="1480" w:type="dxa"/>
            <w:vAlign w:val="bottom"/>
            <w:tcBorders>
              <w:bottom w:val="single" w:sz="8" w:color="auto"/>
            </w:tcBorders>
          </w:tcPr>
          <w:p>
            <w:pPr>
              <w:jc w:val="right"/>
              <w:ind w:right="519"/>
              <w:spacing w:after="0"/>
              <w:rPr>
                <w:sz w:val="20"/>
                <w:szCs w:val="20"/>
                <w:color w:val="auto"/>
              </w:rPr>
            </w:pPr>
            <w:r>
              <w:rPr>
                <w:rFonts w:ascii="Arial" w:cs="Arial" w:eastAsia="Arial" w:hAnsi="Arial"/>
                <w:sz w:val="14"/>
                <w:szCs w:val="14"/>
                <w:b w:val="1"/>
                <w:bCs w:val="1"/>
                <w:color w:val="auto"/>
              </w:rPr>
              <w:t>2023</w:t>
            </w:r>
          </w:p>
        </w:tc>
      </w:tr>
      <w:tr>
        <w:trPr>
          <w:trHeight w:val="229"/>
        </w:trPr>
        <w:tc>
          <w:tcPr>
            <w:tcW w:w="9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Weighted-average remaining lease term (years)</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w:t>
            </w:r>
          </w:p>
        </w:tc>
      </w:tr>
      <w:tr>
        <w:trPr>
          <w:trHeight w:val="230"/>
        </w:trPr>
        <w:tc>
          <w:tcPr>
            <w:tcW w:w="9760" w:type="dxa"/>
            <w:vAlign w:val="bottom"/>
          </w:tcPr>
          <w:p>
            <w:pPr>
              <w:ind w:left="20"/>
              <w:spacing w:after="0"/>
              <w:rPr>
                <w:sz w:val="20"/>
                <w:szCs w:val="20"/>
                <w:color w:val="auto"/>
              </w:rPr>
            </w:pPr>
            <w:r>
              <w:rPr>
                <w:rFonts w:ascii="Arial" w:cs="Arial" w:eastAsia="Arial" w:hAnsi="Arial"/>
                <w:sz w:val="18"/>
                <w:szCs w:val="18"/>
                <w:color w:val="auto"/>
              </w:rPr>
              <w:t>Weighted-average discount rate</w:t>
            </w:r>
          </w:p>
        </w:tc>
        <w:tc>
          <w:tcPr>
            <w:tcW w:w="1480" w:type="dxa"/>
            <w:vAlign w:val="bottom"/>
          </w:tcPr>
          <w:p>
            <w:pPr>
              <w:jc w:val="right"/>
              <w:spacing w:after="0"/>
              <w:rPr>
                <w:sz w:val="20"/>
                <w:szCs w:val="20"/>
                <w:color w:val="auto"/>
              </w:rPr>
            </w:pPr>
            <w:r>
              <w:rPr>
                <w:rFonts w:ascii="Arial" w:cs="Arial" w:eastAsia="Arial" w:hAnsi="Arial"/>
                <w:sz w:val="18"/>
                <w:szCs w:val="18"/>
                <w:color w:val="auto"/>
              </w:rPr>
              <w:t>5.97 %</w:t>
            </w:r>
          </w:p>
        </w:tc>
      </w:tr>
    </w:tbl>
    <w:p>
      <w:pPr>
        <w:spacing w:after="0" w:line="200" w:lineRule="exact"/>
        <w:rPr>
          <w:sz w:val="20"/>
          <w:szCs w:val="20"/>
          <w:color w:val="auto"/>
        </w:rPr>
      </w:pPr>
    </w:p>
    <w:p>
      <w:pPr>
        <w:sectPr>
          <w:pgSz w:w="11900" w:h="16838" w:orient="portrait"/>
          <w:cols w:equalWidth="0" w:num="1">
            <w:col w:w="11240"/>
          </w:cols>
          <w:pgMar w:left="320" w:top="1313" w:right="339" w:bottom="1440" w:gutter="0" w:footer="0" w:header="0"/>
        </w:sectPr>
      </w:pPr>
    </w:p>
    <w:p>
      <w:pPr>
        <w:spacing w:after="0" w:line="200" w:lineRule="exact"/>
        <w:rPr>
          <w:sz w:val="20"/>
          <w:szCs w:val="20"/>
          <w:color w:val="auto"/>
        </w:rPr>
      </w:pPr>
    </w:p>
    <w:p>
      <w:pPr>
        <w:spacing w:after="0" w:line="23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13" w:right="339" w:bottom="1440" w:gutter="0" w:footer="0" w:header="0"/>
          <w:type w:val="continuous"/>
        </w:sectPr>
      </w:pPr>
    </w:p>
    <w:bookmarkStart w:id="17" w:name="page18"/>
    <w:bookmarkEnd w:id="17"/>
    <w:p>
      <w:pPr>
        <w:spacing w:after="0"/>
        <w:rPr>
          <w:sz w:val="20"/>
          <w:szCs w:val="20"/>
          <w:color w:val="auto"/>
        </w:rPr>
      </w:pPr>
      <w:r>
        <w:rPr>
          <w:rFonts w:ascii="Arial" w:cs="Arial" w:eastAsia="Arial" w:hAnsi="Arial"/>
          <w:sz w:val="18"/>
          <w:szCs w:val="18"/>
          <w:b w:val="1"/>
          <w:bCs w:val="1"/>
          <w:color w:val="auto"/>
        </w:rPr>
        <w:t>10. Revenue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Geographical Information</w:t>
      </w:r>
    </w:p>
    <w:p>
      <w:pPr>
        <w:spacing w:after="0" w:line="225" w:lineRule="exact"/>
        <w:rPr>
          <w:sz w:val="20"/>
          <w:szCs w:val="20"/>
          <w:color w:val="auto"/>
        </w:rPr>
      </w:pPr>
    </w:p>
    <w:p>
      <w:pPr>
        <w:ind w:left="500"/>
        <w:spacing w:after="0"/>
        <w:rPr>
          <w:sz w:val="20"/>
          <w:szCs w:val="20"/>
          <w:color w:val="auto"/>
        </w:rPr>
      </w:pPr>
      <w:r>
        <w:rPr>
          <w:rFonts w:ascii="Arial" w:cs="Arial" w:eastAsia="Arial" w:hAnsi="Arial"/>
          <w:sz w:val="16"/>
          <w:szCs w:val="16"/>
          <w:color w:val="auto"/>
        </w:rPr>
        <w:t>Revenue by location is determined by the billing address of the customer. The following table sets forth revenue by geographic area (in thousands):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640" w:type="dxa"/>
            <w:vAlign w:val="bottom"/>
            <w:gridSpan w:val="5"/>
          </w:tcPr>
          <w:p>
            <w:pPr>
              <w:ind w:left="420"/>
              <w:spacing w:after="0"/>
              <w:rPr>
                <w:sz w:val="20"/>
                <w:szCs w:val="20"/>
                <w:color w:val="auto"/>
              </w:rPr>
            </w:pPr>
            <w:r>
              <w:rPr>
                <w:rFonts w:ascii="Arial" w:cs="Arial" w:eastAsia="Arial" w:hAnsi="Arial"/>
                <w:sz w:val="14"/>
                <w:szCs w:val="14"/>
                <w:b w:val="1"/>
                <w:bCs w:val="1"/>
                <w:color w:val="auto"/>
              </w:rPr>
              <w:t>Three Months Ended</w:t>
            </w:r>
          </w:p>
        </w:tc>
        <w:tc>
          <w:tcPr>
            <w:tcW w:w="320" w:type="dxa"/>
            <w:vAlign w:val="bottom"/>
          </w:tcPr>
          <w:p>
            <w:pPr>
              <w:spacing w:after="0"/>
              <w:rPr>
                <w:sz w:val="14"/>
                <w:szCs w:val="14"/>
                <w:color w:val="auto"/>
              </w:rPr>
            </w:pPr>
          </w:p>
        </w:tc>
        <w:tc>
          <w:tcPr>
            <w:tcW w:w="2440" w:type="dxa"/>
            <w:vAlign w:val="bottom"/>
            <w:gridSpan w:val="4"/>
          </w:tcPr>
          <w:p>
            <w:pPr>
              <w:jc w:val="right"/>
              <w:ind w:right="675"/>
              <w:spacing w:after="0"/>
              <w:rPr>
                <w:sz w:val="20"/>
                <w:szCs w:val="20"/>
                <w:color w:val="auto"/>
              </w:rPr>
            </w:pPr>
            <w:r>
              <w:rPr>
                <w:rFonts w:ascii="Arial" w:cs="Arial" w:eastAsia="Arial" w:hAnsi="Arial"/>
                <w:sz w:val="14"/>
                <w:szCs w:val="14"/>
                <w:b w:val="1"/>
                <w:bCs w:val="1"/>
                <w:color w:val="auto"/>
              </w:rPr>
              <w:t>Nine Months Ended</w:t>
            </w:r>
          </w:p>
        </w:tc>
      </w:tr>
      <w:tr>
        <w:trPr>
          <w:trHeight w:val="196"/>
        </w:trPr>
        <w:tc>
          <w:tcPr>
            <w:tcW w:w="552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860" w:type="dxa"/>
            <w:vAlign w:val="bottom"/>
            <w:tcBorders>
              <w:bottom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880" w:type="dxa"/>
            <w:vAlign w:val="bottom"/>
            <w:tcBorders>
              <w:bottom w:val="single" w:sz="8" w:color="auto"/>
            </w:tcBorders>
          </w:tcPr>
          <w:p>
            <w:pPr>
              <w:spacing w:after="0"/>
              <w:rPr>
                <w:sz w:val="17"/>
                <w:szCs w:val="17"/>
                <w:color w:val="auto"/>
              </w:rPr>
            </w:pPr>
          </w:p>
        </w:tc>
      </w:tr>
      <w:tr>
        <w:trPr>
          <w:trHeight w:val="196"/>
        </w:trPr>
        <w:tc>
          <w:tcPr>
            <w:tcW w:w="552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39"/>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CCEEFF"/>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435"/>
              <w:spacing w:after="0"/>
              <w:rPr>
                <w:sz w:val="20"/>
                <w:szCs w:val="20"/>
                <w:color w:val="auto"/>
              </w:rPr>
            </w:pPr>
            <w:r>
              <w:rPr>
                <w:rFonts w:ascii="Arial" w:cs="Arial" w:eastAsia="Arial" w:hAnsi="Arial"/>
                <w:sz w:val="14"/>
                <w:szCs w:val="14"/>
                <w:b w:val="1"/>
                <w:bCs w:val="1"/>
                <w:color w:val="auto"/>
              </w:rPr>
              <w:t>2022</w:t>
            </w:r>
          </w:p>
        </w:tc>
        <w:tc>
          <w:tcPr>
            <w:tcW w:w="2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419"/>
              <w:spacing w:after="0"/>
              <w:rPr>
                <w:sz w:val="20"/>
                <w:szCs w:val="20"/>
                <w:color w:val="auto"/>
              </w:rPr>
            </w:pPr>
            <w:r>
              <w:rPr>
                <w:rFonts w:ascii="Arial" w:cs="Arial" w:eastAsia="Arial" w:hAnsi="Arial"/>
                <w:sz w:val="14"/>
                <w:szCs w:val="14"/>
                <w:b w:val="1"/>
                <w:bCs w:val="1"/>
                <w:color w:val="auto"/>
              </w:rPr>
              <w:t>2023</w:t>
            </w:r>
          </w:p>
        </w:tc>
        <w:tc>
          <w:tcPr>
            <w:tcW w:w="120" w:type="dxa"/>
            <w:vAlign w:val="bottom"/>
            <w:tcBorders>
              <w:bottom w:val="single" w:sz="8" w:color="CCEEFF"/>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435"/>
              <w:spacing w:after="0"/>
              <w:rPr>
                <w:sz w:val="20"/>
                <w:szCs w:val="20"/>
                <w:color w:val="auto"/>
              </w:rPr>
            </w:pPr>
            <w:r>
              <w:rPr>
                <w:rFonts w:ascii="Arial" w:cs="Arial" w:eastAsia="Arial" w:hAnsi="Arial"/>
                <w:sz w:val="14"/>
                <w:szCs w:val="14"/>
                <w:b w:val="1"/>
                <w:bCs w:val="1"/>
                <w:color w:val="auto"/>
              </w:rPr>
              <w:t>2022</w:t>
            </w:r>
          </w:p>
        </w:tc>
      </w:tr>
      <w:tr>
        <w:trPr>
          <w:trHeight w:val="230"/>
        </w:trPr>
        <w:tc>
          <w:tcPr>
            <w:tcW w:w="552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North America</w:t>
            </w:r>
            <w:r>
              <w:rPr>
                <w:rFonts w:ascii="Arial" w:cs="Arial" w:eastAsia="Arial" w:hAnsi="Arial"/>
                <w:sz w:val="23"/>
                <w:szCs w:val="23"/>
                <w:color w:val="auto"/>
                <w:vertAlign w:val="superscript"/>
              </w:rPr>
              <w:t>(1)</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381,194</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312,676</w:t>
            </w:r>
          </w:p>
        </w:tc>
        <w:tc>
          <w:tcPr>
            <w:tcW w:w="2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1,078,374</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863,697</w:t>
            </w:r>
          </w:p>
        </w:tc>
      </w:tr>
      <w:tr>
        <w:trPr>
          <w:trHeight w:val="229"/>
        </w:trPr>
        <w:tc>
          <w:tcPr>
            <w:tcW w:w="55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International</w:t>
            </w: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166,342</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123,857</w:t>
            </w:r>
          </w:p>
        </w:tc>
        <w:tc>
          <w:tcPr>
            <w:tcW w:w="2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460,336</w:t>
            </w:r>
          </w:p>
        </w:tc>
        <w:tc>
          <w:tcPr>
            <w:tcW w:w="12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342,004</w:t>
            </w:r>
          </w:p>
        </w:tc>
      </w:tr>
      <w:tr>
        <w:trPr>
          <w:trHeight w:val="248"/>
        </w:trPr>
        <w:tc>
          <w:tcPr>
            <w:tcW w:w="55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547,536</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436,533</w:t>
            </w:r>
          </w:p>
        </w:tc>
        <w:tc>
          <w:tcPr>
            <w:tcW w:w="2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1,538,710</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1,205,701</w:t>
            </w:r>
          </w:p>
        </w:tc>
      </w:tr>
      <w:tr>
        <w:trPr>
          <w:trHeight w:val="20"/>
        </w:trPr>
        <w:tc>
          <w:tcPr>
            <w:tcW w:w="55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103695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036955" cy="8255"/>
                    </a:xfrm>
                    <a:prstGeom prst="rect">
                      <a:avLst/>
                    </a:prstGeom>
                    <a:noFill/>
                  </pic:spPr>
                </pic:pic>
              </a:graphicData>
            </a:graphic>
          </wp:anchor>
        </w:drawing>
      </w:r>
    </w:p>
    <w:p>
      <w:pPr>
        <w:spacing w:after="0" w:line="326" w:lineRule="exact"/>
        <w:rPr>
          <w:sz w:val="20"/>
          <w:szCs w:val="20"/>
          <w:color w:val="auto"/>
        </w:rPr>
      </w:pPr>
    </w:p>
    <w:p>
      <w:pPr>
        <w:ind w:left="340" w:right="340" w:hanging="332"/>
        <w:spacing w:after="0" w:line="217" w:lineRule="auto"/>
        <w:tabs>
          <w:tab w:leader="none" w:pos="337" w:val="left"/>
        </w:tabs>
        <w:numPr>
          <w:ilvl w:val="0"/>
          <w:numId w:val="7"/>
        </w:numPr>
        <w:rPr>
          <w:rFonts w:ascii="Arial" w:cs="Arial" w:eastAsia="Arial" w:hAnsi="Arial"/>
          <w:sz w:val="19"/>
          <w:szCs w:val="19"/>
          <w:color w:val="auto"/>
          <w:vertAlign w:val="superscript"/>
        </w:rPr>
      </w:pPr>
      <w:r>
        <w:rPr>
          <w:rFonts w:ascii="Arial" w:cs="Arial" w:eastAsia="Arial" w:hAnsi="Arial"/>
          <w:sz w:val="14"/>
          <w:szCs w:val="14"/>
          <w:color w:val="auto"/>
        </w:rPr>
        <w:t>Includes revenue from the United States of $361.3 million and $296.0 million for the three months ended September 30, 2023 and 2022, respectively. Includes revenue from the United States of $1,022.3 million and $815.1 million for the nine months ended September 30, 2023 and 2022, respectively.</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Deferred Revenue and Remaining Performance Obligations</w:t>
      </w:r>
    </w:p>
    <w:p>
      <w:pPr>
        <w:spacing w:after="0" w:line="225" w:lineRule="exact"/>
        <w:rPr>
          <w:sz w:val="20"/>
          <w:szCs w:val="20"/>
          <w:color w:val="auto"/>
        </w:rPr>
      </w:pPr>
    </w:p>
    <w:p>
      <w:pPr>
        <w:jc w:val="both"/>
        <w:ind w:firstLine="486"/>
        <w:spacing w:after="0" w:line="286" w:lineRule="auto"/>
        <w:rPr>
          <w:sz w:val="20"/>
          <w:szCs w:val="20"/>
          <w:color w:val="auto"/>
        </w:rPr>
      </w:pPr>
      <w:r>
        <w:rPr>
          <w:rFonts w:ascii="Arial" w:cs="Arial" w:eastAsia="Arial" w:hAnsi="Arial"/>
          <w:sz w:val="17"/>
          <w:szCs w:val="17"/>
          <w:color w:val="auto"/>
        </w:rPr>
        <w:t>Certain of the Company’s customers pay in advance of satisfaction of performance obligations and other customers with monthly contract terms are billed in arrears on a monthly basis. The Company records contract liabilities to deferred revenue when customers are billed or when the Company receives customer payments in advance of the performance obligations being satisfied on the Company’s contracts.</w:t>
      </w:r>
    </w:p>
    <w:p>
      <w:pPr>
        <w:spacing w:after="0" w:line="165" w:lineRule="exact"/>
        <w:rPr>
          <w:sz w:val="20"/>
          <w:szCs w:val="20"/>
          <w:color w:val="auto"/>
        </w:rPr>
      </w:pPr>
    </w:p>
    <w:p>
      <w:pPr>
        <w:jc w:val="both"/>
        <w:ind w:firstLine="486"/>
        <w:spacing w:after="0" w:line="311" w:lineRule="auto"/>
        <w:rPr>
          <w:sz w:val="20"/>
          <w:szCs w:val="20"/>
          <w:color w:val="auto"/>
        </w:rPr>
      </w:pPr>
      <w:r>
        <w:rPr>
          <w:rFonts w:ascii="Arial" w:cs="Arial" w:eastAsia="Arial" w:hAnsi="Arial"/>
          <w:sz w:val="16"/>
          <w:szCs w:val="16"/>
          <w:color w:val="auto"/>
        </w:rPr>
        <w:t>Revenue recognized during the three months ended September 30, 2023 and 2022, which was included in the deferred revenue balances at the beginning of each such period, was $276.8 million and $200.4 million, respectively. Revenue recognized during the nine months ended September 30, 2023 and 2022 that was included in the deferred revenue balances at the beginning of each such period was $486.5 million and $344.4 million, respectively.</w:t>
      </w:r>
    </w:p>
    <w:p>
      <w:pPr>
        <w:spacing w:after="0" w:line="149" w:lineRule="exact"/>
        <w:rPr>
          <w:sz w:val="20"/>
          <w:szCs w:val="20"/>
          <w:color w:val="auto"/>
        </w:rPr>
      </w:pPr>
    </w:p>
    <w:p>
      <w:pPr>
        <w:jc w:val="both"/>
        <w:ind w:firstLine="486"/>
        <w:spacing w:after="0" w:line="254" w:lineRule="auto"/>
        <w:rPr>
          <w:sz w:val="20"/>
          <w:szCs w:val="20"/>
          <w:color w:val="auto"/>
        </w:rPr>
      </w:pPr>
      <w:r>
        <w:rPr>
          <w:rFonts w:ascii="Arial" w:cs="Arial" w:eastAsia="Arial" w:hAnsi="Arial"/>
          <w:sz w:val="18"/>
          <w:szCs w:val="18"/>
          <w:color w:val="auto"/>
        </w:rPr>
        <w:t>Remaining performance obligations represent the aggregate amount of the transaction price in contracts allocated to performance obligations not delivered, or partially undelivered, as of the end of the reporting period. Remaining performance obligations include unearned revenue, multi-year contracts with future installment payments and certain unfulfilled orders against accepted customer contracts at the end of any given period. As of September 30, 2023 and December 31, 2022, the aggregate transaction price allocated to remaining performance obligations was $1,446.2 million and $1,057.2 million, respectively. There is uncertainty in the timing of revenues associated with the Company’s drawdown contracts, as future revenue can often vary significantly from past revenue. However, the Company expects to recognize substantially all of the remaining performance obligations over the next 24 months.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Accounts Receivable</w:t>
      </w:r>
    </w:p>
    <w:p>
      <w:pPr>
        <w:spacing w:after="0" w:line="225"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Accounts receivable deemed uncollectible are charged against the allowance for credit losses when identified. During the nine months ended September 30, 2023 and 2022, the Company charged $3.7 million and $1.5 million, respectively, of accounts receivable deemed uncollectible against the allowance for credit losses.</w:t>
      </w:r>
    </w:p>
    <w:p>
      <w:pPr>
        <w:spacing w:after="0" w:line="184"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Unbilled accounts receivable represents revenue recognized on contracts for which billings have not yet been presented to customers because the amounts were earned but not contractually billable as of the balance sheet date. The unbilled accounts receivable balance is due within one year. As of September 30, 2023 and December 31, 2022, unbilled accounts receivable of approximately $59.3 million and $60.0 million, respectively, was included in accounts receivable on the Company’s condensed consolidated balance sheets.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Deferred Contract Costs</w:t>
      </w:r>
    </w:p>
    <w:p>
      <w:pPr>
        <w:spacing w:after="0" w:line="225"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Sales commissions earned by the Company’s sales force are considered incremental and recoverable costs of obtaining a contract with a customer. These costs are deferred and then amortized over a period of benefit, which is determined to be four years. Amounts expected to be recognized within one year of the balance sheet date are recorded as deferred contract costs, current; the remaining portion is recorded as deferred contract costs, non-current, in the condensed consolidated balance sheets.</w:t>
      </w:r>
    </w:p>
    <w:p>
      <w:pPr>
        <w:spacing w:after="0" w:line="187" w:lineRule="exact"/>
        <w:rPr>
          <w:sz w:val="20"/>
          <w:szCs w:val="20"/>
          <w:color w:val="auto"/>
        </w:rPr>
      </w:pPr>
    </w:p>
    <w:p>
      <w:pPr>
        <w:jc w:val="both"/>
        <w:ind w:right="20" w:firstLine="486"/>
        <w:spacing w:after="0" w:line="277" w:lineRule="auto"/>
        <w:rPr>
          <w:sz w:val="20"/>
          <w:szCs w:val="20"/>
          <w:color w:val="auto"/>
        </w:rPr>
      </w:pPr>
      <w:r>
        <w:rPr>
          <w:rFonts w:ascii="Arial" w:cs="Arial" w:eastAsia="Arial" w:hAnsi="Arial"/>
          <w:sz w:val="18"/>
          <w:szCs w:val="18"/>
          <w:color w:val="auto"/>
        </w:rPr>
        <w:t>Deferred contract costs on the Company’s condensed consolidated balance sheets were $102.8 million and $88.4 million as of September 30, 2023 and December 31, 2022, respectively. Amortization expense was $10.2 million and $7.3 million for</w:t>
      </w:r>
    </w:p>
    <w:p>
      <w:pPr>
        <w:sectPr>
          <w:pgSz w:w="11900" w:h="16838" w:orient="portrait"/>
          <w:cols w:equalWidth="0" w:num="1">
            <w:col w:w="11240"/>
          </w:cols>
          <w:pgMar w:left="320" w:top="1309" w:right="339" w:bottom="1440" w:gutter="0" w:footer="0" w:header="0"/>
        </w:sectPr>
      </w:pP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type w:val="continuous"/>
        </w:sectPr>
      </w:pPr>
    </w:p>
    <w:bookmarkStart w:id="18" w:name="page19"/>
    <w:bookmarkEnd w:id="18"/>
    <w:p>
      <w:pPr>
        <w:jc w:val="both"/>
        <w:spacing w:after="0" w:line="277" w:lineRule="auto"/>
        <w:rPr>
          <w:sz w:val="20"/>
          <w:szCs w:val="20"/>
          <w:color w:val="auto"/>
        </w:rPr>
      </w:pPr>
      <w:r>
        <w:rPr>
          <w:rFonts w:ascii="Arial" w:cs="Arial" w:eastAsia="Arial" w:hAnsi="Arial"/>
          <w:sz w:val="18"/>
          <w:szCs w:val="18"/>
          <w:color w:val="auto"/>
        </w:rPr>
        <w:t>the three months ended September 30, 2023 and 2022, respectively, and was $28.2 million and $19.9 million for the nine months ended September 30, 2023 and 2022, respectively.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Stockholders’ Equity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Class A and Class B Common Stock</w:t>
      </w:r>
    </w:p>
    <w:p>
      <w:pPr>
        <w:spacing w:after="0" w:line="225" w:lineRule="exact"/>
        <w:rPr>
          <w:sz w:val="20"/>
          <w:szCs w:val="20"/>
          <w:color w:val="auto"/>
        </w:rPr>
      </w:pPr>
    </w:p>
    <w:p>
      <w:pPr>
        <w:jc w:val="both"/>
        <w:ind w:firstLine="486"/>
        <w:spacing w:after="0" w:line="279" w:lineRule="auto"/>
        <w:rPr>
          <w:sz w:val="20"/>
          <w:szCs w:val="20"/>
          <w:color w:val="auto"/>
        </w:rPr>
      </w:pPr>
      <w:r>
        <w:rPr>
          <w:rFonts w:ascii="Arial" w:cs="Arial" w:eastAsia="Arial" w:hAnsi="Arial"/>
          <w:sz w:val="17"/>
          <w:szCs w:val="17"/>
          <w:color w:val="auto"/>
        </w:rPr>
        <w:t>The Company has two classes of common stock, Class A and Class B. The rights of the holders of Class A and Class B common stock are identical, except with respect to voting and conversion. Each share of Class A common stock is entitled to one vote per share and each share of Class B common stock is entitled to ten votes per share. Shares of Class B common stock may be converted into Class A common stock at any time at the option of the stockholder and are automatically converted to Class A common stock upon sale or transfer, subject to certain limited exceptions.</w:t>
      </w:r>
    </w:p>
    <w:p>
      <w:pPr>
        <w:spacing w:after="0" w:line="171"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During the three and nine months ended September 30, 2023, there were 506,563 shares and 989,955 shares of Class B common stock were converted into Class A common stock, respectively.</w:t>
      </w:r>
    </w:p>
    <w:p>
      <w:pPr>
        <w:spacing w:after="0" w:line="170"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As of September 30, 2023, the Company had authorized 2,000,000,000 shares of Class A common stock and 310,000,000 shares of Class B common stock, each at a par value per share of $0.00001, of which 301,974,045 shares of Class A common stock and 26,271,614 shares of Class B common stock were issued and outstanding.</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 Incentive Plans</w:t>
      </w:r>
    </w:p>
    <w:p>
      <w:pPr>
        <w:spacing w:after="0" w:line="225" w:lineRule="exact"/>
        <w:rPr>
          <w:sz w:val="20"/>
          <w:szCs w:val="20"/>
          <w:color w:val="auto"/>
        </w:rPr>
      </w:pPr>
    </w:p>
    <w:p>
      <w:pPr>
        <w:jc w:val="both"/>
        <w:ind w:firstLine="486"/>
        <w:spacing w:after="0" w:line="289" w:lineRule="auto"/>
        <w:rPr>
          <w:sz w:val="20"/>
          <w:szCs w:val="20"/>
          <w:color w:val="auto"/>
        </w:rPr>
      </w:pPr>
      <w:r>
        <w:rPr>
          <w:rFonts w:ascii="Arial" w:cs="Arial" w:eastAsia="Arial" w:hAnsi="Arial"/>
          <w:sz w:val="16"/>
          <w:szCs w:val="16"/>
          <w:color w:val="auto"/>
        </w:rPr>
        <w:t>The Company has two equity incentive plans, the 2012 Equity Incentive Plan (the “2012 Plan”) and the 2019 Equity Incentive Plan (the “2019 Plan”). In connection with the Company’s initial public offering of Class A common stock (the “IPO”), the Company ceased granting awards under the 2012 Plan, and all shares that remained available for issuance under the 2012 Plan at that time were transferred to the 2019 Plan. Additionally, as of September 30, 2023, there were 13,408,145 shares of Class A common stock issuable upon conversion of Class B common stock underlying options outstanding under the 2012 Plan. Under the 2019 Plan, the Board and any other committee or subcommittee of the Board may grant stock options, stock appreciation rights, restricted stock, restricted stock units (“RSUs”) and performance stock units (“PSUs”) and other awards, each equity award valued or based on the Company’s Class A common stock, to employees, directors, consultants and advisors of the Company. As of September 30, 2023, there were</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75,548,626 shares available for grant under the 2019 Plan.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Options</w:t>
      </w:r>
    </w:p>
    <w:p>
      <w:pPr>
        <w:spacing w:after="0" w:line="22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summarizes the Company’s stock option activity and weighted-average exercise prices: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56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Weighted-</w:t>
            </w:r>
          </w:p>
        </w:tc>
        <w:tc>
          <w:tcPr>
            <w:tcW w:w="160" w:type="dxa"/>
            <w:vAlign w:val="bottom"/>
          </w:tcPr>
          <w:p>
            <w:pPr>
              <w:spacing w:after="0"/>
              <w:rPr>
                <w:sz w:val="15"/>
                <w:szCs w:val="15"/>
                <w:color w:val="auto"/>
              </w:rPr>
            </w:pPr>
          </w:p>
        </w:tc>
        <w:tc>
          <w:tcPr>
            <w:tcW w:w="1160" w:type="dxa"/>
            <w:vAlign w:val="bottom"/>
          </w:tcPr>
          <w:p>
            <w:pPr>
              <w:spacing w:after="0"/>
              <w:rPr>
                <w:sz w:val="15"/>
                <w:szCs w:val="15"/>
                <w:color w:val="auto"/>
              </w:rPr>
            </w:pPr>
          </w:p>
        </w:tc>
      </w:tr>
      <w:tr>
        <w:trPr>
          <w:trHeight w:val="162"/>
        </w:trPr>
        <w:tc>
          <w:tcPr>
            <w:tcW w:w="56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0"/>
              </w:rPr>
              <w:t>Average</w:t>
            </w:r>
          </w:p>
        </w:tc>
        <w:tc>
          <w:tcPr>
            <w:tcW w:w="16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76"/>
        </w:trPr>
        <w:tc>
          <w:tcPr>
            <w:tcW w:w="5620" w:type="dxa"/>
            <w:vAlign w:val="bottom"/>
          </w:tcPr>
          <w:p>
            <w:pPr>
              <w:spacing w:after="0"/>
              <w:rPr>
                <w:sz w:val="15"/>
                <w:szCs w:val="15"/>
                <w:color w:val="auto"/>
              </w:rPr>
            </w:pPr>
          </w:p>
        </w:tc>
        <w:tc>
          <w:tcPr>
            <w:tcW w:w="14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6"/>
              </w:rPr>
              <w:t>Number Of</w:t>
            </w:r>
          </w:p>
        </w:tc>
        <w:tc>
          <w:tcPr>
            <w:tcW w:w="160" w:type="dxa"/>
            <w:vAlign w:val="bottom"/>
          </w:tcPr>
          <w:p>
            <w:pPr>
              <w:spacing w:after="0"/>
              <w:rPr>
                <w:sz w:val="15"/>
                <w:szCs w:val="15"/>
                <w:color w:val="auto"/>
              </w:rPr>
            </w:pPr>
          </w:p>
        </w:tc>
        <w:tc>
          <w:tcPr>
            <w:tcW w:w="12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Weighted-</w:t>
            </w:r>
          </w:p>
        </w:tc>
        <w:tc>
          <w:tcPr>
            <w:tcW w:w="14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Remaining</w:t>
            </w:r>
          </w:p>
        </w:tc>
        <w:tc>
          <w:tcPr>
            <w:tcW w:w="160" w:type="dxa"/>
            <w:vAlign w:val="bottom"/>
          </w:tcPr>
          <w:p>
            <w:pPr>
              <w:spacing w:after="0"/>
              <w:rPr>
                <w:sz w:val="15"/>
                <w:szCs w:val="15"/>
                <w:color w:val="auto"/>
              </w:rPr>
            </w:pPr>
          </w:p>
        </w:tc>
        <w:tc>
          <w:tcPr>
            <w:tcW w:w="1160" w:type="dxa"/>
            <w:vAlign w:val="bottom"/>
          </w:tcPr>
          <w:p>
            <w:pPr>
              <w:jc w:val="center"/>
              <w:ind w:right="79"/>
              <w:spacing w:after="0"/>
              <w:rPr>
                <w:sz w:val="20"/>
                <w:szCs w:val="20"/>
                <w:color w:val="auto"/>
              </w:rPr>
            </w:pPr>
            <w:r>
              <w:rPr>
                <w:rFonts w:ascii="Arial" w:cs="Arial" w:eastAsia="Arial" w:hAnsi="Arial"/>
                <w:sz w:val="14"/>
                <w:szCs w:val="14"/>
                <w:b w:val="1"/>
                <w:bCs w:val="1"/>
                <w:color w:val="auto"/>
                <w:w w:val="92"/>
              </w:rPr>
              <w:t>Aggregate</w:t>
            </w:r>
          </w:p>
        </w:tc>
      </w:tr>
      <w:tr>
        <w:trPr>
          <w:trHeight w:val="175"/>
        </w:trPr>
        <w:tc>
          <w:tcPr>
            <w:tcW w:w="5620" w:type="dxa"/>
            <w:vAlign w:val="bottom"/>
          </w:tcPr>
          <w:p>
            <w:pPr>
              <w:spacing w:after="0"/>
              <w:rPr>
                <w:sz w:val="15"/>
                <w:szCs w:val="15"/>
                <w:color w:val="auto"/>
              </w:rPr>
            </w:pPr>
          </w:p>
        </w:tc>
        <w:tc>
          <w:tcPr>
            <w:tcW w:w="14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0"/>
              </w:rPr>
              <w:t>Options</w:t>
            </w:r>
          </w:p>
        </w:tc>
        <w:tc>
          <w:tcPr>
            <w:tcW w:w="160" w:type="dxa"/>
            <w:vAlign w:val="bottom"/>
          </w:tcPr>
          <w:p>
            <w:pPr>
              <w:spacing w:after="0"/>
              <w:rPr>
                <w:sz w:val="15"/>
                <w:szCs w:val="15"/>
                <w:color w:val="auto"/>
              </w:rPr>
            </w:pPr>
          </w:p>
        </w:tc>
        <w:tc>
          <w:tcPr>
            <w:tcW w:w="12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0"/>
              </w:rPr>
              <w:t>Average</w:t>
            </w:r>
          </w:p>
        </w:tc>
        <w:tc>
          <w:tcPr>
            <w:tcW w:w="14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5"/>
              </w:rPr>
              <w:t>Contractual</w:t>
            </w:r>
          </w:p>
        </w:tc>
        <w:tc>
          <w:tcPr>
            <w:tcW w:w="160" w:type="dxa"/>
            <w:vAlign w:val="bottom"/>
          </w:tcPr>
          <w:p>
            <w:pPr>
              <w:spacing w:after="0"/>
              <w:rPr>
                <w:sz w:val="15"/>
                <w:szCs w:val="15"/>
                <w:color w:val="auto"/>
              </w:rPr>
            </w:pPr>
          </w:p>
        </w:tc>
        <w:tc>
          <w:tcPr>
            <w:tcW w:w="1160" w:type="dxa"/>
            <w:vAlign w:val="bottom"/>
          </w:tcPr>
          <w:p>
            <w:pPr>
              <w:jc w:val="center"/>
              <w:ind w:right="79"/>
              <w:spacing w:after="0"/>
              <w:rPr>
                <w:sz w:val="20"/>
                <w:szCs w:val="20"/>
                <w:color w:val="auto"/>
              </w:rPr>
            </w:pPr>
            <w:r>
              <w:rPr>
                <w:rFonts w:ascii="Arial" w:cs="Arial" w:eastAsia="Arial" w:hAnsi="Arial"/>
                <w:sz w:val="14"/>
                <w:szCs w:val="14"/>
                <w:b w:val="1"/>
                <w:bCs w:val="1"/>
                <w:color w:val="auto"/>
                <w:w w:val="96"/>
              </w:rPr>
              <w:t>Intrinsic Value</w:t>
            </w:r>
          </w:p>
        </w:tc>
      </w:tr>
      <w:tr>
        <w:trPr>
          <w:trHeight w:val="186"/>
        </w:trPr>
        <w:tc>
          <w:tcPr>
            <w:tcW w:w="5620" w:type="dxa"/>
            <w:vAlign w:val="bottom"/>
          </w:tcPr>
          <w:p>
            <w:pPr>
              <w:spacing w:after="0"/>
              <w:rPr>
                <w:sz w:val="16"/>
                <w:szCs w:val="16"/>
                <w:color w:val="auto"/>
              </w:rPr>
            </w:pPr>
          </w:p>
        </w:tc>
        <w:tc>
          <w:tcPr>
            <w:tcW w:w="14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2"/>
              </w:rPr>
              <w:t>Outstanding</w:t>
            </w:r>
          </w:p>
        </w:tc>
        <w:tc>
          <w:tcPr>
            <w:tcW w:w="160" w:type="dxa"/>
            <w:vAlign w:val="bottom"/>
          </w:tcPr>
          <w:p>
            <w:pPr>
              <w:spacing w:after="0"/>
              <w:rPr>
                <w:sz w:val="16"/>
                <w:szCs w:val="16"/>
                <w:color w:val="auto"/>
              </w:rPr>
            </w:pPr>
          </w:p>
        </w:tc>
        <w:tc>
          <w:tcPr>
            <w:tcW w:w="12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Exercise Price</w:t>
            </w:r>
          </w:p>
        </w:tc>
        <w:tc>
          <w:tcPr>
            <w:tcW w:w="14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4"/>
              </w:rPr>
              <w:t>Life (in Years)</w:t>
            </w:r>
          </w:p>
        </w:tc>
        <w:tc>
          <w:tcPr>
            <w:tcW w:w="160" w:type="dxa"/>
            <w:vAlign w:val="bottom"/>
          </w:tcPr>
          <w:p>
            <w:pPr>
              <w:spacing w:after="0"/>
              <w:rPr>
                <w:sz w:val="16"/>
                <w:szCs w:val="16"/>
                <w:color w:val="auto"/>
              </w:rPr>
            </w:pPr>
          </w:p>
        </w:tc>
        <w:tc>
          <w:tcPr>
            <w:tcW w:w="1160" w:type="dxa"/>
            <w:vAlign w:val="bottom"/>
          </w:tcPr>
          <w:p>
            <w:pPr>
              <w:jc w:val="center"/>
              <w:ind w:right="79"/>
              <w:spacing w:after="0"/>
              <w:rPr>
                <w:sz w:val="20"/>
                <w:szCs w:val="20"/>
                <w:color w:val="auto"/>
              </w:rPr>
            </w:pPr>
            <w:r>
              <w:rPr>
                <w:rFonts w:ascii="Arial" w:cs="Arial" w:eastAsia="Arial" w:hAnsi="Arial"/>
                <w:sz w:val="14"/>
                <w:szCs w:val="14"/>
                <w:b w:val="1"/>
                <w:bCs w:val="1"/>
                <w:color w:val="auto"/>
                <w:w w:val="91"/>
              </w:rPr>
              <w:t>(in thousands)</w:t>
            </w:r>
          </w:p>
        </w:tc>
      </w:tr>
      <w:tr>
        <w:trPr>
          <w:trHeight w:val="39"/>
        </w:trPr>
        <w:tc>
          <w:tcPr>
            <w:tcW w:w="5620" w:type="dxa"/>
            <w:vAlign w:val="bottom"/>
            <w:tcBorders>
              <w:bottom w:val="single" w:sz="8" w:color="CCEEFF"/>
            </w:tcBorders>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r>
      <w:tr>
        <w:trPr>
          <w:trHeight w:val="243"/>
        </w:trPr>
        <w:tc>
          <w:tcPr>
            <w:tcW w:w="5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outstanding—December 31, 2022</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18,551,857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3.24</w:t>
            </w: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1,303,464</w:t>
            </w:r>
          </w:p>
        </w:tc>
      </w:tr>
      <w:tr>
        <w:trPr>
          <w:trHeight w:val="243"/>
        </w:trPr>
        <w:tc>
          <w:tcPr>
            <w:tcW w:w="5620" w:type="dxa"/>
            <w:vAlign w:val="bottom"/>
          </w:tcPr>
          <w:p>
            <w:pPr>
              <w:ind w:left="20"/>
              <w:spacing w:after="0"/>
              <w:rPr>
                <w:sz w:val="20"/>
                <w:szCs w:val="20"/>
                <w:color w:val="auto"/>
              </w:rPr>
            </w:pPr>
            <w:r>
              <w:rPr>
                <w:rFonts w:ascii="Arial" w:cs="Arial" w:eastAsia="Arial" w:hAnsi="Arial"/>
                <w:sz w:val="18"/>
                <w:szCs w:val="18"/>
                <w:color w:val="auto"/>
              </w:rPr>
              <w:t>Options granted</w:t>
            </w:r>
          </w:p>
        </w:tc>
        <w:tc>
          <w:tcPr>
            <w:tcW w:w="14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tcPr>
          <w:p>
            <w:pPr>
              <w:spacing w:after="0"/>
              <w:rPr>
                <w:sz w:val="21"/>
                <w:szCs w:val="21"/>
                <w:color w:val="auto"/>
              </w:rPr>
            </w:pPr>
          </w:p>
        </w:tc>
      </w:tr>
      <w:tr>
        <w:trPr>
          <w:trHeight w:val="27"/>
        </w:trPr>
        <w:tc>
          <w:tcPr>
            <w:tcW w:w="56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Options exercised</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(5,103,045)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3.41</w:t>
            </w: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r>
      <w:tr>
        <w:trPr>
          <w:trHeight w:val="243"/>
        </w:trPr>
        <w:tc>
          <w:tcPr>
            <w:tcW w:w="5620" w:type="dxa"/>
            <w:vAlign w:val="bottom"/>
          </w:tcPr>
          <w:p>
            <w:pPr>
              <w:ind w:left="20"/>
              <w:spacing w:after="0"/>
              <w:rPr>
                <w:sz w:val="20"/>
                <w:szCs w:val="20"/>
                <w:color w:val="auto"/>
              </w:rPr>
            </w:pPr>
            <w:r>
              <w:rPr>
                <w:rFonts w:ascii="Arial" w:cs="Arial" w:eastAsia="Arial" w:hAnsi="Arial"/>
                <w:sz w:val="18"/>
                <w:szCs w:val="18"/>
                <w:color w:val="auto"/>
              </w:rPr>
              <w:t>Options forfeited or expired</w:t>
            </w:r>
          </w:p>
        </w:tc>
        <w:tc>
          <w:tcPr>
            <w:tcW w:w="1320" w:type="dxa"/>
            <w:vAlign w:val="bottom"/>
          </w:tcPr>
          <w:p>
            <w:pPr>
              <w:jc w:val="right"/>
              <w:spacing w:after="0"/>
              <w:rPr>
                <w:sz w:val="20"/>
                <w:szCs w:val="20"/>
                <w:color w:val="auto"/>
              </w:rPr>
            </w:pPr>
            <w:r>
              <w:rPr>
                <w:rFonts w:ascii="Arial" w:cs="Arial" w:eastAsia="Arial" w:hAnsi="Arial"/>
                <w:sz w:val="18"/>
                <w:szCs w:val="18"/>
                <w:color w:val="auto"/>
              </w:rPr>
              <w:t>(17,741)</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5.49</w:t>
            </w:r>
          </w:p>
        </w:tc>
        <w:tc>
          <w:tcPr>
            <w:tcW w:w="10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tcPr>
          <w:p>
            <w:pPr>
              <w:spacing w:after="0"/>
              <w:rPr>
                <w:sz w:val="21"/>
                <w:szCs w:val="21"/>
                <w:color w:val="auto"/>
              </w:rPr>
            </w:pPr>
          </w:p>
        </w:tc>
      </w:tr>
      <w:tr>
        <w:trPr>
          <w:trHeight w:val="27"/>
        </w:trPr>
        <w:tc>
          <w:tcPr>
            <w:tcW w:w="562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1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160" w:type="dxa"/>
            <w:vAlign w:val="bottom"/>
            <w:tcBorders>
              <w:bottom w:val="single" w:sz="8" w:color="CCEEFF"/>
            </w:tcBorders>
          </w:tcPr>
          <w:p>
            <w:pPr>
              <w:spacing w:after="0"/>
              <w:rPr>
                <w:sz w:val="2"/>
                <w:szCs w:val="2"/>
                <w:color w:val="auto"/>
              </w:rPr>
            </w:pPr>
          </w:p>
        </w:tc>
      </w:tr>
      <w:tr>
        <w:trPr>
          <w:trHeight w:val="288"/>
        </w:trPr>
        <w:tc>
          <w:tcPr>
            <w:tcW w:w="5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outstanding—September 30, 2023</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13,431,071</w:t>
            </w:r>
          </w:p>
        </w:tc>
        <w:tc>
          <w:tcPr>
            <w:tcW w:w="12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3.17</w:t>
            </w:r>
          </w:p>
        </w:tc>
        <w:tc>
          <w:tcPr>
            <w:tcW w:w="100" w:type="dxa"/>
            <w:vAlign w:val="bottom"/>
            <w:tcBorders>
              <w:bottom w:val="single" w:sz="8" w:color="CCEEFF"/>
            </w:tcBorders>
            <w:shd w:val="clear" w:color="auto" w:fill="CCEEFF"/>
          </w:tcPr>
          <w:p>
            <w:pPr>
              <w:spacing w:after="0"/>
              <w:rPr>
                <w:sz w:val="24"/>
                <w:szCs w:val="24"/>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2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1,180,828</w:t>
            </w:r>
          </w:p>
        </w:tc>
      </w:tr>
      <w:tr>
        <w:trPr>
          <w:trHeight w:val="20"/>
        </w:trPr>
        <w:tc>
          <w:tcPr>
            <w:tcW w:w="562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r>
      <w:tr>
        <w:trPr>
          <w:trHeight w:val="204"/>
        </w:trPr>
        <w:tc>
          <w:tcPr>
            <w:tcW w:w="5620" w:type="dxa"/>
            <w:vAlign w:val="bottom"/>
          </w:tcPr>
          <w:p>
            <w:pPr>
              <w:ind w:left="20"/>
              <w:spacing w:after="0" w:line="203" w:lineRule="exact"/>
              <w:rPr>
                <w:sz w:val="20"/>
                <w:szCs w:val="20"/>
                <w:color w:val="auto"/>
              </w:rPr>
            </w:pPr>
            <w:r>
              <w:rPr>
                <w:rFonts w:ascii="Arial" w:cs="Arial" w:eastAsia="Arial" w:hAnsi="Arial"/>
                <w:sz w:val="18"/>
                <w:szCs w:val="18"/>
                <w:color w:val="auto"/>
              </w:rPr>
              <w:t>Ending Exercisable—September 30, 2023</w:t>
            </w:r>
          </w:p>
        </w:tc>
        <w:tc>
          <w:tcPr>
            <w:tcW w:w="13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13,424,772</w:t>
            </w:r>
          </w:p>
        </w:tc>
        <w:tc>
          <w:tcPr>
            <w:tcW w:w="120" w:type="dxa"/>
            <w:vAlign w:val="bottom"/>
          </w:tcPr>
          <w:p>
            <w:pPr>
              <w:spacing w:after="0"/>
              <w:rPr>
                <w:sz w:val="17"/>
                <w:szCs w:val="17"/>
                <w:color w:val="auto"/>
              </w:rPr>
            </w:pPr>
          </w:p>
        </w:tc>
        <w:tc>
          <w:tcPr>
            <w:tcW w:w="1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3.16</w:t>
            </w:r>
          </w:p>
        </w:tc>
        <w:tc>
          <w:tcPr>
            <w:tcW w:w="100" w:type="dxa"/>
            <w:vAlign w:val="bottom"/>
          </w:tcPr>
          <w:p>
            <w:pPr>
              <w:spacing w:after="0"/>
              <w:rPr>
                <w:sz w:val="17"/>
                <w:szCs w:val="17"/>
                <w:color w:val="auto"/>
              </w:rPr>
            </w:pPr>
          </w:p>
        </w:tc>
        <w:tc>
          <w:tcPr>
            <w:tcW w:w="13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3.6</w:t>
            </w:r>
          </w:p>
        </w:tc>
        <w:tc>
          <w:tcPr>
            <w:tcW w:w="120" w:type="dxa"/>
            <w:vAlign w:val="bottom"/>
          </w:tcPr>
          <w:p>
            <w:pPr>
              <w:spacing w:after="0"/>
              <w:rPr>
                <w:sz w:val="17"/>
                <w:szCs w:val="17"/>
                <w:color w:val="auto"/>
              </w:rPr>
            </w:pPr>
          </w:p>
        </w:tc>
        <w:tc>
          <w:tcPr>
            <w:tcW w:w="1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1,180,435</w:t>
            </w:r>
          </w:p>
        </w:tc>
      </w:tr>
      <w:tr>
        <w:trPr>
          <w:trHeight w:val="20"/>
        </w:trPr>
        <w:tc>
          <w:tcPr>
            <w:tcW w:w="562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As of September 30, 2023, there were 22,926 shares of Class A common stock and 13,408,145 shares of Class B common stock issuable upon the exercise of options outstanding. As of December 31, 2022, there were 28,557 shares of Class A common stock and 18,523,300 shares of Class B common stock issuable upon the exercise of options outstanding.</w:t>
      </w:r>
    </w:p>
    <w:p>
      <w:pPr>
        <w:spacing w:after="0" w:line="184"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Total compensation cost related to unvested awards not yet recognized was approximately $0.1 million and $10.1 million as of September 30, 2023 and December 31, 2022, respectively. The weighted-average period over which this compensation cost related to unvested employee awards will be recognized is 0.8 years and 0.6 years as of September 30, 2023 and December 31, 2022, respectively.</w:t>
      </w:r>
    </w:p>
    <w:p>
      <w:pPr>
        <w:sectPr>
          <w:pgSz w:w="11900" w:h="16838" w:orient="portrait"/>
          <w:cols w:equalWidth="0" w:num="1">
            <w:col w:w="11240"/>
          </w:cols>
          <w:pgMar w:left="320" w:top="1313" w:right="339" w:bottom="1440" w:gutter="0" w:footer="0" w:header="0"/>
        </w:sectPr>
      </w:pP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13" w:right="339" w:bottom="1440" w:gutter="0" w:footer="0" w:header="0"/>
          <w:type w:val="continuous"/>
        </w:sectPr>
      </w:pPr>
    </w:p>
    <w:bookmarkStart w:id="19" w:name="page20"/>
    <w:bookmarkEnd w:id="19"/>
    <w:p>
      <w:pPr>
        <w:jc w:val="both"/>
        <w:ind w:firstLine="486"/>
        <w:spacing w:after="0" w:line="301" w:lineRule="auto"/>
        <w:rPr>
          <w:sz w:val="20"/>
          <w:szCs w:val="20"/>
          <w:color w:val="auto"/>
        </w:rPr>
      </w:pPr>
      <w:r>
        <w:rPr>
          <w:rFonts w:ascii="Arial" w:cs="Arial" w:eastAsia="Arial" w:hAnsi="Arial"/>
          <w:sz w:val="16"/>
          <w:szCs w:val="16"/>
          <w:color w:val="auto"/>
        </w:rPr>
        <w:t>There were no options granted during the nine months ended September 30, 2023 and 2022. The Company received approximately $17.4 million and $8.3 million in cash proceeds from options exercised during the nine months ended September 30, 2023 and 2022, respectively. The intrinsic value of options exercised during the nine months ended September 30, 2023 and 2022 was approximately $423.0 million and $258.4 million, respectively. The aggregate fair value of options vested during the nine months ended September 30, 2023 and 2022 was $12.5 million and $18.7 million, respectively.</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Stock Units, Restricted Stock and Performance Stock Units</w:t>
      </w:r>
    </w:p>
    <w:p>
      <w:pPr>
        <w:spacing w:after="0" w:line="22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summarizes the activity for the Company’s unvested RSUs and PSUs: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64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00" w:type="dxa"/>
            <w:vAlign w:val="bottom"/>
          </w:tcPr>
          <w:p>
            <w:pPr>
              <w:jc w:val="center"/>
              <w:ind w:right="77"/>
              <w:spacing w:after="0"/>
              <w:rPr>
                <w:sz w:val="20"/>
                <w:szCs w:val="20"/>
                <w:color w:val="auto"/>
              </w:rPr>
            </w:pPr>
            <w:r>
              <w:rPr>
                <w:rFonts w:ascii="Arial" w:cs="Arial" w:eastAsia="Arial" w:hAnsi="Arial"/>
                <w:sz w:val="14"/>
                <w:szCs w:val="14"/>
                <w:b w:val="1"/>
                <w:bCs w:val="1"/>
                <w:color w:val="auto"/>
                <w:w w:val="91"/>
              </w:rPr>
              <w:t>Weighted-</w:t>
            </w:r>
          </w:p>
        </w:tc>
      </w:tr>
      <w:tr>
        <w:trPr>
          <w:trHeight w:val="176"/>
        </w:trPr>
        <w:tc>
          <w:tcPr>
            <w:tcW w:w="764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500" w:type="dxa"/>
            <w:vAlign w:val="bottom"/>
          </w:tcPr>
          <w:p>
            <w:pPr>
              <w:jc w:val="center"/>
              <w:ind w:right="57"/>
              <w:spacing w:after="0"/>
              <w:rPr>
                <w:sz w:val="20"/>
                <w:szCs w:val="20"/>
                <w:color w:val="auto"/>
              </w:rPr>
            </w:pPr>
            <w:r>
              <w:rPr>
                <w:rFonts w:ascii="Arial" w:cs="Arial" w:eastAsia="Arial" w:hAnsi="Arial"/>
                <w:sz w:val="14"/>
                <w:szCs w:val="14"/>
                <w:b w:val="1"/>
                <w:bCs w:val="1"/>
                <w:color w:val="auto"/>
                <w:w w:val="94"/>
              </w:rPr>
              <w:t>Average Grant Date</w:t>
            </w:r>
          </w:p>
        </w:tc>
      </w:tr>
      <w:tr>
        <w:trPr>
          <w:trHeight w:val="186"/>
        </w:trPr>
        <w:tc>
          <w:tcPr>
            <w:tcW w:w="7640" w:type="dxa"/>
            <w:vAlign w:val="bottom"/>
          </w:tcPr>
          <w:p>
            <w:pPr>
              <w:spacing w:after="0"/>
              <w:rPr>
                <w:sz w:val="16"/>
                <w:szCs w:val="16"/>
                <w:color w:val="auto"/>
              </w:rPr>
            </w:pPr>
          </w:p>
        </w:tc>
        <w:tc>
          <w:tcPr>
            <w:tcW w:w="1660" w:type="dxa"/>
            <w:vAlign w:val="bottom"/>
            <w:gridSpan w:val="2"/>
          </w:tcPr>
          <w:p>
            <w:pPr>
              <w:ind w:left="580"/>
              <w:spacing w:after="0"/>
              <w:rPr>
                <w:sz w:val="20"/>
                <w:szCs w:val="20"/>
                <w:color w:val="auto"/>
              </w:rPr>
            </w:pPr>
            <w:r>
              <w:rPr>
                <w:rFonts w:ascii="Arial" w:cs="Arial" w:eastAsia="Arial" w:hAnsi="Arial"/>
                <w:sz w:val="14"/>
                <w:szCs w:val="14"/>
                <w:b w:val="1"/>
                <w:bCs w:val="1"/>
                <w:color w:val="auto"/>
              </w:rPr>
              <w:t>Shares</w:t>
            </w:r>
          </w:p>
        </w:tc>
        <w:tc>
          <w:tcPr>
            <w:tcW w:w="160" w:type="dxa"/>
            <w:vAlign w:val="bottom"/>
          </w:tcPr>
          <w:p>
            <w:pPr>
              <w:spacing w:after="0"/>
              <w:rPr>
                <w:sz w:val="16"/>
                <w:szCs w:val="16"/>
                <w:color w:val="auto"/>
              </w:rPr>
            </w:pPr>
          </w:p>
        </w:tc>
        <w:tc>
          <w:tcPr>
            <w:tcW w:w="1500" w:type="dxa"/>
            <w:vAlign w:val="bottom"/>
          </w:tcPr>
          <w:p>
            <w:pPr>
              <w:jc w:val="center"/>
              <w:ind w:right="57"/>
              <w:spacing w:after="0"/>
              <w:rPr>
                <w:sz w:val="20"/>
                <w:szCs w:val="20"/>
                <w:color w:val="auto"/>
              </w:rPr>
            </w:pPr>
            <w:r>
              <w:rPr>
                <w:rFonts w:ascii="Arial" w:cs="Arial" w:eastAsia="Arial" w:hAnsi="Arial"/>
                <w:sz w:val="14"/>
                <w:szCs w:val="14"/>
                <w:b w:val="1"/>
                <w:bCs w:val="1"/>
                <w:color w:val="auto"/>
                <w:w w:val="95"/>
              </w:rPr>
              <w:t>Fair Value</w:t>
            </w:r>
          </w:p>
        </w:tc>
      </w:tr>
      <w:tr>
        <w:trPr>
          <w:trHeight w:val="39"/>
        </w:trPr>
        <w:tc>
          <w:tcPr>
            <w:tcW w:w="7640" w:type="dxa"/>
            <w:vAlign w:val="bottom"/>
            <w:tcBorders>
              <w:bottom w:val="single" w:sz="8" w:color="CCEEFF"/>
            </w:tcBorders>
          </w:tcPr>
          <w:p>
            <w:pPr>
              <w:spacing w:after="0"/>
              <w:rPr>
                <w:sz w:val="3"/>
                <w:szCs w:val="3"/>
                <w:color w:val="auto"/>
              </w:rPr>
            </w:pPr>
          </w:p>
        </w:tc>
        <w:tc>
          <w:tcPr>
            <w:tcW w:w="15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500" w:type="dxa"/>
            <w:vAlign w:val="bottom"/>
            <w:tcBorders>
              <w:bottom w:val="single" w:sz="8" w:color="auto"/>
            </w:tcBorders>
          </w:tcPr>
          <w:p>
            <w:pPr>
              <w:spacing w:after="0"/>
              <w:rPr>
                <w:sz w:val="3"/>
                <w:szCs w:val="3"/>
                <w:color w:val="auto"/>
              </w:rPr>
            </w:pPr>
          </w:p>
        </w:tc>
      </w:tr>
      <w:tr>
        <w:trPr>
          <w:trHeight w:val="243"/>
        </w:trPr>
        <w:tc>
          <w:tcPr>
            <w:tcW w:w="7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Balance—December 31, 2022</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12,378,683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106.19</w:t>
            </w:r>
          </w:p>
        </w:tc>
      </w:tr>
      <w:tr>
        <w:trPr>
          <w:trHeight w:val="243"/>
        </w:trPr>
        <w:tc>
          <w:tcPr>
            <w:tcW w:w="7640" w:type="dxa"/>
            <w:vAlign w:val="bottom"/>
          </w:tcPr>
          <w:p>
            <w:pPr>
              <w:ind w:left="20"/>
              <w:spacing w:after="0"/>
              <w:rPr>
                <w:sz w:val="20"/>
                <w:szCs w:val="20"/>
                <w:color w:val="auto"/>
              </w:rPr>
            </w:pPr>
            <w:r>
              <w:rPr>
                <w:rFonts w:ascii="Arial" w:cs="Arial" w:eastAsia="Arial" w:hAnsi="Arial"/>
                <w:sz w:val="18"/>
                <w:szCs w:val="18"/>
                <w:color w:val="auto"/>
              </w:rPr>
              <w:t>Awarded</w:t>
            </w:r>
          </w:p>
        </w:tc>
        <w:tc>
          <w:tcPr>
            <w:tcW w:w="1560" w:type="dxa"/>
            <w:vAlign w:val="bottom"/>
          </w:tcPr>
          <w:p>
            <w:pPr>
              <w:jc w:val="right"/>
              <w:spacing w:after="0"/>
              <w:rPr>
                <w:sz w:val="20"/>
                <w:szCs w:val="20"/>
                <w:color w:val="auto"/>
              </w:rPr>
            </w:pPr>
            <w:r>
              <w:rPr>
                <w:rFonts w:ascii="Arial" w:cs="Arial" w:eastAsia="Arial" w:hAnsi="Arial"/>
                <w:sz w:val="18"/>
                <w:szCs w:val="18"/>
                <w:color w:val="auto"/>
              </w:rPr>
              <w:t>4,776,360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76.15</w:t>
            </w:r>
          </w:p>
        </w:tc>
      </w:tr>
      <w:tr>
        <w:trPr>
          <w:trHeight w:val="27"/>
        </w:trPr>
        <w:tc>
          <w:tcPr>
            <w:tcW w:w="76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7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Vested</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(3,540,441)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103.71</w:t>
            </w:r>
          </w:p>
        </w:tc>
      </w:tr>
      <w:tr>
        <w:trPr>
          <w:trHeight w:val="243"/>
        </w:trPr>
        <w:tc>
          <w:tcPr>
            <w:tcW w:w="7640" w:type="dxa"/>
            <w:vAlign w:val="bottom"/>
          </w:tcPr>
          <w:p>
            <w:pPr>
              <w:ind w:left="20"/>
              <w:spacing w:after="0"/>
              <w:rPr>
                <w:sz w:val="20"/>
                <w:szCs w:val="20"/>
                <w:color w:val="auto"/>
              </w:rPr>
            </w:pPr>
            <w:r>
              <w:rPr>
                <w:rFonts w:ascii="Arial" w:cs="Arial" w:eastAsia="Arial" w:hAnsi="Arial"/>
                <w:sz w:val="18"/>
                <w:szCs w:val="18"/>
                <w:color w:val="auto"/>
              </w:rPr>
              <w:t>Forfeited/canceled</w:t>
            </w:r>
          </w:p>
        </w:tc>
        <w:tc>
          <w:tcPr>
            <w:tcW w:w="1560" w:type="dxa"/>
            <w:vAlign w:val="bottom"/>
          </w:tcPr>
          <w:p>
            <w:pPr>
              <w:jc w:val="right"/>
              <w:spacing w:after="0"/>
              <w:rPr>
                <w:sz w:val="20"/>
                <w:szCs w:val="20"/>
                <w:color w:val="auto"/>
              </w:rPr>
            </w:pPr>
            <w:r>
              <w:rPr>
                <w:rFonts w:ascii="Arial" w:cs="Arial" w:eastAsia="Arial" w:hAnsi="Arial"/>
                <w:sz w:val="18"/>
                <w:szCs w:val="18"/>
                <w:color w:val="auto"/>
              </w:rPr>
              <w:t>(1,056,740)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103.16</w:t>
            </w:r>
          </w:p>
        </w:tc>
      </w:tr>
      <w:tr>
        <w:trPr>
          <w:trHeight w:val="27"/>
        </w:trPr>
        <w:tc>
          <w:tcPr>
            <w:tcW w:w="764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500" w:type="dxa"/>
            <w:vAlign w:val="bottom"/>
            <w:tcBorders>
              <w:bottom w:val="single" w:sz="8" w:color="CCEEFF"/>
            </w:tcBorders>
          </w:tcPr>
          <w:p>
            <w:pPr>
              <w:spacing w:after="0"/>
              <w:rPr>
                <w:sz w:val="2"/>
                <w:szCs w:val="2"/>
                <w:color w:val="auto"/>
              </w:rPr>
            </w:pPr>
          </w:p>
        </w:tc>
      </w:tr>
      <w:tr>
        <w:trPr>
          <w:trHeight w:val="288"/>
        </w:trPr>
        <w:tc>
          <w:tcPr>
            <w:tcW w:w="7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Balance—September 30, 2023</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12,557,862</w:t>
            </w:r>
          </w:p>
        </w:tc>
        <w:tc>
          <w:tcPr>
            <w:tcW w:w="1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95.72</w:t>
            </w:r>
          </w:p>
        </w:tc>
      </w:tr>
      <w:tr>
        <w:trPr>
          <w:trHeight w:val="20"/>
        </w:trPr>
        <w:tc>
          <w:tcPr>
            <w:tcW w:w="764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r>
    </w:tbl>
    <w:p>
      <w:pPr>
        <w:spacing w:after="0" w:line="283" w:lineRule="exact"/>
        <w:rPr>
          <w:sz w:val="20"/>
          <w:szCs w:val="20"/>
          <w:color w:val="auto"/>
        </w:rPr>
      </w:pPr>
    </w:p>
    <w:p>
      <w:pPr>
        <w:ind w:left="500"/>
        <w:spacing w:after="0"/>
        <w:rPr>
          <w:sz w:val="20"/>
          <w:szCs w:val="20"/>
          <w:color w:val="auto"/>
        </w:rPr>
      </w:pPr>
      <w:r>
        <w:rPr>
          <w:rFonts w:ascii="Arial" w:cs="Arial" w:eastAsia="Arial" w:hAnsi="Arial"/>
          <w:sz w:val="16"/>
          <w:szCs w:val="16"/>
          <w:color w:val="auto"/>
        </w:rPr>
        <w:t>The Company granted no restricted shares of Class A common stock in connection with acquisitions during the nine months ended September 30,</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2023.</w:t>
      </w:r>
    </w:p>
    <w:p>
      <w:pPr>
        <w:spacing w:after="0" w:line="211"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Total compensation cost related to unvested RSUs and restricted shares of common stock not yet recognized was approximately $1,039.3 million and $1,151.1 million as of September 30, 2023 and December 31, 2022, respectively. The weighted-average period over which this compensation cost related to unvested RSUs and restricted shares of common stock will be recognized is 2.7 years and 2.9 years as of September 30, 2023 and December 31, 2022.</w:t>
      </w:r>
    </w:p>
    <w:p>
      <w:pPr>
        <w:spacing w:after="0" w:line="187"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Total compensation cost related to unvested PSUs not yet recognized was approximately $33.5 million and $19.0 million as of September 30, 2023 and December 31, 2022, respectively. The weighted-average period over which this compensation cost related to unvested PSUs will be recognized is 1.6 years and 1.4 years as of September 30, 2023 and December 31, 2022, respectively.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Employee Stock Purchase Plan</w:t>
      </w:r>
    </w:p>
    <w:p>
      <w:pPr>
        <w:spacing w:after="0" w:line="225"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In September 2019, the Board adopted and approved the 2019 Employee Stock Purchase Plan (the “ESPP”), which became effective on the date of the final prospectus for the IPO.</w:t>
      </w:r>
    </w:p>
    <w:p>
      <w:pPr>
        <w:spacing w:after="0" w:line="170" w:lineRule="exact"/>
        <w:rPr>
          <w:sz w:val="20"/>
          <w:szCs w:val="20"/>
          <w:color w:val="auto"/>
        </w:rPr>
      </w:pPr>
    </w:p>
    <w:p>
      <w:pPr>
        <w:jc w:val="both"/>
        <w:ind w:firstLine="486"/>
        <w:spacing w:after="0" w:line="275" w:lineRule="auto"/>
        <w:rPr>
          <w:sz w:val="20"/>
          <w:szCs w:val="20"/>
          <w:color w:val="auto"/>
        </w:rPr>
      </w:pPr>
      <w:r>
        <w:rPr>
          <w:rFonts w:ascii="Arial" w:cs="Arial" w:eastAsia="Arial" w:hAnsi="Arial"/>
          <w:sz w:val="17"/>
          <w:szCs w:val="17"/>
          <w:color w:val="auto"/>
        </w:rPr>
        <w:t>The ESPP is implemented through a series of offerings under which eligible employees are granted purchase rights to purchase shares of the Company’s Class A common stock on specified dates during such offerings. Under the ESPP, the Company may specify offerings with durations of not more than 27 months and may specify shorter purchase periods within each offering. On each purchase date, eligible employees will purchase the shares at a price per share equal to 85% of the lesser of (1) the fair market value of the Company’s Class A common stock on the first trading day of the offering period, or (2) the fair market value of the Company’s Class A common stock on the purchase date, as defined in the ESPP.</w:t>
      </w:r>
    </w:p>
    <w:p>
      <w:pPr>
        <w:spacing w:after="0" w:line="176" w:lineRule="exact"/>
        <w:rPr>
          <w:sz w:val="20"/>
          <w:szCs w:val="20"/>
          <w:color w:val="auto"/>
        </w:rPr>
      </w:pPr>
    </w:p>
    <w:p>
      <w:pPr>
        <w:jc w:val="both"/>
        <w:ind w:firstLine="486"/>
        <w:spacing w:after="0" w:line="301" w:lineRule="auto"/>
        <w:rPr>
          <w:sz w:val="20"/>
          <w:szCs w:val="20"/>
          <w:color w:val="auto"/>
        </w:rPr>
      </w:pPr>
      <w:r>
        <w:rPr>
          <w:rFonts w:ascii="Arial" w:cs="Arial" w:eastAsia="Arial" w:hAnsi="Arial"/>
          <w:sz w:val="16"/>
          <w:szCs w:val="16"/>
          <w:color w:val="auto"/>
        </w:rPr>
        <w:t>The Company recognized $3.5 million and $12.0 million of stock-based compensation expense related to the ESPP during the three and nine months ended September 30, 2023, respectively. As of September 30, 2023, $16.0 million has been withheld on behalf of employees for a future purchase under the ESPP due to the timing of payroll deductions. During the nine months ended September 30, 2023, the Company issued 285,211 shares of Class A common stock under the ESPP. As of September 30, 2023, 17,713,278 shares of Class A common stock remain available for grant under the ESPP.</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13" w:right="33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225" w:lineRule="exact"/>
        <w:rPr>
          <w:sz w:val="20"/>
          <w:szCs w:val="20"/>
          <w:color w:val="auto"/>
        </w:rPr>
      </w:pPr>
    </w:p>
    <w:p>
      <w:pPr>
        <w:jc w:val="both"/>
        <w:ind w:firstLine="486"/>
        <w:spacing w:after="0" w:line="285" w:lineRule="auto"/>
        <w:rPr>
          <w:sz w:val="20"/>
          <w:szCs w:val="20"/>
          <w:color w:val="auto"/>
        </w:rPr>
      </w:pPr>
      <w:r>
        <w:rPr>
          <w:rFonts w:ascii="Arial" w:cs="Arial" w:eastAsia="Arial" w:hAnsi="Arial"/>
          <w:sz w:val="16"/>
          <w:szCs w:val="16"/>
          <w:color w:val="auto"/>
        </w:rPr>
        <w:t>The Company recognizes and measures compensation expense for all stock-based payment awards granted to employees, directors and nonemployees, including stock options, restricted stock units (“RSUs”), performance-based awards (“PSUs”), and the employee stock purchase plan (the “ESPP”) based on the fair value of the awards on the date of grant. The determination of the grant date fair value using an option-pricing model is affected by the estimated fair value of the Company’s common stock as well as assumptions regarding a number of other complex and subjective variables. These variables include expected stock price volatility over the expected term of the award, actual and projected employee stock option exercise behaviors, the risk-free interest rate for the expected term of the award and expected dividends. The fair value of RSUs and PSUs is determined by the closing price on the date of grant of the Company’s Class A common stock, as reported on the Nasdaq Global Select Market. The Company estimates the fair value of the rights to acquire stock under the ESPP using the Black-Scholes option-pricing model. Stock-based compensation for stock options and RSUs is recognized on a straight-line basis over the requisite service period and account for forfeitures as they occur. Stock-based compensation for PSUs is amortized under the accelerated attribution method and may be adjusted over the vesting period based on interim estimates of performance against pre-set objectives. PSUs will vest upon achievement of specified performance targets and subject to continuous service through the applicable vesting dates. The compensation cost is recognized over the requisite service period when it is probable that the performance condition will be satisfied and the Company accounts for forfeitures as they occur. Stock-based compensation for PSUs is amortized under the accelerated attribution method and may be adjusted over the vesting period based on interim estimates of performance against pre-set objectives. PSUs will vest upon achievement of specified performance targets and subject to continuous service through the applicable vesting dates. The compensation cost is recognized over the requisite service period when it is considered probable that the performance condition will be satisfied and account for forfeitures as they occur.</w:t>
      </w:r>
    </w:p>
    <w:p>
      <w:pPr>
        <w:spacing w:after="0" w:line="176" w:lineRule="exact"/>
        <w:rPr>
          <w:sz w:val="20"/>
          <w:szCs w:val="20"/>
          <w:color w:val="auto"/>
        </w:rPr>
      </w:pPr>
    </w:p>
    <w:p>
      <w:pPr>
        <w:jc w:val="both"/>
        <w:ind w:firstLine="486"/>
        <w:spacing w:after="0" w:line="308" w:lineRule="auto"/>
        <w:rPr>
          <w:sz w:val="20"/>
          <w:szCs w:val="20"/>
          <w:color w:val="auto"/>
        </w:rPr>
      </w:pPr>
      <w:r>
        <w:rPr>
          <w:rFonts w:ascii="Arial" w:cs="Arial" w:eastAsia="Arial" w:hAnsi="Arial"/>
          <w:sz w:val="17"/>
          <w:szCs w:val="17"/>
          <w:color w:val="auto"/>
        </w:rPr>
        <w:t>The Company also has certain options that have performance-based vesting conditions; stock-based compensation expense for such awards is recognized on a straight-line basis from the time the vesting condition is likely to be met through the time the vesting condition has been achieved.</w:t>
      </w:r>
    </w:p>
    <w:p>
      <w:pPr>
        <w:spacing w:after="0" w:line="146" w:lineRule="exact"/>
        <w:rPr>
          <w:sz w:val="20"/>
          <w:szCs w:val="20"/>
          <w:color w:val="auto"/>
        </w:rPr>
      </w:pPr>
    </w:p>
    <w:p>
      <w:pPr>
        <w:ind w:left="500"/>
        <w:spacing w:after="0"/>
        <w:rPr>
          <w:sz w:val="20"/>
          <w:szCs w:val="20"/>
          <w:color w:val="auto"/>
        </w:rPr>
      </w:pPr>
      <w:r>
        <w:rPr>
          <w:rFonts w:ascii="Arial" w:cs="Arial" w:eastAsia="Arial" w:hAnsi="Arial"/>
          <w:sz w:val="18"/>
          <w:szCs w:val="18"/>
          <w:color w:val="auto"/>
        </w:rPr>
        <w:t>Stock-based compensation expense was included in the condensed consolidated statement of operations as follows (in thousands):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6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540" w:type="dxa"/>
            <w:vAlign w:val="bottom"/>
            <w:gridSpan w:val="5"/>
          </w:tcPr>
          <w:p>
            <w:pPr>
              <w:ind w:left="420"/>
              <w:spacing w:after="0"/>
              <w:rPr>
                <w:sz w:val="20"/>
                <w:szCs w:val="20"/>
                <w:color w:val="auto"/>
              </w:rPr>
            </w:pPr>
            <w:r>
              <w:rPr>
                <w:rFonts w:ascii="Arial" w:cs="Arial" w:eastAsia="Arial" w:hAnsi="Arial"/>
                <w:sz w:val="14"/>
                <w:szCs w:val="14"/>
                <w:b w:val="1"/>
                <w:bCs w:val="1"/>
                <w:color w:val="auto"/>
              </w:rPr>
              <w:t>Three Months Ended</w:t>
            </w:r>
          </w:p>
        </w:tc>
        <w:tc>
          <w:tcPr>
            <w:tcW w:w="320" w:type="dxa"/>
            <w:vAlign w:val="bottom"/>
          </w:tcPr>
          <w:p>
            <w:pPr>
              <w:spacing w:after="0"/>
              <w:rPr>
                <w:sz w:val="14"/>
                <w:szCs w:val="14"/>
                <w:color w:val="auto"/>
              </w:rPr>
            </w:pPr>
          </w:p>
        </w:tc>
        <w:tc>
          <w:tcPr>
            <w:tcW w:w="2380" w:type="dxa"/>
            <w:vAlign w:val="bottom"/>
            <w:gridSpan w:val="4"/>
          </w:tcPr>
          <w:p>
            <w:pPr>
              <w:jc w:val="right"/>
              <w:ind w:right="632"/>
              <w:spacing w:after="0"/>
              <w:rPr>
                <w:sz w:val="20"/>
                <w:szCs w:val="20"/>
                <w:color w:val="auto"/>
              </w:rPr>
            </w:pPr>
            <w:r>
              <w:rPr>
                <w:rFonts w:ascii="Arial" w:cs="Arial" w:eastAsia="Arial" w:hAnsi="Arial"/>
                <w:sz w:val="14"/>
                <w:szCs w:val="14"/>
                <w:b w:val="1"/>
                <w:bCs w:val="1"/>
                <w:color w:val="auto"/>
              </w:rPr>
              <w:t>Nine Months Ended</w:t>
            </w:r>
          </w:p>
        </w:tc>
      </w:tr>
      <w:tr>
        <w:trPr>
          <w:trHeight w:val="186"/>
        </w:trPr>
        <w:tc>
          <w:tcPr>
            <w:tcW w:w="56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580" w:type="dxa"/>
            <w:vAlign w:val="bottom"/>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540" w:type="dxa"/>
            <w:vAlign w:val="bottom"/>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840" w:type="dxa"/>
            <w:vAlign w:val="bottom"/>
          </w:tcPr>
          <w:p>
            <w:pPr>
              <w:spacing w:after="0"/>
              <w:rPr>
                <w:sz w:val="16"/>
                <w:szCs w:val="16"/>
                <w:color w:val="auto"/>
              </w:rPr>
            </w:pPr>
          </w:p>
        </w:tc>
      </w:tr>
      <w:tr>
        <w:trPr>
          <w:trHeight w:val="53"/>
        </w:trPr>
        <w:tc>
          <w:tcPr>
            <w:tcW w:w="5640" w:type="dxa"/>
            <w:vAlign w:val="bottom"/>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r>
      <w:tr>
        <w:trPr>
          <w:trHeight w:val="184"/>
        </w:trPr>
        <w:tc>
          <w:tcPr>
            <w:tcW w:w="56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jc w:val="right"/>
              <w:ind w:right="415"/>
              <w:spacing w:after="0"/>
              <w:rPr>
                <w:sz w:val="20"/>
                <w:szCs w:val="20"/>
                <w:color w:val="auto"/>
              </w:rPr>
            </w:pPr>
            <w:r>
              <w:rPr>
                <w:rFonts w:ascii="Arial" w:cs="Arial" w:eastAsia="Arial" w:hAnsi="Arial"/>
                <w:sz w:val="14"/>
                <w:szCs w:val="14"/>
                <w:b w:val="1"/>
                <w:bCs w:val="1"/>
                <w:color w:val="auto"/>
              </w:rPr>
              <w:t>2023</w:t>
            </w: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60" w:type="dxa"/>
            <w:vAlign w:val="bottom"/>
          </w:tcPr>
          <w:p>
            <w:pPr>
              <w:jc w:val="right"/>
              <w:ind w:right="432"/>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jc w:val="right"/>
              <w:ind w:right="415"/>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40" w:type="dxa"/>
            <w:vAlign w:val="bottom"/>
          </w:tcPr>
          <w:p>
            <w:pPr>
              <w:jc w:val="right"/>
              <w:ind w:right="412"/>
              <w:spacing w:after="0"/>
              <w:rPr>
                <w:sz w:val="20"/>
                <w:szCs w:val="20"/>
                <w:color w:val="auto"/>
              </w:rPr>
            </w:pPr>
            <w:r>
              <w:rPr>
                <w:rFonts w:ascii="Arial" w:cs="Arial" w:eastAsia="Arial" w:hAnsi="Arial"/>
                <w:sz w:val="14"/>
                <w:szCs w:val="14"/>
                <w:b w:val="1"/>
                <w:bCs w:val="1"/>
                <w:color w:val="auto"/>
              </w:rPr>
              <w:t>2022</w:t>
            </w:r>
          </w:p>
        </w:tc>
      </w:tr>
      <w:tr>
        <w:trPr>
          <w:trHeight w:val="39"/>
        </w:trPr>
        <w:tc>
          <w:tcPr>
            <w:tcW w:w="564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r>
      <w:tr>
        <w:trPr>
          <w:trHeight w:val="244"/>
        </w:trPr>
        <w:tc>
          <w:tcPr>
            <w:tcW w:w="5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Cost of revenue</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4,570</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3,165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12,452</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7,173</w:t>
            </w:r>
          </w:p>
        </w:tc>
      </w:tr>
      <w:tr>
        <w:trPr>
          <w:trHeight w:val="243"/>
        </w:trPr>
        <w:tc>
          <w:tcPr>
            <w:tcW w:w="5640" w:type="dxa"/>
            <w:vAlign w:val="bottom"/>
          </w:tcPr>
          <w:p>
            <w:pPr>
              <w:ind w:left="20"/>
              <w:spacing w:after="0"/>
              <w:rPr>
                <w:sz w:val="20"/>
                <w:szCs w:val="20"/>
                <w:color w:val="auto"/>
              </w:rPr>
            </w:pPr>
            <w:r>
              <w:rPr>
                <w:rFonts w:ascii="Arial" w:cs="Arial" w:eastAsia="Arial" w:hAnsi="Arial"/>
                <w:sz w:val="18"/>
                <w:szCs w:val="18"/>
                <w:color w:val="auto"/>
              </w:rPr>
              <w:t>Research and development</w:t>
            </w:r>
          </w:p>
        </w:tc>
        <w:tc>
          <w:tcPr>
            <w:tcW w:w="3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79,174</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65,321</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229,607</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163,326</w:t>
            </w:r>
          </w:p>
        </w:tc>
      </w:tr>
      <w:tr>
        <w:trPr>
          <w:trHeight w:val="27"/>
        </w:trPr>
        <w:tc>
          <w:tcPr>
            <w:tcW w:w="56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5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Sales and marketing</w:t>
            </w: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26,159</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21,145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75,057</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53,330</w:t>
            </w:r>
          </w:p>
        </w:tc>
      </w:tr>
      <w:tr>
        <w:trPr>
          <w:trHeight w:val="243"/>
        </w:trPr>
        <w:tc>
          <w:tcPr>
            <w:tcW w:w="5640" w:type="dxa"/>
            <w:vAlign w:val="bottom"/>
          </w:tcPr>
          <w:p>
            <w:pPr>
              <w:ind w:left="20"/>
              <w:spacing w:after="0"/>
              <w:rPr>
                <w:sz w:val="20"/>
                <w:szCs w:val="20"/>
                <w:color w:val="auto"/>
              </w:rPr>
            </w:pPr>
            <w:r>
              <w:rPr>
                <w:rFonts w:ascii="Arial" w:cs="Arial" w:eastAsia="Arial" w:hAnsi="Arial"/>
                <w:sz w:val="18"/>
                <w:szCs w:val="18"/>
                <w:color w:val="auto"/>
              </w:rPr>
              <w:t>General and administrative</w:t>
            </w:r>
          </w:p>
        </w:tc>
        <w:tc>
          <w:tcPr>
            <w:tcW w:w="3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13,211</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11,731</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37,063</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26,816</w:t>
            </w:r>
          </w:p>
        </w:tc>
      </w:tr>
      <w:tr>
        <w:trPr>
          <w:trHeight w:val="27"/>
        </w:trPr>
        <w:tc>
          <w:tcPr>
            <w:tcW w:w="56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63"/>
        </w:trPr>
        <w:tc>
          <w:tcPr>
            <w:tcW w:w="56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Stock-based compensation, net of amounts capitalized</w:t>
            </w:r>
          </w:p>
        </w:tc>
        <w:tc>
          <w:tcPr>
            <w:tcW w:w="30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123,114</w:t>
            </w:r>
          </w:p>
        </w:tc>
        <w:tc>
          <w:tcPr>
            <w:tcW w:w="12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101,362</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354,179</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250,645</w:t>
            </w:r>
          </w:p>
        </w:tc>
      </w:tr>
      <w:tr>
        <w:trPr>
          <w:trHeight w:val="237"/>
        </w:trPr>
        <w:tc>
          <w:tcPr>
            <w:tcW w:w="5640" w:type="dxa"/>
            <w:vAlign w:val="bottom"/>
          </w:tcPr>
          <w:p>
            <w:pPr>
              <w:ind w:left="20"/>
              <w:spacing w:after="0"/>
              <w:rPr>
                <w:sz w:val="20"/>
                <w:szCs w:val="20"/>
                <w:color w:val="auto"/>
              </w:rPr>
            </w:pPr>
            <w:r>
              <w:rPr>
                <w:rFonts w:ascii="Arial" w:cs="Arial" w:eastAsia="Arial" w:hAnsi="Arial"/>
                <w:sz w:val="18"/>
                <w:szCs w:val="18"/>
                <w:color w:val="auto"/>
              </w:rPr>
              <w:t>Capitalized stock-based compensation expense</w:t>
            </w:r>
          </w:p>
        </w:tc>
        <w:tc>
          <w:tcPr>
            <w:tcW w:w="30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3,071</w:t>
            </w:r>
          </w:p>
        </w:tc>
        <w:tc>
          <w:tcPr>
            <w:tcW w:w="12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3,920</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11,308</w:t>
            </w:r>
          </w:p>
        </w:tc>
        <w:tc>
          <w:tcPr>
            <w:tcW w:w="10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10,760</w:t>
            </w:r>
          </w:p>
        </w:tc>
      </w:tr>
      <w:tr>
        <w:trPr>
          <w:trHeight w:val="27"/>
        </w:trPr>
        <w:tc>
          <w:tcPr>
            <w:tcW w:w="56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89"/>
        </w:trPr>
        <w:tc>
          <w:tcPr>
            <w:tcW w:w="56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 stock-based compensation expense</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126,185</w:t>
            </w:r>
          </w:p>
        </w:tc>
        <w:tc>
          <w:tcPr>
            <w:tcW w:w="120" w:type="dxa"/>
            <w:vAlign w:val="bottom"/>
            <w:tcBorders>
              <w:bottom w:val="single" w:sz="8" w:color="CCEEFF"/>
            </w:tcBorders>
            <w:shd w:val="clear" w:color="auto" w:fill="CCEEFF"/>
          </w:tcPr>
          <w:p>
            <w:pPr>
              <w:spacing w:after="0"/>
              <w:rPr>
                <w:sz w:val="24"/>
                <w:szCs w:val="24"/>
                <w:color w:val="auto"/>
              </w:rPr>
            </w:pPr>
          </w:p>
        </w:tc>
        <w:tc>
          <w:tcPr>
            <w:tcW w:w="46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105,282</w:t>
            </w:r>
          </w:p>
        </w:tc>
        <w:tc>
          <w:tcPr>
            <w:tcW w:w="10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365,487</w:t>
            </w:r>
          </w:p>
        </w:tc>
        <w:tc>
          <w:tcPr>
            <w:tcW w:w="100" w:type="dxa"/>
            <w:vAlign w:val="bottom"/>
            <w:tcBorders>
              <w:bottom w:val="single" w:sz="8" w:color="CCEEFF"/>
            </w:tcBorders>
            <w:shd w:val="clear" w:color="auto" w:fill="CCEEFF"/>
          </w:tcPr>
          <w:p>
            <w:pPr>
              <w:spacing w:after="0"/>
              <w:rPr>
                <w:sz w:val="24"/>
                <w:szCs w:val="24"/>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261,405</w:t>
            </w:r>
          </w:p>
        </w:tc>
      </w:tr>
      <w:tr>
        <w:trPr>
          <w:trHeight w:val="20"/>
        </w:trPr>
        <w:tc>
          <w:tcPr>
            <w:tcW w:w="56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r>
    </w:tbl>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Interest Income and Other Income, Net</w:t>
      </w:r>
    </w:p>
    <w:p>
      <w:pPr>
        <w:spacing w:after="0" w:line="22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Interest income and other income, net consist of the following (in thousands):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414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440" w:type="dxa"/>
            <w:vAlign w:val="bottom"/>
            <w:gridSpan w:val="4"/>
          </w:tcPr>
          <w:p>
            <w:pPr>
              <w:jc w:val="right"/>
              <w:ind w:right="635"/>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440" w:type="dxa"/>
            <w:vAlign w:val="bottom"/>
            <w:gridSpan w:val="4"/>
          </w:tcPr>
          <w:p>
            <w:pPr>
              <w:ind w:left="440"/>
              <w:spacing w:after="0"/>
              <w:rPr>
                <w:sz w:val="20"/>
                <w:szCs w:val="20"/>
                <w:color w:val="auto"/>
              </w:rPr>
            </w:pPr>
            <w:r>
              <w:rPr>
                <w:rFonts w:ascii="Arial" w:cs="Arial" w:eastAsia="Arial" w:hAnsi="Arial"/>
                <w:sz w:val="14"/>
                <w:szCs w:val="14"/>
                <w:b w:val="1"/>
                <w:bCs w:val="1"/>
                <w:color w:val="auto"/>
              </w:rPr>
              <w:t>Nine Months Ended</w:t>
            </w:r>
          </w:p>
        </w:tc>
      </w:tr>
      <w:tr>
        <w:trPr>
          <w:trHeight w:val="186"/>
        </w:trPr>
        <w:tc>
          <w:tcPr>
            <w:tcW w:w="414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580" w:type="dxa"/>
            <w:vAlign w:val="bottom"/>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560" w:type="dxa"/>
            <w:vAlign w:val="bottom"/>
            <w:gridSpan w:val="3"/>
          </w:tcPr>
          <w:p>
            <w:pPr>
              <w:ind w:left="620"/>
              <w:spacing w:after="0"/>
              <w:rPr>
                <w:sz w:val="20"/>
                <w:szCs w:val="20"/>
                <w:color w:val="auto"/>
              </w:rPr>
            </w:pPr>
            <w:r>
              <w:rPr>
                <w:rFonts w:ascii="Arial" w:cs="Arial" w:eastAsia="Arial" w:hAnsi="Arial"/>
                <w:sz w:val="14"/>
                <w:szCs w:val="14"/>
                <w:b w:val="1"/>
                <w:bCs w:val="1"/>
                <w:color w:val="auto"/>
                <w:w w:val="96"/>
              </w:rPr>
              <w:t>September 30,</w:t>
            </w:r>
          </w:p>
        </w:tc>
        <w:tc>
          <w:tcPr>
            <w:tcW w:w="880" w:type="dxa"/>
            <w:vAlign w:val="bottom"/>
          </w:tcPr>
          <w:p>
            <w:pPr>
              <w:spacing w:after="0"/>
              <w:rPr>
                <w:sz w:val="16"/>
                <w:szCs w:val="16"/>
                <w:color w:val="auto"/>
              </w:rPr>
            </w:pPr>
          </w:p>
        </w:tc>
      </w:tr>
      <w:tr>
        <w:trPr>
          <w:trHeight w:val="39"/>
        </w:trPr>
        <w:tc>
          <w:tcPr>
            <w:tcW w:w="4140" w:type="dxa"/>
            <w:vAlign w:val="bottom"/>
          </w:tcPr>
          <w:p>
            <w:pPr>
              <w:spacing w:after="0"/>
              <w:rPr>
                <w:sz w:val="3"/>
                <w:szCs w:val="3"/>
                <w:color w:val="auto"/>
              </w:rPr>
            </w:pPr>
          </w:p>
        </w:tc>
        <w:tc>
          <w:tcPr>
            <w:tcW w:w="1500" w:type="dxa"/>
            <w:vAlign w:val="bottom"/>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r>
      <w:tr>
        <w:trPr>
          <w:trHeight w:val="184"/>
        </w:trPr>
        <w:tc>
          <w:tcPr>
            <w:tcW w:w="414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jc w:val="right"/>
              <w:ind w:right="419"/>
              <w:spacing w:after="0"/>
              <w:rPr>
                <w:sz w:val="20"/>
                <w:szCs w:val="20"/>
                <w:color w:val="auto"/>
              </w:rPr>
            </w:pPr>
            <w:r>
              <w:rPr>
                <w:rFonts w:ascii="Arial" w:cs="Arial" w:eastAsia="Arial" w:hAnsi="Arial"/>
                <w:sz w:val="14"/>
                <w:szCs w:val="14"/>
                <w:b w:val="1"/>
                <w:bCs w:val="1"/>
                <w:color w:val="auto"/>
              </w:rPr>
              <w:t>2023</w:t>
            </w: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60" w:type="dxa"/>
            <w:vAlign w:val="bottom"/>
          </w:tcPr>
          <w:p>
            <w:pPr>
              <w:jc w:val="right"/>
              <w:ind w:right="435"/>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ind w:left="200"/>
              <w:spacing w:after="0"/>
              <w:rPr>
                <w:sz w:val="20"/>
                <w:szCs w:val="20"/>
                <w:color w:val="auto"/>
              </w:rPr>
            </w:pPr>
            <w:r>
              <w:rPr>
                <w:rFonts w:ascii="Arial" w:cs="Arial" w:eastAsia="Arial" w:hAnsi="Arial"/>
                <w:sz w:val="14"/>
                <w:szCs w:val="14"/>
                <w:b w:val="1"/>
                <w:bCs w:val="1"/>
                <w:color w:val="auto"/>
              </w:rPr>
              <w:t>2023</w:t>
            </w: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80" w:type="dxa"/>
            <w:vAlign w:val="bottom"/>
          </w:tcPr>
          <w:p>
            <w:pPr>
              <w:jc w:val="right"/>
              <w:ind w:right="435"/>
              <w:spacing w:after="0"/>
              <w:rPr>
                <w:sz w:val="20"/>
                <w:szCs w:val="20"/>
                <w:color w:val="auto"/>
              </w:rPr>
            </w:pPr>
            <w:r>
              <w:rPr>
                <w:rFonts w:ascii="Arial" w:cs="Arial" w:eastAsia="Arial" w:hAnsi="Arial"/>
                <w:sz w:val="14"/>
                <w:szCs w:val="14"/>
                <w:b w:val="1"/>
                <w:bCs w:val="1"/>
                <w:color w:val="auto"/>
              </w:rPr>
              <w:t>2022</w:t>
            </w:r>
          </w:p>
        </w:tc>
      </w:tr>
      <w:tr>
        <w:trPr>
          <w:trHeight w:val="39"/>
        </w:trPr>
        <w:tc>
          <w:tcPr>
            <w:tcW w:w="4140" w:type="dxa"/>
            <w:vAlign w:val="bottom"/>
            <w:tcBorders>
              <w:bottom w:val="single" w:sz="8" w:color="CCEEFF"/>
            </w:tcBorders>
          </w:tcPr>
          <w:p>
            <w:pPr>
              <w:spacing w:after="0"/>
              <w:rPr>
                <w:sz w:val="3"/>
                <w:szCs w:val="3"/>
                <w:color w:val="auto"/>
              </w:rPr>
            </w:pPr>
          </w:p>
        </w:tc>
        <w:tc>
          <w:tcPr>
            <w:tcW w:w="150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100" w:type="dxa"/>
            <w:vAlign w:val="bottom"/>
            <w:tcBorders>
              <w:bottom w:val="single" w:sz="8" w:color="CFF0FC"/>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20" w:type="dxa"/>
            <w:vAlign w:val="bottom"/>
            <w:tcBorders>
              <w:bottom w:val="single" w:sz="8" w:color="CFF0FC"/>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r>
      <w:tr>
        <w:trPr>
          <w:trHeight w:val="243"/>
        </w:trPr>
        <w:tc>
          <w:tcPr>
            <w:tcW w:w="4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Interest income</w:t>
            </w:r>
          </w:p>
        </w:tc>
        <w:tc>
          <w:tcPr>
            <w:tcW w:w="18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28,801</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9,087</w:t>
            </w:r>
          </w:p>
        </w:tc>
        <w:tc>
          <w:tcPr>
            <w:tcW w:w="420" w:type="dxa"/>
            <w:vAlign w:val="bottom"/>
            <w:tcBorders>
              <w:bottom w:val="single" w:sz="8" w:color="CFF0FC"/>
            </w:tcBorders>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FF0FC"/>
            </w:tcBorders>
            <w:shd w:val="clear" w:color="auto" w:fill="CFF0FC"/>
          </w:tcPr>
          <w:p>
            <w:pPr>
              <w:ind w:left="440"/>
              <w:spacing w:after="0"/>
              <w:rPr>
                <w:sz w:val="20"/>
                <w:szCs w:val="20"/>
                <w:color w:val="auto"/>
              </w:rPr>
            </w:pPr>
            <w:r>
              <w:rPr>
                <w:rFonts w:ascii="Arial" w:cs="Arial" w:eastAsia="Arial" w:hAnsi="Arial"/>
                <w:sz w:val="18"/>
                <w:szCs w:val="18"/>
                <w:color w:val="auto"/>
                <w:w w:val="98"/>
              </w:rPr>
              <w:t>70,676</w:t>
            </w:r>
          </w:p>
        </w:tc>
        <w:tc>
          <w:tcPr>
            <w:tcW w:w="120" w:type="dxa"/>
            <w:vAlign w:val="bottom"/>
            <w:tcBorders>
              <w:bottom w:val="single" w:sz="8" w:color="CFF0FC"/>
            </w:tcBorders>
            <w:shd w:val="clear" w:color="auto" w:fill="CFF0FC"/>
          </w:tcPr>
          <w:p>
            <w:pPr>
              <w:spacing w:after="0"/>
              <w:rPr>
                <w:sz w:val="21"/>
                <w:szCs w:val="21"/>
                <w:color w:val="auto"/>
              </w:rPr>
            </w:pPr>
          </w:p>
        </w:tc>
        <w:tc>
          <w:tcPr>
            <w:tcW w:w="440" w:type="dxa"/>
            <w:vAlign w:val="bottom"/>
            <w:tcBorders>
              <w:bottom w:val="single" w:sz="8" w:color="CFF0FC"/>
            </w:tcBorders>
            <w:shd w:val="clear" w:color="auto" w:fill="CFF0FC"/>
          </w:tcPr>
          <w:p>
            <w:pPr>
              <w:jc w:val="right"/>
              <w:ind w:right="25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21,338</w:t>
            </w:r>
          </w:p>
        </w:tc>
      </w:tr>
      <w:tr>
        <w:trPr>
          <w:trHeight w:val="243"/>
        </w:trPr>
        <w:tc>
          <w:tcPr>
            <w:tcW w:w="4140" w:type="dxa"/>
            <w:vAlign w:val="bottom"/>
          </w:tcPr>
          <w:p>
            <w:pPr>
              <w:ind w:left="20"/>
              <w:spacing w:after="0"/>
              <w:rPr>
                <w:sz w:val="20"/>
                <w:szCs w:val="20"/>
                <w:color w:val="auto"/>
              </w:rPr>
            </w:pPr>
            <w:r>
              <w:rPr>
                <w:rFonts w:ascii="Arial" w:cs="Arial" w:eastAsia="Arial" w:hAnsi="Arial"/>
                <w:sz w:val="18"/>
                <w:szCs w:val="18"/>
                <w:color w:val="auto"/>
              </w:rPr>
              <w:t>Other income (loss), net</w:t>
            </w:r>
          </w:p>
        </w:tc>
        <w:tc>
          <w:tcPr>
            <w:tcW w:w="15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1,032</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2,924</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ind w:left="460"/>
              <w:spacing w:after="0"/>
              <w:rPr>
                <w:sz w:val="20"/>
                <w:szCs w:val="20"/>
                <w:color w:val="auto"/>
              </w:rPr>
            </w:pPr>
            <w:r>
              <w:rPr>
                <w:rFonts w:ascii="Arial" w:cs="Arial" w:eastAsia="Arial" w:hAnsi="Arial"/>
                <w:sz w:val="18"/>
                <w:szCs w:val="18"/>
                <w:color w:val="auto"/>
                <w:w w:val="91"/>
              </w:rPr>
              <w:t>(1,492)</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4,029</w:t>
            </w:r>
          </w:p>
        </w:tc>
      </w:tr>
      <w:tr>
        <w:trPr>
          <w:trHeight w:val="27"/>
        </w:trPr>
        <w:tc>
          <w:tcPr>
            <w:tcW w:w="4140" w:type="dxa"/>
            <w:vAlign w:val="bottom"/>
            <w:tcBorders>
              <w:bottom w:val="single" w:sz="8" w:color="CCEEFF"/>
            </w:tcBorders>
          </w:tcPr>
          <w:p>
            <w:pPr>
              <w:spacing w:after="0"/>
              <w:rPr>
                <w:sz w:val="2"/>
                <w:szCs w:val="2"/>
                <w:color w:val="auto"/>
              </w:rPr>
            </w:pPr>
          </w:p>
        </w:tc>
        <w:tc>
          <w:tcPr>
            <w:tcW w:w="15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FF0FC"/>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83"/>
        </w:trPr>
        <w:tc>
          <w:tcPr>
            <w:tcW w:w="4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income and other income, net</w:t>
            </w:r>
          </w:p>
        </w:tc>
        <w:tc>
          <w:tcPr>
            <w:tcW w:w="1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29,833</w:t>
            </w:r>
          </w:p>
        </w:tc>
        <w:tc>
          <w:tcPr>
            <w:tcW w:w="120" w:type="dxa"/>
            <w:vAlign w:val="bottom"/>
            <w:shd w:val="clear" w:color="auto" w:fill="CCEEFF"/>
          </w:tcPr>
          <w:p>
            <w:pPr>
              <w:spacing w:after="0"/>
              <w:rPr>
                <w:sz w:val="24"/>
                <w:szCs w:val="24"/>
                <w:color w:val="auto"/>
              </w:rPr>
            </w:pPr>
          </w:p>
        </w:tc>
        <w:tc>
          <w:tcPr>
            <w:tcW w:w="4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12,011</w:t>
            </w:r>
          </w:p>
        </w:tc>
        <w:tc>
          <w:tcPr>
            <w:tcW w:w="42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ind w:left="440"/>
              <w:spacing w:after="0"/>
              <w:rPr>
                <w:sz w:val="20"/>
                <w:szCs w:val="20"/>
                <w:color w:val="auto"/>
              </w:rPr>
            </w:pPr>
            <w:r>
              <w:rPr>
                <w:rFonts w:ascii="Arial" w:cs="Arial" w:eastAsia="Arial" w:hAnsi="Arial"/>
                <w:sz w:val="18"/>
                <w:szCs w:val="18"/>
                <w:color w:val="auto"/>
                <w:w w:val="98"/>
              </w:rPr>
              <w:t>69,184</w:t>
            </w:r>
          </w:p>
        </w:tc>
        <w:tc>
          <w:tcPr>
            <w:tcW w:w="120" w:type="dxa"/>
            <w:vAlign w:val="bottom"/>
            <w:shd w:val="clear" w:color="auto" w:fill="CFF0FC"/>
          </w:tcPr>
          <w:p>
            <w:pPr>
              <w:spacing w:after="0"/>
              <w:rPr>
                <w:sz w:val="24"/>
                <w:szCs w:val="24"/>
                <w:color w:val="auto"/>
              </w:rPr>
            </w:pPr>
          </w:p>
        </w:tc>
        <w:tc>
          <w:tcPr>
            <w:tcW w:w="440" w:type="dxa"/>
            <w:vAlign w:val="bottom"/>
            <w:shd w:val="clear" w:color="auto" w:fill="CFF0FC"/>
          </w:tcPr>
          <w:p>
            <w:pPr>
              <w:jc w:val="right"/>
              <w:ind w:right="25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25,367</w:t>
            </w:r>
          </w:p>
        </w:tc>
      </w:tr>
      <w:tr>
        <w:trPr>
          <w:trHeight w:val="20"/>
        </w:trPr>
        <w:tc>
          <w:tcPr>
            <w:tcW w:w="414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r>
      <w:tr>
        <w:trPr>
          <w:trHeight w:val="838"/>
        </w:trPr>
        <w:tc>
          <w:tcPr>
            <w:tcW w:w="4140" w:type="dxa"/>
            <w:vAlign w:val="bottom"/>
          </w:tcPr>
          <w:p>
            <w:pPr>
              <w:spacing w:after="0"/>
              <w:rPr>
                <w:sz w:val="24"/>
                <w:szCs w:val="24"/>
                <w:color w:val="auto"/>
              </w:rPr>
            </w:pPr>
          </w:p>
        </w:tc>
        <w:tc>
          <w:tcPr>
            <w:tcW w:w="1800" w:type="dxa"/>
            <w:vAlign w:val="bottom"/>
            <w:gridSpan w:val="2"/>
          </w:tcPr>
          <w:p>
            <w:pPr>
              <w:jc w:val="right"/>
              <w:ind w:right="220"/>
              <w:spacing w:after="0"/>
              <w:rPr>
                <w:sz w:val="20"/>
                <w:szCs w:val="20"/>
                <w:color w:val="auto"/>
              </w:rPr>
            </w:pPr>
            <w:r>
              <w:rPr>
                <w:rFonts w:ascii="Arial" w:cs="Arial" w:eastAsia="Arial" w:hAnsi="Arial"/>
                <w:sz w:val="18"/>
                <w:szCs w:val="18"/>
                <w:color w:val="auto"/>
              </w:rPr>
              <w:t>20</w:t>
            </w: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115"/>
        </w:trPr>
        <w:tc>
          <w:tcPr>
            <w:tcW w:w="4140" w:type="dxa"/>
            <w:vAlign w:val="bottom"/>
            <w:tcBorders>
              <w:bottom w:val="single" w:sz="8" w:color="9A9A9A"/>
            </w:tcBorders>
          </w:tcPr>
          <w:p>
            <w:pPr>
              <w:spacing w:after="0"/>
              <w:rPr>
                <w:sz w:val="10"/>
                <w:szCs w:val="10"/>
                <w:color w:val="auto"/>
              </w:rPr>
            </w:pPr>
          </w:p>
        </w:tc>
        <w:tc>
          <w:tcPr>
            <w:tcW w:w="150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13" w:right="33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color w:val="auto"/>
        </w:rPr>
        <w:t>13. Income Taxes</w:t>
      </w:r>
    </w:p>
    <w:p>
      <w:pPr>
        <w:spacing w:after="0" w:line="229" w:lineRule="exact"/>
        <w:rPr>
          <w:sz w:val="20"/>
          <w:szCs w:val="20"/>
          <w:color w:val="auto"/>
        </w:rPr>
      </w:pPr>
    </w:p>
    <w:p>
      <w:pPr>
        <w:jc w:val="both"/>
        <w:ind w:firstLine="486"/>
        <w:spacing w:after="0" w:line="266" w:lineRule="auto"/>
        <w:rPr>
          <w:sz w:val="20"/>
          <w:szCs w:val="20"/>
          <w:color w:val="auto"/>
        </w:rPr>
      </w:pPr>
      <w:r>
        <w:rPr>
          <w:rFonts w:ascii="Arial" w:cs="Arial" w:eastAsia="Arial" w:hAnsi="Arial"/>
          <w:sz w:val="17"/>
          <w:szCs w:val="17"/>
          <w:color w:val="auto"/>
        </w:rPr>
        <w:t>The Company recorded a provision for income taxes of $1.7 million and $2.9 million for the three months ended September 30, 2023 and 2022, respectively. The Company has incurred U.S. operating losses and has minimal profits in its foreign jurisdictions during the quarter.</w:t>
      </w:r>
    </w:p>
    <w:p>
      <w:pPr>
        <w:spacing w:after="0" w:line="1" w:lineRule="exact"/>
        <w:rPr>
          <w:sz w:val="20"/>
          <w:szCs w:val="20"/>
          <w:color w:val="auto"/>
        </w:rPr>
      </w:pPr>
    </w:p>
    <w:p>
      <w:pPr>
        <w:ind w:left="500"/>
        <w:spacing w:after="0"/>
        <w:rPr>
          <w:sz w:val="20"/>
          <w:szCs w:val="20"/>
          <w:color w:val="auto"/>
        </w:rPr>
      </w:pPr>
      <w:r>
        <w:rPr>
          <w:rFonts w:ascii="Arial" w:cs="Arial" w:eastAsia="Arial" w:hAnsi="Arial"/>
          <w:sz w:val="16"/>
          <w:szCs w:val="16"/>
          <w:color w:val="auto"/>
        </w:rPr>
        <w:t xml:space="preserve">The Company has applied ASC 740, </w:t>
      </w:r>
      <w:r>
        <w:rPr>
          <w:rFonts w:ascii="Arial" w:cs="Arial" w:eastAsia="Arial" w:hAnsi="Arial"/>
          <w:sz w:val="16"/>
          <w:szCs w:val="16"/>
          <w:i w:val="1"/>
          <w:iCs w:val="1"/>
          <w:color w:val="auto"/>
        </w:rPr>
        <w:t>Income Taxes</w:t>
      </w:r>
      <w:r>
        <w:rPr>
          <w:rFonts w:ascii="Arial" w:cs="Arial" w:eastAsia="Arial" w:hAnsi="Arial"/>
          <w:sz w:val="16"/>
          <w:szCs w:val="16"/>
          <w:color w:val="auto"/>
        </w:rPr>
        <w:t>, and has determined that it has uncertain positions that would result in a tax reserve deemed</w:t>
      </w:r>
    </w:p>
    <w:p>
      <w:pPr>
        <w:spacing w:after="0" w:line="43"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immaterial for each of the nine months ended September 30, 2023 and 2022. The Company’s policy is to recognize interest and penalties related to uncertain tax positions in income tax expense. The Company is subject to U.S. federal tax authority, U.S. state tax authority and foreign tax authority examinations.</w:t>
      </w:r>
    </w:p>
    <w:p>
      <w:pPr>
        <w:spacing w:after="0" w:line="195" w:lineRule="exact"/>
        <w:rPr>
          <w:sz w:val="20"/>
          <w:szCs w:val="20"/>
          <w:color w:val="auto"/>
        </w:rPr>
      </w:pPr>
    </w:p>
    <w:p>
      <w:pPr>
        <w:jc w:val="both"/>
        <w:ind w:firstLine="486"/>
        <w:spacing w:after="0" w:line="275" w:lineRule="auto"/>
        <w:rPr>
          <w:sz w:val="20"/>
          <w:szCs w:val="20"/>
          <w:color w:val="auto"/>
        </w:rPr>
      </w:pPr>
      <w:r>
        <w:rPr>
          <w:rFonts w:ascii="Arial" w:cs="Arial" w:eastAsia="Arial" w:hAnsi="Arial"/>
          <w:sz w:val="17"/>
          <w:szCs w:val="17"/>
          <w:color w:val="auto"/>
        </w:rPr>
        <w:t>The Company has evaluated the available evidence supporting the realization of its deferred tax assets, including the amount and timing of future taxable income, and has determined that it is more likely than not that its net deferred tax assets will not be realized in the United States. Due to uncertainties surrounding the realization of the deferred tax assets, the Company recorded a full valuation allowance against substantially all of its net deferred tax assets. When the Company determines that it will be able to realize some portion or all of its deferred tax assets, an adjustment to its valuation allowance on its deferred tax assets would have the effect of increasing net income in the period such determination is made.</w:t>
      </w:r>
    </w:p>
    <w:p>
      <w:pPr>
        <w:spacing w:after="0" w:line="176" w:lineRule="exact"/>
        <w:rPr>
          <w:sz w:val="20"/>
          <w:szCs w:val="20"/>
          <w:color w:val="auto"/>
        </w:rPr>
      </w:pPr>
    </w:p>
    <w:p>
      <w:pPr>
        <w:jc w:val="both"/>
        <w:ind w:right="20" w:firstLine="486"/>
        <w:spacing w:after="0" w:line="259" w:lineRule="auto"/>
        <w:rPr>
          <w:sz w:val="20"/>
          <w:szCs w:val="20"/>
          <w:color w:val="auto"/>
        </w:rPr>
      </w:pPr>
      <w:r>
        <w:rPr>
          <w:rFonts w:ascii="Arial" w:cs="Arial" w:eastAsia="Arial" w:hAnsi="Arial"/>
          <w:sz w:val="18"/>
          <w:szCs w:val="18"/>
          <w:color w:val="auto"/>
        </w:rPr>
        <w:t>On August 16, 2022, the Inflation Reduction Act (“the Act”) was signed into law. The Act includes a 15.0% corporate alternative minimum tax on the adjusted financial statement income of applicable corporations and a 1.0% excise tax on all corporate stock buybacks of public companies for tax years beginning after December 31, 2022. For the nine months ended September 30, 2023, the Act did not materially impact the Company’s provision for income tax. The Company will continue to monitor any changes in tax law.</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Net Income (Loss) Per Share</w:t>
      </w:r>
    </w:p>
    <w:p>
      <w:pPr>
        <w:spacing w:after="0" w:line="229" w:lineRule="exact"/>
        <w:rPr>
          <w:sz w:val="20"/>
          <w:szCs w:val="20"/>
          <w:color w:val="auto"/>
        </w:rPr>
      </w:pPr>
    </w:p>
    <w:p>
      <w:pPr>
        <w:jc w:val="both"/>
        <w:ind w:firstLine="486"/>
        <w:spacing w:after="0" w:line="255" w:lineRule="auto"/>
        <w:rPr>
          <w:sz w:val="20"/>
          <w:szCs w:val="20"/>
          <w:color w:val="auto"/>
        </w:rPr>
      </w:pPr>
      <w:r>
        <w:rPr>
          <w:rFonts w:ascii="Arial" w:cs="Arial" w:eastAsia="Arial" w:hAnsi="Arial"/>
          <w:sz w:val="18"/>
          <w:szCs w:val="18"/>
          <w:color w:val="auto"/>
        </w:rPr>
        <w:t>Basic and diluted net income (loss) per common share is presented in conformity with the two-class method required for participating securities. Basic and diluted net income (loss) per share is computed using the weighted-average number of shares of common stock outstanding during the period. The undistributed earnings are allocated based on the contractual participation rights of the Class A and Class B common stock as if the earnings for the year have been distributed. As the liquidation and dividend rights are identical, the undistributed earnings are allocated on a proportionate basis. Further, as the conversion of Class B common stock is assumed in the computation of the diluted net income (loss) per share of Class A common stock, the undistributed earnings are equal to net income (loss) for that computation.</w:t>
      </w: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22" w:name="page23"/>
    <w:bookmarkEnd w:id="22"/>
    <w:p>
      <w:pPr>
        <w:ind w:left="500"/>
        <w:spacing w:after="0"/>
        <w:rPr>
          <w:sz w:val="20"/>
          <w:szCs w:val="20"/>
          <w:color w:val="auto"/>
        </w:rPr>
      </w:pPr>
      <w:r>
        <w:rPr>
          <w:rFonts w:ascii="Arial" w:cs="Arial" w:eastAsia="Arial" w:hAnsi="Arial"/>
          <w:sz w:val="18"/>
          <w:szCs w:val="18"/>
          <w:color w:val="auto"/>
        </w:rPr>
        <w:t>The following table presents the calculation of basic and diluted net income (loss) per share (in thousands, except per share data):</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980" w:type="dxa"/>
            <w:vAlign w:val="bottom"/>
            <w:gridSpan w:val="5"/>
          </w:tcPr>
          <w:p>
            <w:pPr>
              <w:jc w:val="center"/>
              <w:ind w:right="360"/>
              <w:spacing w:after="0"/>
              <w:rPr>
                <w:sz w:val="20"/>
                <w:szCs w:val="20"/>
                <w:color w:val="auto"/>
              </w:rPr>
            </w:pPr>
            <w:r>
              <w:rPr>
                <w:rFonts w:ascii="Arial" w:cs="Arial" w:eastAsia="Arial" w:hAnsi="Arial"/>
                <w:sz w:val="14"/>
                <w:szCs w:val="14"/>
                <w:b w:val="1"/>
                <w:bCs w:val="1"/>
                <w:color w:val="auto"/>
                <w:w w:val="93"/>
              </w:rPr>
              <w:t>Three Months Ended</w:t>
            </w: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920" w:type="dxa"/>
            <w:vAlign w:val="bottom"/>
            <w:gridSpan w:val="5"/>
          </w:tcPr>
          <w:p>
            <w:pPr>
              <w:jc w:val="center"/>
              <w:ind w:right="240"/>
              <w:spacing w:after="0"/>
              <w:rPr>
                <w:sz w:val="20"/>
                <w:szCs w:val="20"/>
                <w:color w:val="auto"/>
              </w:rPr>
            </w:pPr>
            <w:r>
              <w:rPr>
                <w:rFonts w:ascii="Arial" w:cs="Arial" w:eastAsia="Arial" w:hAnsi="Arial"/>
                <w:sz w:val="14"/>
                <w:szCs w:val="14"/>
                <w:b w:val="1"/>
                <w:bCs w:val="1"/>
                <w:color w:val="auto"/>
                <w:w w:val="94"/>
              </w:rPr>
              <w:t>Nine Months Ended</w:t>
            </w: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27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980" w:type="dxa"/>
            <w:vAlign w:val="bottom"/>
            <w:gridSpan w:val="5"/>
          </w:tcPr>
          <w:p>
            <w:pPr>
              <w:jc w:val="center"/>
              <w:ind w:right="380"/>
              <w:spacing w:after="0"/>
              <w:rPr>
                <w:sz w:val="20"/>
                <w:szCs w:val="20"/>
                <w:color w:val="auto"/>
              </w:rPr>
            </w:pPr>
            <w:r>
              <w:rPr>
                <w:rFonts w:ascii="Arial" w:cs="Arial" w:eastAsia="Arial" w:hAnsi="Arial"/>
                <w:sz w:val="14"/>
                <w:szCs w:val="14"/>
                <w:b w:val="1"/>
                <w:bCs w:val="1"/>
                <w:color w:val="auto"/>
                <w:w w:val="91"/>
              </w:rPr>
              <w:t>September 30,</w:t>
            </w:r>
          </w:p>
        </w:tc>
        <w:tc>
          <w:tcPr>
            <w:tcW w:w="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920" w:type="dxa"/>
            <w:vAlign w:val="bottom"/>
            <w:gridSpan w:val="5"/>
          </w:tcPr>
          <w:p>
            <w:pPr>
              <w:jc w:val="center"/>
              <w:ind w:right="240"/>
              <w:spacing w:after="0"/>
              <w:rPr>
                <w:sz w:val="20"/>
                <w:szCs w:val="20"/>
                <w:color w:val="auto"/>
              </w:rPr>
            </w:pPr>
            <w:r>
              <w:rPr>
                <w:rFonts w:ascii="Arial" w:cs="Arial" w:eastAsia="Arial" w:hAnsi="Arial"/>
                <w:sz w:val="14"/>
                <w:szCs w:val="14"/>
                <w:b w:val="1"/>
                <w:bCs w:val="1"/>
                <w:color w:val="auto"/>
                <w:w w:val="91"/>
              </w:rPr>
              <w:t>September 30,</w:t>
            </w:r>
          </w:p>
        </w:tc>
        <w:tc>
          <w:tcPr>
            <w:tcW w:w="1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3"/>
        </w:trPr>
        <w:tc>
          <w:tcPr>
            <w:tcW w:w="2760" w:type="dxa"/>
            <w:vAlign w:val="bottom"/>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gridSpan w:val="3"/>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080" w:type="dxa"/>
            <w:vAlign w:val="bottom"/>
            <w:tcBorders>
              <w:bottom w:val="single" w:sz="8" w:color="auto"/>
            </w:tcBorders>
            <w:gridSpan w:val="3"/>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gridSpan w:val="3"/>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gridSpan w:val="3"/>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84"/>
        </w:trPr>
        <w:tc>
          <w:tcPr>
            <w:tcW w:w="27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gridSpan w:val="3"/>
          </w:tcPr>
          <w:p>
            <w:pPr>
              <w:jc w:val="right"/>
              <w:ind w:right="39"/>
              <w:spacing w:after="0"/>
              <w:rPr>
                <w:sz w:val="20"/>
                <w:szCs w:val="20"/>
                <w:color w:val="auto"/>
              </w:rPr>
            </w:pPr>
            <w:r>
              <w:rPr>
                <w:rFonts w:ascii="Arial" w:cs="Arial" w:eastAsia="Arial" w:hAnsi="Arial"/>
                <w:sz w:val="14"/>
                <w:szCs w:val="14"/>
                <w:b w:val="1"/>
                <w:bCs w:val="1"/>
                <w:color w:val="auto"/>
              </w:rPr>
              <w:t>2023</w:t>
            </w: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gridSpan w:val="3"/>
          </w:tcPr>
          <w:p>
            <w:pPr>
              <w:jc w:val="right"/>
              <w:ind w:right="19"/>
              <w:spacing w:after="0"/>
              <w:rPr>
                <w:sz w:val="20"/>
                <w:szCs w:val="20"/>
                <w:color w:val="auto"/>
              </w:rPr>
            </w:pPr>
            <w:r>
              <w:rPr>
                <w:rFonts w:ascii="Arial" w:cs="Arial" w:eastAsia="Arial" w:hAnsi="Arial"/>
                <w:sz w:val="14"/>
                <w:szCs w:val="14"/>
                <w:b w:val="1"/>
                <w:bCs w:val="1"/>
                <w:color w:val="auto"/>
              </w:rPr>
              <w:t>2022</w:t>
            </w: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gridSpan w:val="3"/>
          </w:tcPr>
          <w:p>
            <w:pPr>
              <w:jc w:val="right"/>
              <w:spacing w:after="0"/>
              <w:rPr>
                <w:sz w:val="20"/>
                <w:szCs w:val="20"/>
                <w:color w:val="auto"/>
              </w:rPr>
            </w:pPr>
            <w:r>
              <w:rPr>
                <w:rFonts w:ascii="Arial" w:cs="Arial" w:eastAsia="Arial" w:hAnsi="Arial"/>
                <w:sz w:val="14"/>
                <w:szCs w:val="14"/>
                <w:b w:val="1"/>
                <w:bCs w:val="1"/>
                <w:color w:val="auto"/>
              </w:rPr>
              <w:t>2023</w:t>
            </w: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gridSpan w:val="3"/>
          </w:tcPr>
          <w:p>
            <w:pPr>
              <w:jc w:val="right"/>
              <w:spacing w:after="0"/>
              <w:rPr>
                <w:sz w:val="20"/>
                <w:szCs w:val="20"/>
                <w:color w:val="auto"/>
              </w:rPr>
            </w:pPr>
            <w:r>
              <w:rPr>
                <w:rFonts w:ascii="Arial" w:cs="Arial" w:eastAsia="Arial" w:hAnsi="Arial"/>
                <w:sz w:val="14"/>
                <w:szCs w:val="14"/>
                <w:b w:val="1"/>
                <w:bCs w:val="1"/>
                <w:color w:val="auto"/>
              </w:rPr>
              <w:t>2022</w:t>
            </w: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9"/>
        </w:trPr>
        <w:tc>
          <w:tcPr>
            <w:tcW w:w="2760" w:type="dxa"/>
            <w:vAlign w:val="bottom"/>
            <w:vMerge w:val="restart"/>
          </w:tcPr>
          <w:p>
            <w:pPr>
              <w:ind w:left="20"/>
              <w:spacing w:after="0"/>
              <w:rPr>
                <w:sz w:val="20"/>
                <w:szCs w:val="20"/>
                <w:color w:val="auto"/>
              </w:rPr>
            </w:pPr>
            <w:r>
              <w:rPr>
                <w:rFonts w:ascii="Arial" w:cs="Arial" w:eastAsia="Arial" w:hAnsi="Arial"/>
                <w:sz w:val="16"/>
                <w:szCs w:val="16"/>
                <w:color w:val="auto"/>
              </w:rPr>
              <w:t>Basic net income (loss) per share:</w:t>
            </w:r>
          </w:p>
        </w:tc>
        <w:tc>
          <w:tcPr>
            <w:tcW w:w="20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gridSpan w:val="2"/>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gridSpan w:val="2"/>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gridSpan w:val="2"/>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gridSpan w:val="2"/>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17"/>
        </w:trPr>
        <w:tc>
          <w:tcPr>
            <w:tcW w:w="276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gridSpan w:val="2"/>
          </w:tcPr>
          <w:p>
            <w:pPr>
              <w:ind w:left="80"/>
              <w:spacing w:after="0"/>
              <w:rPr>
                <w:sz w:val="20"/>
                <w:szCs w:val="20"/>
                <w:color w:val="auto"/>
              </w:rPr>
            </w:pPr>
            <w:r>
              <w:rPr>
                <w:rFonts w:ascii="Arial" w:cs="Arial" w:eastAsia="Arial" w:hAnsi="Arial"/>
                <w:sz w:val="14"/>
                <w:szCs w:val="14"/>
                <w:b w:val="1"/>
                <w:bCs w:val="1"/>
                <w:color w:val="auto"/>
              </w:rPr>
              <w:t>Class A</w:t>
            </w:r>
          </w:p>
        </w:tc>
        <w:tc>
          <w:tcPr>
            <w:tcW w:w="180" w:type="dxa"/>
            <w:vAlign w:val="bottom"/>
          </w:tcPr>
          <w:p>
            <w:pPr>
              <w:spacing w:after="0"/>
              <w:rPr>
                <w:sz w:val="18"/>
                <w:szCs w:val="18"/>
                <w:color w:val="auto"/>
              </w:rPr>
            </w:pPr>
          </w:p>
        </w:tc>
        <w:tc>
          <w:tcPr>
            <w:tcW w:w="900" w:type="dxa"/>
            <w:vAlign w:val="bottom"/>
            <w:gridSpan w:val="2"/>
          </w:tcPr>
          <w:p>
            <w:pPr>
              <w:ind w:left="80"/>
              <w:spacing w:after="0"/>
              <w:rPr>
                <w:sz w:val="20"/>
                <w:szCs w:val="20"/>
                <w:color w:val="auto"/>
              </w:rPr>
            </w:pPr>
            <w:r>
              <w:rPr>
                <w:rFonts w:ascii="Arial" w:cs="Arial" w:eastAsia="Arial" w:hAnsi="Arial"/>
                <w:sz w:val="14"/>
                <w:szCs w:val="14"/>
                <w:b w:val="1"/>
                <w:bCs w:val="1"/>
                <w:color w:val="auto"/>
              </w:rPr>
              <w:t>Class B</w:t>
            </w:r>
          </w:p>
        </w:tc>
        <w:tc>
          <w:tcPr>
            <w:tcW w:w="180" w:type="dxa"/>
            <w:vAlign w:val="bottom"/>
          </w:tcPr>
          <w:p>
            <w:pPr>
              <w:spacing w:after="0"/>
              <w:rPr>
                <w:sz w:val="18"/>
                <w:szCs w:val="18"/>
                <w:color w:val="auto"/>
              </w:rPr>
            </w:pPr>
          </w:p>
        </w:tc>
        <w:tc>
          <w:tcPr>
            <w:tcW w:w="900" w:type="dxa"/>
            <w:vAlign w:val="bottom"/>
            <w:gridSpan w:val="2"/>
          </w:tcPr>
          <w:p>
            <w:pPr>
              <w:ind w:left="60"/>
              <w:spacing w:after="0"/>
              <w:rPr>
                <w:sz w:val="20"/>
                <w:szCs w:val="20"/>
                <w:color w:val="auto"/>
              </w:rPr>
            </w:pPr>
            <w:r>
              <w:rPr>
                <w:rFonts w:ascii="Arial" w:cs="Arial" w:eastAsia="Arial" w:hAnsi="Arial"/>
                <w:sz w:val="14"/>
                <w:szCs w:val="14"/>
                <w:b w:val="1"/>
                <w:bCs w:val="1"/>
                <w:color w:val="auto"/>
              </w:rPr>
              <w:t>Class A</w:t>
            </w:r>
          </w:p>
        </w:tc>
        <w:tc>
          <w:tcPr>
            <w:tcW w:w="180" w:type="dxa"/>
            <w:vAlign w:val="bottom"/>
          </w:tcPr>
          <w:p>
            <w:pPr>
              <w:spacing w:after="0"/>
              <w:rPr>
                <w:sz w:val="18"/>
                <w:szCs w:val="18"/>
                <w:color w:val="auto"/>
              </w:rPr>
            </w:pPr>
          </w:p>
        </w:tc>
        <w:tc>
          <w:tcPr>
            <w:tcW w:w="860" w:type="dxa"/>
            <w:vAlign w:val="bottom"/>
            <w:gridSpan w:val="2"/>
          </w:tcPr>
          <w:p>
            <w:pPr>
              <w:ind w:left="60"/>
              <w:spacing w:after="0"/>
              <w:rPr>
                <w:sz w:val="20"/>
                <w:szCs w:val="20"/>
                <w:color w:val="auto"/>
              </w:rPr>
            </w:pPr>
            <w:r>
              <w:rPr>
                <w:rFonts w:ascii="Arial" w:cs="Arial" w:eastAsia="Arial" w:hAnsi="Arial"/>
                <w:sz w:val="14"/>
                <w:szCs w:val="14"/>
                <w:b w:val="1"/>
                <w:bCs w:val="1"/>
                <w:color w:val="auto"/>
              </w:rPr>
              <w:t>Class B</w:t>
            </w:r>
          </w:p>
        </w:tc>
        <w:tc>
          <w:tcPr>
            <w:tcW w:w="180" w:type="dxa"/>
            <w:vAlign w:val="bottom"/>
          </w:tcPr>
          <w:p>
            <w:pPr>
              <w:spacing w:after="0"/>
              <w:rPr>
                <w:sz w:val="18"/>
                <w:szCs w:val="18"/>
                <w:color w:val="auto"/>
              </w:rPr>
            </w:pPr>
          </w:p>
        </w:tc>
        <w:tc>
          <w:tcPr>
            <w:tcW w:w="900" w:type="dxa"/>
            <w:vAlign w:val="bottom"/>
            <w:gridSpan w:val="2"/>
          </w:tcPr>
          <w:p>
            <w:pPr>
              <w:ind w:left="80"/>
              <w:spacing w:after="0"/>
              <w:rPr>
                <w:sz w:val="20"/>
                <w:szCs w:val="20"/>
                <w:color w:val="auto"/>
              </w:rPr>
            </w:pPr>
            <w:r>
              <w:rPr>
                <w:rFonts w:ascii="Arial" w:cs="Arial" w:eastAsia="Arial" w:hAnsi="Arial"/>
                <w:sz w:val="14"/>
                <w:szCs w:val="14"/>
                <w:b w:val="1"/>
                <w:bCs w:val="1"/>
                <w:color w:val="auto"/>
              </w:rPr>
              <w:t>Class A</w:t>
            </w:r>
          </w:p>
        </w:tc>
        <w:tc>
          <w:tcPr>
            <w:tcW w:w="160" w:type="dxa"/>
            <w:vAlign w:val="bottom"/>
          </w:tcPr>
          <w:p>
            <w:pPr>
              <w:spacing w:after="0"/>
              <w:rPr>
                <w:sz w:val="18"/>
                <w:szCs w:val="18"/>
                <w:color w:val="auto"/>
              </w:rPr>
            </w:pPr>
          </w:p>
        </w:tc>
        <w:tc>
          <w:tcPr>
            <w:tcW w:w="860" w:type="dxa"/>
            <w:vAlign w:val="bottom"/>
            <w:gridSpan w:val="2"/>
          </w:tcPr>
          <w:p>
            <w:pPr>
              <w:ind w:left="80"/>
              <w:spacing w:after="0"/>
              <w:rPr>
                <w:sz w:val="20"/>
                <w:szCs w:val="20"/>
                <w:color w:val="auto"/>
              </w:rPr>
            </w:pPr>
            <w:r>
              <w:rPr>
                <w:rFonts w:ascii="Arial" w:cs="Arial" w:eastAsia="Arial" w:hAnsi="Arial"/>
                <w:sz w:val="14"/>
                <w:szCs w:val="14"/>
                <w:b w:val="1"/>
                <w:bCs w:val="1"/>
                <w:color w:val="auto"/>
              </w:rPr>
              <w:t>Class B</w:t>
            </w:r>
          </w:p>
        </w:tc>
        <w:tc>
          <w:tcPr>
            <w:tcW w:w="180" w:type="dxa"/>
            <w:vAlign w:val="bottom"/>
          </w:tcPr>
          <w:p>
            <w:pPr>
              <w:spacing w:after="0"/>
              <w:rPr>
                <w:sz w:val="18"/>
                <w:szCs w:val="18"/>
                <w:color w:val="auto"/>
              </w:rPr>
            </w:pPr>
          </w:p>
        </w:tc>
        <w:tc>
          <w:tcPr>
            <w:tcW w:w="880" w:type="dxa"/>
            <w:vAlign w:val="bottom"/>
            <w:gridSpan w:val="2"/>
          </w:tcPr>
          <w:p>
            <w:pPr>
              <w:ind w:left="60"/>
              <w:spacing w:after="0"/>
              <w:rPr>
                <w:sz w:val="20"/>
                <w:szCs w:val="20"/>
                <w:color w:val="auto"/>
              </w:rPr>
            </w:pPr>
            <w:r>
              <w:rPr>
                <w:rFonts w:ascii="Arial" w:cs="Arial" w:eastAsia="Arial" w:hAnsi="Arial"/>
                <w:sz w:val="14"/>
                <w:szCs w:val="14"/>
                <w:b w:val="1"/>
                <w:bCs w:val="1"/>
                <w:color w:val="auto"/>
              </w:rPr>
              <w:t>Class A</w:t>
            </w:r>
          </w:p>
        </w:tc>
        <w:tc>
          <w:tcPr>
            <w:tcW w:w="180" w:type="dxa"/>
            <w:vAlign w:val="bottom"/>
          </w:tcPr>
          <w:p>
            <w:pPr>
              <w:spacing w:after="0"/>
              <w:rPr>
                <w:sz w:val="18"/>
                <w:szCs w:val="18"/>
                <w:color w:val="auto"/>
              </w:rPr>
            </w:pPr>
          </w:p>
        </w:tc>
        <w:tc>
          <w:tcPr>
            <w:tcW w:w="800" w:type="dxa"/>
            <w:vAlign w:val="bottom"/>
          </w:tcPr>
          <w:p>
            <w:pPr>
              <w:jc w:val="right"/>
              <w:ind w:right="180"/>
              <w:spacing w:after="0"/>
              <w:rPr>
                <w:sz w:val="20"/>
                <w:szCs w:val="20"/>
                <w:color w:val="auto"/>
              </w:rPr>
            </w:pPr>
            <w:r>
              <w:rPr>
                <w:rFonts w:ascii="Arial" w:cs="Arial" w:eastAsia="Arial" w:hAnsi="Arial"/>
                <w:sz w:val="14"/>
                <w:szCs w:val="14"/>
                <w:b w:val="1"/>
                <w:bCs w:val="1"/>
                <w:color w:val="auto"/>
              </w:rPr>
              <w:t>Class B</w:t>
            </w:r>
          </w:p>
        </w:tc>
        <w:tc>
          <w:tcPr>
            <w:tcW w:w="0" w:type="dxa"/>
            <w:vAlign w:val="bottom"/>
          </w:tcPr>
          <w:p>
            <w:pPr>
              <w:spacing w:after="0"/>
              <w:rPr>
                <w:sz w:val="1"/>
                <w:szCs w:val="1"/>
                <w:color w:val="auto"/>
              </w:rPr>
            </w:pPr>
          </w:p>
        </w:tc>
      </w:tr>
      <w:tr>
        <w:trPr>
          <w:trHeight w:val="229"/>
        </w:trPr>
        <w:tc>
          <w:tcPr>
            <w:tcW w:w="2760" w:type="dxa"/>
            <w:vAlign w:val="bottom"/>
            <w:tcBorders>
              <w:top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Numerator:</w:t>
            </w:r>
          </w:p>
        </w:tc>
        <w:tc>
          <w:tcPr>
            <w:tcW w:w="200" w:type="dxa"/>
            <w:vAlign w:val="bottom"/>
            <w:tcBorders>
              <w:top w:val="single" w:sz="8" w:color="auto"/>
            </w:tcBorders>
            <w:shd w:val="clear" w:color="auto" w:fill="CCEEFF"/>
          </w:tcPr>
          <w:p>
            <w:pPr>
              <w:spacing w:after="0"/>
              <w:rPr>
                <w:sz w:val="19"/>
                <w:szCs w:val="19"/>
                <w:color w:val="auto"/>
              </w:rPr>
            </w:pPr>
          </w:p>
        </w:tc>
        <w:tc>
          <w:tcPr>
            <w:tcW w:w="82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78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78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78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78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7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7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80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760" w:type="dxa"/>
            <w:vAlign w:val="bottom"/>
          </w:tcPr>
          <w:p>
            <w:pPr>
              <w:ind w:left="220"/>
              <w:spacing w:after="0"/>
              <w:rPr>
                <w:sz w:val="20"/>
                <w:szCs w:val="20"/>
                <w:color w:val="auto"/>
              </w:rPr>
            </w:pPr>
            <w:r>
              <w:rPr>
                <w:rFonts w:ascii="Arial" w:cs="Arial" w:eastAsia="Arial" w:hAnsi="Arial"/>
                <w:sz w:val="16"/>
                <w:szCs w:val="16"/>
                <w:color w:val="auto"/>
              </w:rPr>
              <w:t>Net income (loss)</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20,809</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1,821</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(23,878)</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(2,107)</w:t>
            </w:r>
          </w:p>
        </w:tc>
        <w:tc>
          <w:tcPr>
            <w:tcW w:w="8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(4,990)</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(435)</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(18,884)</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(2,242)</w:t>
            </w:r>
          </w:p>
        </w:tc>
        <w:tc>
          <w:tcPr>
            <w:tcW w:w="0" w:type="dxa"/>
            <w:vAlign w:val="bottom"/>
          </w:tcPr>
          <w:p>
            <w:pPr>
              <w:spacing w:after="0"/>
              <w:rPr>
                <w:sz w:val="1"/>
                <w:szCs w:val="1"/>
                <w:color w:val="auto"/>
              </w:rPr>
            </w:pPr>
          </w:p>
        </w:tc>
      </w:tr>
      <w:tr>
        <w:trPr>
          <w:trHeight w:val="253"/>
        </w:trPr>
        <w:tc>
          <w:tcPr>
            <w:tcW w:w="27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Denominator:</w:t>
            </w:r>
          </w:p>
        </w:tc>
        <w:tc>
          <w:tcPr>
            <w:tcW w:w="20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6"/>
        </w:trPr>
        <w:tc>
          <w:tcPr>
            <w:tcW w:w="2760" w:type="dxa"/>
            <w:vAlign w:val="bottom"/>
          </w:tcPr>
          <w:p>
            <w:pPr>
              <w:ind w:left="220"/>
              <w:spacing w:after="0"/>
              <w:rPr>
                <w:sz w:val="20"/>
                <w:szCs w:val="20"/>
                <w:color w:val="auto"/>
              </w:rPr>
            </w:pPr>
            <w:r>
              <w:rPr>
                <w:rFonts w:ascii="Arial" w:cs="Arial" w:eastAsia="Arial" w:hAnsi="Arial"/>
                <w:sz w:val="16"/>
                <w:szCs w:val="16"/>
                <w:color w:val="auto"/>
              </w:rPr>
              <w:t>Weighted-average shares used in</w:t>
            </w: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2760" w:type="dxa"/>
            <w:vAlign w:val="bottom"/>
          </w:tcPr>
          <w:p>
            <w:pPr>
              <w:ind w:left="220"/>
              <w:spacing w:after="0"/>
              <w:rPr>
                <w:sz w:val="20"/>
                <w:szCs w:val="20"/>
                <w:color w:val="auto"/>
              </w:rPr>
            </w:pPr>
            <w:r>
              <w:rPr>
                <w:rFonts w:ascii="Arial" w:cs="Arial" w:eastAsia="Arial" w:hAnsi="Arial"/>
                <w:sz w:val="16"/>
                <w:szCs w:val="16"/>
                <w:color w:val="auto"/>
              </w:rPr>
              <w:t>calculating net (loss) income per</w:t>
            </w: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3"/>
        </w:trPr>
        <w:tc>
          <w:tcPr>
            <w:tcW w:w="276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share, basic</w:t>
            </w:r>
          </w:p>
        </w:tc>
        <w:tc>
          <w:tcPr>
            <w:tcW w:w="2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299,366</w:t>
            </w:r>
          </w:p>
        </w:tc>
        <w:tc>
          <w:tcPr>
            <w:tcW w:w="12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26,191</w:t>
            </w:r>
          </w:p>
        </w:tc>
        <w:tc>
          <w:tcPr>
            <w:tcW w:w="12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290,369</w:t>
            </w:r>
          </w:p>
        </w:tc>
        <w:tc>
          <w:tcPr>
            <w:tcW w:w="12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25,621</w:t>
            </w:r>
          </w:p>
        </w:tc>
        <w:tc>
          <w:tcPr>
            <w:tcW w:w="8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296,555</w:t>
            </w:r>
          </w:p>
        </w:tc>
        <w:tc>
          <w:tcPr>
            <w:tcW w:w="12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25,840</w:t>
            </w:r>
          </w:p>
        </w:tc>
        <w:tc>
          <w:tcPr>
            <w:tcW w:w="10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281,355</w:t>
            </w:r>
          </w:p>
        </w:tc>
        <w:tc>
          <w:tcPr>
            <w:tcW w:w="10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33,398</w:t>
            </w:r>
          </w:p>
        </w:tc>
        <w:tc>
          <w:tcPr>
            <w:tcW w:w="0" w:type="dxa"/>
            <w:vAlign w:val="bottom"/>
          </w:tcPr>
          <w:p>
            <w:pPr>
              <w:spacing w:after="0"/>
              <w:rPr>
                <w:sz w:val="1"/>
                <w:szCs w:val="1"/>
                <w:color w:val="auto"/>
              </w:rPr>
            </w:pPr>
          </w:p>
        </w:tc>
      </w:tr>
      <w:tr>
        <w:trPr>
          <w:trHeight w:val="261"/>
        </w:trPr>
        <w:tc>
          <w:tcPr>
            <w:tcW w:w="2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Basic net income (loss) per share</w:t>
            </w: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0.07</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0.07</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(0.08)</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(0.08)</w:t>
            </w:r>
          </w:p>
        </w:tc>
        <w:tc>
          <w:tcPr>
            <w:tcW w:w="8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(0.02)</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(0.02)</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(0.07)</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(0.07)</w:t>
            </w:r>
          </w:p>
        </w:tc>
        <w:tc>
          <w:tcPr>
            <w:tcW w:w="0" w:type="dxa"/>
            <w:vAlign w:val="bottom"/>
          </w:tcPr>
          <w:p>
            <w:pPr>
              <w:spacing w:after="0"/>
              <w:rPr>
                <w:sz w:val="1"/>
                <w:szCs w:val="1"/>
                <w:color w:val="auto"/>
              </w:rPr>
            </w:pPr>
          </w:p>
        </w:tc>
      </w:tr>
      <w:tr>
        <w:trPr>
          <w:trHeight w:val="20"/>
        </w:trPr>
        <w:tc>
          <w:tcPr>
            <w:tcW w:w="27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color w:val="auto"/>
              </w:rPr>
              <w:t>Diluted net income (loss) per share:</w:t>
            </w: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276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3"/>
        </w:trPr>
        <w:tc>
          <w:tcPr>
            <w:tcW w:w="27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Numerator:</w:t>
            </w:r>
          </w:p>
        </w:tc>
        <w:tc>
          <w:tcPr>
            <w:tcW w:w="20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6"/>
        </w:trPr>
        <w:tc>
          <w:tcPr>
            <w:tcW w:w="2760" w:type="dxa"/>
            <w:vAlign w:val="bottom"/>
          </w:tcPr>
          <w:p>
            <w:pPr>
              <w:ind w:left="260"/>
              <w:spacing w:after="0"/>
              <w:rPr>
                <w:sz w:val="20"/>
                <w:szCs w:val="20"/>
                <w:color w:val="auto"/>
              </w:rPr>
            </w:pPr>
            <w:r>
              <w:rPr>
                <w:rFonts w:ascii="Arial" w:cs="Arial" w:eastAsia="Arial" w:hAnsi="Arial"/>
                <w:sz w:val="16"/>
                <w:szCs w:val="16"/>
                <w:color w:val="auto"/>
              </w:rPr>
              <w:t>Allocation of distributed net (loss)</w:t>
            </w: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760" w:type="dxa"/>
            <w:vAlign w:val="bottom"/>
          </w:tcPr>
          <w:p>
            <w:pPr>
              <w:ind w:left="360"/>
              <w:spacing w:after="0"/>
              <w:rPr>
                <w:sz w:val="20"/>
                <w:szCs w:val="20"/>
                <w:color w:val="auto"/>
              </w:rPr>
            </w:pPr>
            <w:r>
              <w:rPr>
                <w:rFonts w:ascii="Arial" w:cs="Arial" w:eastAsia="Arial" w:hAnsi="Arial"/>
                <w:sz w:val="16"/>
                <w:szCs w:val="16"/>
                <w:color w:val="auto"/>
              </w:rPr>
              <w:t>income for basic computation</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20,809</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1,821</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(23,878)</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(2,107)</w:t>
            </w:r>
          </w:p>
        </w:tc>
        <w:tc>
          <w:tcPr>
            <w:tcW w:w="8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(4,990)</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(435)</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(18,884)</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(2,242)</w:t>
            </w:r>
          </w:p>
        </w:tc>
        <w:tc>
          <w:tcPr>
            <w:tcW w:w="0" w:type="dxa"/>
            <w:vAlign w:val="bottom"/>
          </w:tcPr>
          <w:p>
            <w:pPr>
              <w:spacing w:after="0"/>
              <w:rPr>
                <w:sz w:val="1"/>
                <w:szCs w:val="1"/>
                <w:color w:val="auto"/>
              </w:rPr>
            </w:pPr>
          </w:p>
        </w:tc>
      </w:tr>
      <w:tr>
        <w:trPr>
          <w:trHeight w:val="216"/>
        </w:trPr>
        <w:tc>
          <w:tcPr>
            <w:tcW w:w="2760" w:type="dxa"/>
            <w:vAlign w:val="bottom"/>
            <w:shd w:val="clear" w:color="auto" w:fill="CCEEFF"/>
          </w:tcPr>
          <w:p>
            <w:pPr>
              <w:ind w:left="260"/>
              <w:spacing w:after="0"/>
              <w:rPr>
                <w:sz w:val="20"/>
                <w:szCs w:val="20"/>
                <w:color w:val="auto"/>
              </w:rPr>
            </w:pPr>
            <w:r>
              <w:rPr>
                <w:rFonts w:ascii="Arial" w:cs="Arial" w:eastAsia="Arial" w:hAnsi="Arial"/>
                <w:sz w:val="16"/>
                <w:szCs w:val="16"/>
                <w:color w:val="auto"/>
              </w:rPr>
              <w:t>Reallocation of undistributed net</w:t>
            </w: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27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(loss) income as a result of</w:t>
            </w:r>
          </w:p>
        </w:tc>
        <w:tc>
          <w:tcPr>
            <w:tcW w:w="2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27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conversion of Class B to Class A</w:t>
            </w: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27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shares</w:t>
            </w:r>
          </w:p>
        </w:tc>
        <w:tc>
          <w:tcPr>
            <w:tcW w:w="20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1,821</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(2,107)</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(435)</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(2,242)</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6"/>
        </w:trPr>
        <w:tc>
          <w:tcPr>
            <w:tcW w:w="2760" w:type="dxa"/>
            <w:vAlign w:val="bottom"/>
          </w:tcPr>
          <w:p>
            <w:pPr>
              <w:ind w:left="260"/>
              <w:spacing w:after="0"/>
              <w:rPr>
                <w:sz w:val="20"/>
                <w:szCs w:val="20"/>
                <w:color w:val="auto"/>
              </w:rPr>
            </w:pPr>
            <w:r>
              <w:rPr>
                <w:rFonts w:ascii="Arial" w:cs="Arial" w:eastAsia="Arial" w:hAnsi="Arial"/>
                <w:sz w:val="16"/>
                <w:szCs w:val="16"/>
                <w:color w:val="auto"/>
              </w:rPr>
              <w:t>Allocation of undistributed (loss)</w:t>
            </w:r>
          </w:p>
        </w:tc>
        <w:tc>
          <w:tcPr>
            <w:tcW w:w="200" w:type="dxa"/>
            <w:vAlign w:val="bottom"/>
            <w:tcBorders>
              <w:top w:val="single" w:sz="8" w:color="auto"/>
            </w:tcBorders>
            <w:vMerge w:val="restart"/>
          </w:tcPr>
          <w:p>
            <w:pPr>
              <w:jc w:val="right"/>
              <w:ind w:right="19"/>
              <w:spacing w:after="0"/>
              <w:rPr>
                <w:sz w:val="20"/>
                <w:szCs w:val="20"/>
                <w:color w:val="auto"/>
              </w:rPr>
            </w:pPr>
            <w:r>
              <w:rPr>
                <w:rFonts w:ascii="Arial" w:cs="Arial" w:eastAsia="Arial" w:hAnsi="Arial"/>
                <w:sz w:val="16"/>
                <w:szCs w:val="16"/>
                <w:color w:val="auto"/>
                <w:w w:val="89"/>
              </w:rPr>
              <w:t>$</w:t>
            </w:r>
          </w:p>
        </w:tc>
        <w:tc>
          <w:tcPr>
            <w:tcW w:w="82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22,630</w:t>
            </w:r>
          </w:p>
        </w:tc>
        <w:tc>
          <w:tcPr>
            <w:tcW w:w="120" w:type="dxa"/>
            <w:vAlign w:val="bottom"/>
          </w:tcPr>
          <w:p>
            <w:pPr>
              <w:spacing w:after="0"/>
              <w:rPr>
                <w:sz w:val="16"/>
                <w:szCs w:val="16"/>
                <w:color w:val="auto"/>
              </w:rPr>
            </w:pPr>
          </w:p>
        </w:tc>
        <w:tc>
          <w:tcPr>
            <w:tcW w:w="18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1,821</w:t>
            </w:r>
          </w:p>
        </w:tc>
        <w:tc>
          <w:tcPr>
            <w:tcW w:w="120" w:type="dxa"/>
            <w:vAlign w:val="bottom"/>
          </w:tcPr>
          <w:p>
            <w:pPr>
              <w:spacing w:after="0"/>
              <w:rPr>
                <w:sz w:val="16"/>
                <w:szCs w:val="16"/>
                <w:color w:val="auto"/>
              </w:rPr>
            </w:pPr>
          </w:p>
        </w:tc>
        <w:tc>
          <w:tcPr>
            <w:tcW w:w="18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(25,985)</w:t>
            </w:r>
          </w:p>
        </w:tc>
        <w:tc>
          <w:tcPr>
            <w:tcW w:w="120" w:type="dxa"/>
            <w:vAlign w:val="bottom"/>
          </w:tcPr>
          <w:p>
            <w:pPr>
              <w:spacing w:after="0"/>
              <w:rPr>
                <w:sz w:val="16"/>
                <w:szCs w:val="16"/>
                <w:color w:val="auto"/>
              </w:rPr>
            </w:pPr>
          </w:p>
        </w:tc>
        <w:tc>
          <w:tcPr>
            <w:tcW w:w="18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(2,107)</w:t>
            </w:r>
          </w:p>
        </w:tc>
        <w:tc>
          <w:tcPr>
            <w:tcW w:w="80" w:type="dxa"/>
            <w:vAlign w:val="bottom"/>
          </w:tcPr>
          <w:p>
            <w:pPr>
              <w:spacing w:after="0"/>
              <w:rPr>
                <w:sz w:val="16"/>
                <w:szCs w:val="16"/>
                <w:color w:val="auto"/>
              </w:rPr>
            </w:pPr>
          </w:p>
        </w:tc>
        <w:tc>
          <w:tcPr>
            <w:tcW w:w="18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(5,425)</w:t>
            </w:r>
          </w:p>
        </w:tc>
        <w:tc>
          <w:tcPr>
            <w:tcW w:w="120" w:type="dxa"/>
            <w:vAlign w:val="bottom"/>
          </w:tcPr>
          <w:p>
            <w:pPr>
              <w:spacing w:after="0"/>
              <w:rPr>
                <w:sz w:val="16"/>
                <w:szCs w:val="16"/>
                <w:color w:val="auto"/>
              </w:rPr>
            </w:pPr>
          </w:p>
        </w:tc>
        <w:tc>
          <w:tcPr>
            <w:tcW w:w="16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(435)</w:t>
            </w:r>
          </w:p>
        </w:tc>
        <w:tc>
          <w:tcPr>
            <w:tcW w:w="100" w:type="dxa"/>
            <w:vAlign w:val="bottom"/>
          </w:tcPr>
          <w:p>
            <w:pPr>
              <w:spacing w:after="0"/>
              <w:rPr>
                <w:sz w:val="16"/>
                <w:szCs w:val="16"/>
                <w:color w:val="auto"/>
              </w:rPr>
            </w:pPr>
          </w:p>
        </w:tc>
        <w:tc>
          <w:tcPr>
            <w:tcW w:w="18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(21,126)</w:t>
            </w:r>
          </w:p>
        </w:tc>
        <w:tc>
          <w:tcPr>
            <w:tcW w:w="100" w:type="dxa"/>
            <w:vAlign w:val="bottom"/>
          </w:tcPr>
          <w:p>
            <w:pPr>
              <w:spacing w:after="0"/>
              <w:rPr>
                <w:sz w:val="16"/>
                <w:szCs w:val="16"/>
                <w:color w:val="auto"/>
              </w:rPr>
            </w:pPr>
          </w:p>
        </w:tc>
        <w:tc>
          <w:tcPr>
            <w:tcW w:w="18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(2,242)</w:t>
            </w:r>
          </w:p>
        </w:tc>
        <w:tc>
          <w:tcPr>
            <w:tcW w:w="0" w:type="dxa"/>
            <w:vAlign w:val="bottom"/>
          </w:tcPr>
          <w:p>
            <w:pPr>
              <w:spacing w:after="0"/>
              <w:rPr>
                <w:sz w:val="1"/>
                <w:szCs w:val="1"/>
                <w:color w:val="auto"/>
              </w:rPr>
            </w:pPr>
          </w:p>
        </w:tc>
      </w:tr>
      <w:tr>
        <w:trPr>
          <w:trHeight w:val="214"/>
        </w:trPr>
        <w:tc>
          <w:tcPr>
            <w:tcW w:w="2760" w:type="dxa"/>
            <w:vAlign w:val="bottom"/>
          </w:tcPr>
          <w:p>
            <w:pPr>
              <w:ind w:left="360"/>
              <w:spacing w:after="0"/>
              <w:rPr>
                <w:sz w:val="20"/>
                <w:szCs w:val="20"/>
                <w:color w:val="auto"/>
              </w:rPr>
            </w:pPr>
            <w:r>
              <w:rPr>
                <w:rFonts w:ascii="Arial" w:cs="Arial" w:eastAsia="Arial" w:hAnsi="Arial"/>
                <w:sz w:val="16"/>
                <w:szCs w:val="16"/>
                <w:color w:val="auto"/>
              </w:rPr>
              <w:t>income</w:t>
            </w:r>
          </w:p>
        </w:tc>
        <w:tc>
          <w:tcPr>
            <w:tcW w:w="200" w:type="dxa"/>
            <w:vAlign w:val="bottom"/>
            <w:tcBorders>
              <w:bottom w:val="single" w:sz="8" w:color="auto"/>
            </w:tcBorders>
            <w:vMerge w:val="continue"/>
          </w:tcPr>
          <w:p>
            <w:pPr>
              <w:spacing w:after="0"/>
              <w:rPr>
                <w:sz w:val="18"/>
                <w:szCs w:val="18"/>
                <w:color w:val="auto"/>
              </w:rPr>
            </w:pPr>
          </w:p>
        </w:tc>
        <w:tc>
          <w:tcPr>
            <w:tcW w:w="820" w:type="dxa"/>
            <w:vAlign w:val="bottom"/>
            <w:tcBorders>
              <w:bottom w:val="single" w:sz="8" w:color="auto"/>
            </w:tcBorders>
            <w:vMerge w:val="continue"/>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bottom w:val="single" w:sz="8" w:color="auto"/>
            </w:tcBorders>
            <w:vMerge w:val="continue"/>
          </w:tcPr>
          <w:p>
            <w:pPr>
              <w:spacing w:after="0"/>
              <w:rPr>
                <w:sz w:val="18"/>
                <w:szCs w:val="18"/>
                <w:color w:val="auto"/>
              </w:rPr>
            </w:pPr>
          </w:p>
        </w:tc>
        <w:tc>
          <w:tcPr>
            <w:tcW w:w="780" w:type="dxa"/>
            <w:vAlign w:val="bottom"/>
            <w:tcBorders>
              <w:bottom w:val="single" w:sz="8" w:color="auto"/>
            </w:tcBorders>
            <w:vMerge w:val="continue"/>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bottom w:val="single" w:sz="8" w:color="auto"/>
            </w:tcBorders>
            <w:vMerge w:val="continue"/>
          </w:tcPr>
          <w:p>
            <w:pPr>
              <w:spacing w:after="0"/>
              <w:rPr>
                <w:sz w:val="18"/>
                <w:szCs w:val="18"/>
                <w:color w:val="auto"/>
              </w:rPr>
            </w:pPr>
          </w:p>
        </w:tc>
        <w:tc>
          <w:tcPr>
            <w:tcW w:w="780" w:type="dxa"/>
            <w:vAlign w:val="bottom"/>
            <w:tcBorders>
              <w:bottom w:val="single" w:sz="8" w:color="auto"/>
            </w:tcBorders>
            <w:vMerge w:val="continue"/>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bottom w:val="single" w:sz="8" w:color="auto"/>
            </w:tcBorders>
            <w:vMerge w:val="continue"/>
          </w:tcPr>
          <w:p>
            <w:pPr>
              <w:spacing w:after="0"/>
              <w:rPr>
                <w:sz w:val="18"/>
                <w:szCs w:val="18"/>
                <w:color w:val="auto"/>
              </w:rPr>
            </w:pPr>
          </w:p>
        </w:tc>
        <w:tc>
          <w:tcPr>
            <w:tcW w:w="78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Borders>
              <w:bottom w:val="single" w:sz="8" w:color="auto"/>
            </w:tcBorders>
            <w:vMerge w:val="continue"/>
          </w:tcPr>
          <w:p>
            <w:pPr>
              <w:spacing w:after="0"/>
              <w:rPr>
                <w:sz w:val="18"/>
                <w:szCs w:val="18"/>
                <w:color w:val="auto"/>
              </w:rPr>
            </w:pPr>
          </w:p>
        </w:tc>
        <w:tc>
          <w:tcPr>
            <w:tcW w:w="780" w:type="dxa"/>
            <w:vAlign w:val="bottom"/>
            <w:tcBorders>
              <w:bottom w:val="single" w:sz="8" w:color="auto"/>
            </w:tcBorders>
            <w:vMerge w:val="continue"/>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bottom w:val="single" w:sz="8" w:color="auto"/>
            </w:tcBorders>
            <w:vMerge w:val="continue"/>
          </w:tcPr>
          <w:p>
            <w:pPr>
              <w:spacing w:after="0"/>
              <w:rPr>
                <w:sz w:val="18"/>
                <w:szCs w:val="18"/>
                <w:color w:val="auto"/>
              </w:rPr>
            </w:pPr>
          </w:p>
        </w:tc>
        <w:tc>
          <w:tcPr>
            <w:tcW w:w="76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bottom w:val="single" w:sz="8" w:color="auto"/>
            </w:tcBorders>
            <w:vMerge w:val="continue"/>
          </w:tcPr>
          <w:p>
            <w:pPr>
              <w:spacing w:after="0"/>
              <w:rPr>
                <w:sz w:val="18"/>
                <w:szCs w:val="18"/>
                <w:color w:val="auto"/>
              </w:rPr>
            </w:pPr>
          </w:p>
        </w:tc>
        <w:tc>
          <w:tcPr>
            <w:tcW w:w="78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bottom w:val="single" w:sz="8" w:color="auto"/>
            </w:tcBorders>
            <w:vMerge w:val="continue"/>
          </w:tcPr>
          <w:p>
            <w:pPr>
              <w:spacing w:after="0"/>
              <w:rPr>
                <w:sz w:val="18"/>
                <w:szCs w:val="18"/>
                <w:color w:val="auto"/>
              </w:rPr>
            </w:pPr>
          </w:p>
        </w:tc>
        <w:tc>
          <w:tcPr>
            <w:tcW w:w="80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76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27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Denominator:</w:t>
            </w: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2760" w:type="dxa"/>
            <w:vAlign w:val="bottom"/>
          </w:tcPr>
          <w:p>
            <w:pPr>
              <w:ind w:left="180"/>
              <w:spacing w:after="0"/>
              <w:rPr>
                <w:sz w:val="20"/>
                <w:szCs w:val="20"/>
                <w:color w:val="auto"/>
              </w:rPr>
            </w:pPr>
            <w:r>
              <w:rPr>
                <w:rFonts w:ascii="Arial" w:cs="Arial" w:eastAsia="Arial" w:hAnsi="Arial"/>
                <w:sz w:val="16"/>
                <w:szCs w:val="16"/>
                <w:color w:val="auto"/>
              </w:rPr>
              <w:t>Number of shares used in basic</w:t>
            </w: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760" w:type="dxa"/>
            <w:vAlign w:val="bottom"/>
          </w:tcPr>
          <w:p>
            <w:pPr>
              <w:ind w:left="180"/>
              <w:spacing w:after="0"/>
              <w:rPr>
                <w:sz w:val="20"/>
                <w:szCs w:val="20"/>
                <w:color w:val="auto"/>
              </w:rPr>
            </w:pPr>
            <w:r>
              <w:rPr>
                <w:rFonts w:ascii="Arial" w:cs="Arial" w:eastAsia="Arial" w:hAnsi="Arial"/>
                <w:sz w:val="16"/>
                <w:szCs w:val="16"/>
                <w:color w:val="auto"/>
              </w:rPr>
              <w:t>calculation</w:t>
            </w: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299,366</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26,191</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290,369</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25,621</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296,555</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25,840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281,355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33,398</w:t>
            </w:r>
          </w:p>
        </w:tc>
        <w:tc>
          <w:tcPr>
            <w:tcW w:w="0" w:type="dxa"/>
            <w:vAlign w:val="bottom"/>
          </w:tcPr>
          <w:p>
            <w:pPr>
              <w:spacing w:after="0"/>
              <w:rPr>
                <w:sz w:val="1"/>
                <w:szCs w:val="1"/>
                <w:color w:val="auto"/>
              </w:rPr>
            </w:pPr>
          </w:p>
        </w:tc>
      </w:tr>
      <w:tr>
        <w:trPr>
          <w:trHeight w:val="216"/>
        </w:trPr>
        <w:tc>
          <w:tcPr>
            <w:tcW w:w="27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Weighted-average effect of diluted</w:t>
            </w: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7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securities:</w:t>
            </w:r>
          </w:p>
        </w:tc>
        <w:tc>
          <w:tcPr>
            <w:tcW w:w="20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2760" w:type="dxa"/>
            <w:vAlign w:val="bottom"/>
          </w:tcPr>
          <w:p>
            <w:pPr>
              <w:ind w:left="360"/>
              <w:spacing w:after="0"/>
              <w:rPr>
                <w:sz w:val="20"/>
                <w:szCs w:val="20"/>
                <w:color w:val="auto"/>
              </w:rPr>
            </w:pPr>
            <w:r>
              <w:rPr>
                <w:rFonts w:ascii="Arial" w:cs="Arial" w:eastAsia="Arial" w:hAnsi="Arial"/>
                <w:sz w:val="16"/>
                <w:szCs w:val="16"/>
                <w:color w:val="auto"/>
              </w:rPr>
              <w:t>Conversion of Class B to Class A</w:t>
            </w: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760" w:type="dxa"/>
            <w:vAlign w:val="bottom"/>
          </w:tcPr>
          <w:p>
            <w:pPr>
              <w:ind w:left="360"/>
              <w:spacing w:after="0"/>
              <w:rPr>
                <w:sz w:val="20"/>
                <w:szCs w:val="20"/>
                <w:color w:val="auto"/>
              </w:rPr>
            </w:pPr>
            <w:r>
              <w:rPr>
                <w:rFonts w:ascii="Arial" w:cs="Arial" w:eastAsia="Arial" w:hAnsi="Arial"/>
                <w:sz w:val="16"/>
                <w:szCs w:val="16"/>
                <w:color w:val="auto"/>
              </w:rPr>
              <w:t>common shares outstanding</w:t>
            </w: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26,191</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25,621</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25,840</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33,398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53"/>
        </w:trPr>
        <w:tc>
          <w:tcPr>
            <w:tcW w:w="27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Employee stock options</w:t>
            </w:r>
          </w:p>
        </w:tc>
        <w:tc>
          <w:tcPr>
            <w:tcW w:w="20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14,108</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21"/>
                <w:szCs w:val="21"/>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21"/>
                <w:szCs w:val="21"/>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21"/>
                <w:szCs w:val="21"/>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3"/>
        </w:trPr>
        <w:tc>
          <w:tcPr>
            <w:tcW w:w="2760" w:type="dxa"/>
            <w:vAlign w:val="bottom"/>
          </w:tcPr>
          <w:p>
            <w:pPr>
              <w:ind w:left="360"/>
              <w:spacing w:after="0"/>
              <w:rPr>
                <w:sz w:val="20"/>
                <w:szCs w:val="20"/>
                <w:color w:val="auto"/>
              </w:rPr>
            </w:pPr>
            <w:r>
              <w:rPr>
                <w:rFonts w:ascii="Arial" w:cs="Arial" w:eastAsia="Arial" w:hAnsi="Arial"/>
                <w:sz w:val="16"/>
                <w:szCs w:val="16"/>
                <w:color w:val="auto"/>
              </w:rPr>
              <w:t>Employee stock purchase plan</w:t>
            </w:r>
          </w:p>
        </w:tc>
        <w:tc>
          <w:tcPr>
            <w:tcW w:w="2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26</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27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Restricted stock units and</w:t>
            </w: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9"/>
        </w:trPr>
        <w:tc>
          <w:tcPr>
            <w:tcW w:w="27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performance stock units</w:t>
            </w:r>
          </w:p>
        </w:tc>
        <w:tc>
          <w:tcPr>
            <w:tcW w:w="20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3,013</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6"/>
        </w:trPr>
        <w:tc>
          <w:tcPr>
            <w:tcW w:w="2760" w:type="dxa"/>
            <w:vAlign w:val="bottom"/>
          </w:tcPr>
          <w:p>
            <w:pPr>
              <w:ind w:left="360"/>
              <w:spacing w:after="0"/>
              <w:rPr>
                <w:sz w:val="20"/>
                <w:szCs w:val="20"/>
                <w:color w:val="auto"/>
              </w:rPr>
            </w:pPr>
            <w:r>
              <w:rPr>
                <w:rFonts w:ascii="Arial" w:cs="Arial" w:eastAsia="Arial" w:hAnsi="Arial"/>
                <w:sz w:val="16"/>
                <w:szCs w:val="16"/>
                <w:color w:val="auto"/>
              </w:rPr>
              <w:t>Unvested restricted stock in</w:t>
            </w: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760" w:type="dxa"/>
            <w:vAlign w:val="bottom"/>
          </w:tcPr>
          <w:p>
            <w:pPr>
              <w:ind w:left="360"/>
              <w:spacing w:after="0"/>
              <w:rPr>
                <w:sz w:val="20"/>
                <w:szCs w:val="20"/>
                <w:color w:val="auto"/>
              </w:rPr>
            </w:pPr>
            <w:r>
              <w:rPr>
                <w:rFonts w:ascii="Arial" w:cs="Arial" w:eastAsia="Arial" w:hAnsi="Arial"/>
                <w:sz w:val="16"/>
                <w:szCs w:val="16"/>
                <w:color w:val="auto"/>
              </w:rPr>
              <w:t>connection with acquisition</w:t>
            </w: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507</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9"/>
                <w:szCs w:val="19"/>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9"/>
                <w:szCs w:val="19"/>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9"/>
                <w:szCs w:val="19"/>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9"/>
                <w:szCs w:val="19"/>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2760" w:type="dxa"/>
            <w:vAlign w:val="bottom"/>
            <w:shd w:val="clear" w:color="auto" w:fill="CCEEFF"/>
          </w:tcPr>
          <w:p>
            <w:pPr>
              <w:ind w:left="360"/>
              <w:spacing w:after="0"/>
              <w:rPr>
                <w:sz w:val="20"/>
                <w:szCs w:val="20"/>
                <w:color w:val="auto"/>
              </w:rPr>
            </w:pPr>
            <w:r>
              <w:rPr>
                <w:rFonts w:ascii="Arial" w:cs="Arial" w:eastAsia="Arial" w:hAnsi="Arial"/>
                <w:sz w:val="16"/>
                <w:szCs w:val="16"/>
                <w:color w:val="auto"/>
                <w:w w:val="93"/>
              </w:rPr>
              <w:t>Shares issuable upon conversion of</w:t>
            </w: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9"/>
        </w:trPr>
        <w:tc>
          <w:tcPr>
            <w:tcW w:w="27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the convertible senior notes</w:t>
            </w:r>
          </w:p>
        </w:tc>
        <w:tc>
          <w:tcPr>
            <w:tcW w:w="20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8,098</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6"/>
        </w:trPr>
        <w:tc>
          <w:tcPr>
            <w:tcW w:w="2760" w:type="dxa"/>
            <w:vAlign w:val="bottom"/>
          </w:tcPr>
          <w:p>
            <w:pPr>
              <w:ind w:left="520"/>
              <w:spacing w:after="0"/>
              <w:rPr>
                <w:sz w:val="20"/>
                <w:szCs w:val="20"/>
                <w:color w:val="auto"/>
              </w:rPr>
            </w:pPr>
            <w:r>
              <w:rPr>
                <w:rFonts w:ascii="Arial" w:cs="Arial" w:eastAsia="Arial" w:hAnsi="Arial"/>
                <w:sz w:val="16"/>
                <w:szCs w:val="16"/>
                <w:color w:val="auto"/>
                <w:w w:val="94"/>
              </w:rPr>
              <w:t>Number of shares used in diluted</w:t>
            </w:r>
          </w:p>
        </w:tc>
        <w:tc>
          <w:tcPr>
            <w:tcW w:w="20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3"/>
        </w:trPr>
        <w:tc>
          <w:tcPr>
            <w:tcW w:w="2760" w:type="dxa"/>
            <w:vAlign w:val="bottom"/>
            <w:tcBorders>
              <w:bottom w:val="single" w:sz="8" w:color="CCEEFF"/>
            </w:tcBorders>
          </w:tcPr>
          <w:p>
            <w:pPr>
              <w:ind w:left="520"/>
              <w:spacing w:after="0"/>
              <w:rPr>
                <w:sz w:val="20"/>
                <w:szCs w:val="20"/>
                <w:color w:val="auto"/>
              </w:rPr>
            </w:pPr>
            <w:r>
              <w:rPr>
                <w:rFonts w:ascii="Arial" w:cs="Arial" w:eastAsia="Arial" w:hAnsi="Arial"/>
                <w:sz w:val="16"/>
                <w:szCs w:val="16"/>
                <w:color w:val="auto"/>
              </w:rPr>
              <w:t>calculation</w:t>
            </w:r>
          </w:p>
        </w:tc>
        <w:tc>
          <w:tcPr>
            <w:tcW w:w="2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351,309</w:t>
            </w:r>
          </w:p>
        </w:tc>
        <w:tc>
          <w:tcPr>
            <w:tcW w:w="12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26,191</w:t>
            </w:r>
          </w:p>
        </w:tc>
        <w:tc>
          <w:tcPr>
            <w:tcW w:w="12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315,990</w:t>
            </w:r>
          </w:p>
        </w:tc>
        <w:tc>
          <w:tcPr>
            <w:tcW w:w="12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25,621</w:t>
            </w:r>
          </w:p>
        </w:tc>
        <w:tc>
          <w:tcPr>
            <w:tcW w:w="8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322,395</w:t>
            </w:r>
          </w:p>
        </w:tc>
        <w:tc>
          <w:tcPr>
            <w:tcW w:w="12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25,840</w:t>
            </w:r>
          </w:p>
        </w:tc>
        <w:tc>
          <w:tcPr>
            <w:tcW w:w="10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314,753</w:t>
            </w:r>
          </w:p>
        </w:tc>
        <w:tc>
          <w:tcPr>
            <w:tcW w:w="10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33,398</w:t>
            </w:r>
          </w:p>
        </w:tc>
        <w:tc>
          <w:tcPr>
            <w:tcW w:w="0" w:type="dxa"/>
            <w:vAlign w:val="bottom"/>
          </w:tcPr>
          <w:p>
            <w:pPr>
              <w:spacing w:after="0"/>
              <w:rPr>
                <w:sz w:val="1"/>
                <w:szCs w:val="1"/>
                <w:color w:val="auto"/>
              </w:rPr>
            </w:pPr>
          </w:p>
        </w:tc>
      </w:tr>
      <w:tr>
        <w:trPr>
          <w:trHeight w:val="268"/>
        </w:trPr>
        <w:tc>
          <w:tcPr>
            <w:tcW w:w="2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Diluted net income (loss) per share</w:t>
            </w: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0.06</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0.07</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(0.08)</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(0.08)</w:t>
            </w:r>
          </w:p>
        </w:tc>
        <w:tc>
          <w:tcPr>
            <w:tcW w:w="8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(0.02)</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(0.02)</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(0.07)</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(0.07)</w:t>
            </w:r>
          </w:p>
        </w:tc>
        <w:tc>
          <w:tcPr>
            <w:tcW w:w="0" w:type="dxa"/>
            <w:vAlign w:val="bottom"/>
          </w:tcPr>
          <w:p>
            <w:pPr>
              <w:spacing w:after="0"/>
              <w:rPr>
                <w:sz w:val="1"/>
                <w:szCs w:val="1"/>
                <w:color w:val="auto"/>
              </w:rPr>
            </w:pPr>
          </w:p>
        </w:tc>
      </w:tr>
      <w:tr>
        <w:trPr>
          <w:trHeight w:val="20"/>
        </w:trPr>
        <w:tc>
          <w:tcPr>
            <w:tcW w:w="27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13" w:right="339" w:bottom="1440" w:gutter="0" w:footer="0" w:header="0"/>
        </w:sectPr>
      </w:pPr>
    </w:p>
    <w:bookmarkStart w:id="23" w:name="page24"/>
    <w:bookmarkEnd w:id="23"/>
    <w:p>
      <w:pPr>
        <w:jc w:val="both"/>
        <w:ind w:firstLine="486"/>
        <w:spacing w:after="0" w:line="277" w:lineRule="auto"/>
        <w:rPr>
          <w:sz w:val="20"/>
          <w:szCs w:val="20"/>
          <w:color w:val="auto"/>
        </w:rPr>
      </w:pPr>
      <w:r>
        <w:rPr>
          <w:rFonts w:ascii="Arial" w:cs="Arial" w:eastAsia="Arial" w:hAnsi="Arial"/>
          <w:sz w:val="18"/>
          <w:szCs w:val="18"/>
          <w:color w:val="auto"/>
        </w:rPr>
        <w:t>Potentially dilutive securities that were not included in the diluted per share calculations because they would be anti-dilutive were as follows (in thousands):</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480" w:type="dxa"/>
            <w:vAlign w:val="bottom"/>
          </w:tcPr>
          <w:p>
            <w:pPr>
              <w:spacing w:after="0"/>
              <w:rPr>
                <w:sz w:val="16"/>
                <w:szCs w:val="16"/>
                <w:color w:val="auto"/>
              </w:rPr>
            </w:pPr>
          </w:p>
        </w:tc>
        <w:tc>
          <w:tcPr>
            <w:tcW w:w="2760" w:type="dxa"/>
            <w:vAlign w:val="bottom"/>
            <w:gridSpan w:val="3"/>
          </w:tcPr>
          <w:p>
            <w:pPr>
              <w:jc w:val="right"/>
              <w:ind w:right="673"/>
              <w:spacing w:after="0"/>
              <w:rPr>
                <w:sz w:val="20"/>
                <w:szCs w:val="20"/>
                <w:color w:val="auto"/>
              </w:rPr>
            </w:pPr>
            <w:r>
              <w:rPr>
                <w:rFonts w:ascii="Arial" w:cs="Arial" w:eastAsia="Arial" w:hAnsi="Arial"/>
                <w:sz w:val="14"/>
                <w:szCs w:val="14"/>
                <w:b w:val="1"/>
                <w:bCs w:val="1"/>
                <w:color w:val="auto"/>
              </w:rPr>
              <w:t>As of September 30,</w:t>
            </w:r>
          </w:p>
        </w:tc>
      </w:tr>
      <w:tr>
        <w:trPr>
          <w:trHeight w:val="39"/>
        </w:trPr>
        <w:tc>
          <w:tcPr>
            <w:tcW w:w="8480" w:type="dxa"/>
            <w:vAlign w:val="bottom"/>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r>
      <w:tr>
        <w:trPr>
          <w:trHeight w:val="184"/>
        </w:trPr>
        <w:tc>
          <w:tcPr>
            <w:tcW w:w="8480" w:type="dxa"/>
            <w:vAlign w:val="bottom"/>
          </w:tcPr>
          <w:p>
            <w:pPr>
              <w:spacing w:after="0"/>
              <w:rPr>
                <w:sz w:val="16"/>
                <w:szCs w:val="16"/>
                <w:color w:val="auto"/>
              </w:rPr>
            </w:pPr>
          </w:p>
        </w:tc>
        <w:tc>
          <w:tcPr>
            <w:tcW w:w="1320" w:type="dxa"/>
            <w:vAlign w:val="bottom"/>
          </w:tcPr>
          <w:p>
            <w:pPr>
              <w:jc w:val="right"/>
              <w:ind w:right="415"/>
              <w:spacing w:after="0"/>
              <w:rPr>
                <w:sz w:val="20"/>
                <w:szCs w:val="20"/>
                <w:color w:val="auto"/>
              </w:rPr>
            </w:pPr>
            <w:r>
              <w:rPr>
                <w:rFonts w:ascii="Arial" w:cs="Arial" w:eastAsia="Arial" w:hAnsi="Arial"/>
                <w:sz w:val="14"/>
                <w:szCs w:val="14"/>
                <w:b w:val="1"/>
                <w:bCs w:val="1"/>
                <w:color w:val="auto"/>
              </w:rPr>
              <w:t>2023</w:t>
            </w:r>
          </w:p>
        </w:tc>
        <w:tc>
          <w:tcPr>
            <w:tcW w:w="120" w:type="dxa"/>
            <w:vAlign w:val="bottom"/>
          </w:tcPr>
          <w:p>
            <w:pPr>
              <w:spacing w:after="0"/>
              <w:rPr>
                <w:sz w:val="16"/>
                <w:szCs w:val="16"/>
                <w:color w:val="auto"/>
              </w:rPr>
            </w:pPr>
          </w:p>
        </w:tc>
        <w:tc>
          <w:tcPr>
            <w:tcW w:w="1320" w:type="dxa"/>
            <w:vAlign w:val="bottom"/>
          </w:tcPr>
          <w:p>
            <w:pPr>
              <w:jc w:val="right"/>
              <w:ind w:right="433"/>
              <w:spacing w:after="0"/>
              <w:rPr>
                <w:sz w:val="20"/>
                <w:szCs w:val="20"/>
                <w:color w:val="auto"/>
              </w:rPr>
            </w:pPr>
            <w:r>
              <w:rPr>
                <w:rFonts w:ascii="Arial" w:cs="Arial" w:eastAsia="Arial" w:hAnsi="Arial"/>
                <w:sz w:val="14"/>
                <w:szCs w:val="14"/>
                <w:b w:val="1"/>
                <w:bCs w:val="1"/>
                <w:color w:val="auto"/>
              </w:rPr>
              <w:t>2022</w:t>
            </w:r>
          </w:p>
        </w:tc>
      </w:tr>
      <w:tr>
        <w:trPr>
          <w:trHeight w:val="39"/>
        </w:trPr>
        <w:tc>
          <w:tcPr>
            <w:tcW w:w="8480" w:type="dxa"/>
            <w:vAlign w:val="bottom"/>
            <w:tcBorders>
              <w:bottom w:val="single" w:sz="8" w:color="CCEEFF"/>
            </w:tcBorders>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r>
      <w:tr>
        <w:trPr>
          <w:trHeight w:val="250"/>
        </w:trPr>
        <w:tc>
          <w:tcPr>
            <w:tcW w:w="8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Shares subject to outstanding stock options, RSUs and PSUs</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25,989</w:t>
            </w:r>
          </w:p>
        </w:tc>
        <w:tc>
          <w:tcPr>
            <w:tcW w:w="12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30,811</w:t>
            </w:r>
          </w:p>
        </w:tc>
      </w:tr>
      <w:tr>
        <w:trPr>
          <w:trHeight w:val="270"/>
        </w:trPr>
        <w:tc>
          <w:tcPr>
            <w:tcW w:w="8480" w:type="dxa"/>
            <w:vAlign w:val="bottom"/>
          </w:tcPr>
          <w:p>
            <w:pPr>
              <w:ind w:left="20"/>
              <w:spacing w:after="0"/>
              <w:rPr>
                <w:sz w:val="20"/>
                <w:szCs w:val="20"/>
                <w:color w:val="auto"/>
              </w:rPr>
            </w:pPr>
            <w:r>
              <w:rPr>
                <w:rFonts w:ascii="Arial" w:cs="Arial" w:eastAsia="Arial" w:hAnsi="Arial"/>
                <w:sz w:val="18"/>
                <w:szCs w:val="18"/>
                <w:color w:val="auto"/>
              </w:rPr>
              <w:t>Unvested restricted shares of common stock</w:t>
            </w:r>
          </w:p>
        </w:tc>
        <w:tc>
          <w:tcPr>
            <w:tcW w:w="1320" w:type="dxa"/>
            <w:vAlign w:val="bottom"/>
          </w:tcPr>
          <w:p>
            <w:pPr>
              <w:jc w:val="right"/>
              <w:spacing w:after="0"/>
              <w:rPr>
                <w:sz w:val="20"/>
                <w:szCs w:val="20"/>
                <w:color w:val="auto"/>
              </w:rPr>
            </w:pPr>
            <w:r>
              <w:rPr>
                <w:rFonts w:ascii="Arial" w:cs="Arial" w:eastAsia="Arial" w:hAnsi="Arial"/>
                <w:sz w:val="18"/>
                <w:szCs w:val="18"/>
                <w:color w:val="auto"/>
              </w:rPr>
              <w:t>761</w:t>
            </w:r>
          </w:p>
        </w:tc>
        <w:tc>
          <w:tcPr>
            <w:tcW w:w="120" w:type="dxa"/>
            <w:vAlign w:val="bottom"/>
          </w:tcPr>
          <w:p>
            <w:pPr>
              <w:spacing w:after="0"/>
              <w:rPr>
                <w:sz w:val="23"/>
                <w:szCs w:val="23"/>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1,056</w:t>
            </w:r>
          </w:p>
        </w:tc>
      </w:tr>
      <w:tr>
        <w:trPr>
          <w:trHeight w:val="270"/>
        </w:trPr>
        <w:tc>
          <w:tcPr>
            <w:tcW w:w="8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Shares subject to the employee stock purchase plan</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w:t>
            </w:r>
          </w:p>
        </w:tc>
        <w:tc>
          <w:tcPr>
            <w:tcW w:w="120" w:type="dxa"/>
            <w:vAlign w:val="bottom"/>
            <w:shd w:val="clear" w:color="auto" w:fill="CCEEFF"/>
          </w:tcPr>
          <w:p>
            <w:pPr>
              <w:spacing w:after="0"/>
              <w:rPr>
                <w:sz w:val="23"/>
                <w:szCs w:val="23"/>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w:t>
            </w:r>
          </w:p>
        </w:tc>
      </w:tr>
      <w:tr>
        <w:trPr>
          <w:trHeight w:val="270"/>
        </w:trPr>
        <w:tc>
          <w:tcPr>
            <w:tcW w:w="84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Shares issuable upon conversion of the convertible senior notes</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8,098</w:t>
            </w:r>
          </w:p>
        </w:tc>
        <w:tc>
          <w:tcPr>
            <w:tcW w:w="120" w:type="dxa"/>
            <w:vAlign w:val="bottom"/>
            <w:tcBorders>
              <w:bottom w:val="single" w:sz="8" w:color="CCEEFF"/>
            </w:tcBorders>
          </w:tcPr>
          <w:p>
            <w:pPr>
              <w:spacing w:after="0"/>
              <w:rPr>
                <w:sz w:val="23"/>
                <w:szCs w:val="23"/>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8,098</w:t>
            </w:r>
          </w:p>
        </w:tc>
      </w:tr>
      <w:tr>
        <w:trPr>
          <w:trHeight w:val="248"/>
        </w:trPr>
        <w:tc>
          <w:tcPr>
            <w:tcW w:w="84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Total</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35,096</w:t>
            </w:r>
          </w:p>
        </w:tc>
        <w:tc>
          <w:tcPr>
            <w:tcW w:w="1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40,131</w:t>
            </w:r>
          </w:p>
        </w:tc>
      </w:tr>
      <w:tr>
        <w:trPr>
          <w:trHeight w:val="20"/>
        </w:trPr>
        <w:tc>
          <w:tcPr>
            <w:tcW w:w="848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r>
    </w:tbl>
    <w:p>
      <w:pPr>
        <w:spacing w:after="0" w:line="283"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 xml:space="preserve">ASU No. 2020-06 requires the application of the if-converted method to calculate the impact of convertible instruments on diluted earnings per share when the instruments may be settled in cash or shares. The Company uses the if-converted method for calculating any potential dilutive effect of the conversion options embedded in the 2025 Notes on diluted net income per share as required under ASU No. 2020-06 to determine the dilutive effect of the Notes. See Note 7, </w:t>
      </w:r>
      <w:r>
        <w:rPr>
          <w:rFonts w:ascii="Arial" w:cs="Arial" w:eastAsia="Arial" w:hAnsi="Arial"/>
          <w:sz w:val="18"/>
          <w:szCs w:val="18"/>
          <w:i w:val="1"/>
          <w:iCs w:val="1"/>
          <w:color w:val="auto"/>
        </w:rPr>
        <w:t>Convertible Senior Notes</w:t>
      </w:r>
      <w:r>
        <w:rPr>
          <w:rFonts w:ascii="Arial" w:cs="Arial" w:eastAsia="Arial" w:hAnsi="Arial"/>
          <w:sz w:val="18"/>
          <w:szCs w:val="18"/>
          <w:color w:val="auto"/>
        </w:rPr>
        <w:t xml:space="preserve"> for more information.</w:t>
      </w:r>
    </w:p>
    <w:p>
      <w:pPr>
        <w:spacing w:after="0" w:line="187"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The Company entered into Capped Calls in connection with the issuance of the 2025 Notes. The effect of the Capped Calls was also excluded from the calculation of diluted net income per share as the effect of the Capped Calls would have been anti-dilutive. The Capped Calls are expected to partially offset the potential dilution to the Company’s Class A common stock upon any conversion of the 2025 Notes.</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13" w:right="33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9" w:lineRule="exact"/>
        <w:rPr>
          <w:sz w:val="20"/>
          <w:szCs w:val="20"/>
          <w:color w:val="auto"/>
        </w:rPr>
      </w:pPr>
    </w:p>
    <w:p>
      <w:pPr>
        <w:jc w:val="both"/>
        <w:ind w:firstLine="486"/>
        <w:spacing w:after="0" w:line="253" w:lineRule="auto"/>
        <w:rPr>
          <w:sz w:val="20"/>
          <w:szCs w:val="20"/>
          <w:color w:val="auto"/>
        </w:rPr>
      </w:pPr>
      <w:r>
        <w:rPr>
          <w:rFonts w:ascii="Arial" w:cs="Arial" w:eastAsia="Arial" w:hAnsi="Arial"/>
          <w:sz w:val="18"/>
          <w:szCs w:val="18"/>
          <w:i w:val="1"/>
          <w:iCs w:val="1"/>
          <w:color w:val="auto"/>
        </w:rPr>
        <w:t>The following discussion and analysis of our financial condition and results of operations should be read in conjunction with our unaudited condensed consolidated financial statements and related notes appearing elsewhere in this Quarterly Report on Form 10-Q and our audited consolidated financial statements and the related notes and the discussion under the heading “Management’s Discussion and Analysis of Financial Condition and Results of Operations” in our Annual Report on Form 10-K for the fiscal year ended December 31, 2022, or the Annual Report. This discussion, particularly information with respect to our future results of operations or financial condition, business strategy and plans and objectives of management for future operations, includes forward-looking statements that involve risks and uncertainties as described under the heading “Special Note Regarding Forward-Looking Statements” in this Quarterly Report on Form 10-Q. You should review the disclosure under the heading “Risk Factors” in this Quarterly Report on Form 10-Q for a discussion of important factors that could cause our actual results to differ materially from those anticipated in these forward-looking statements.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Datadog is the observability and security platform for cloud applications.</w:t>
      </w:r>
    </w:p>
    <w:p>
      <w:pPr>
        <w:spacing w:after="0" w:line="225"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Our SaaS platform integrates and automates infrastructure monitoring, application performance monitoring, log management, real-user monitoring, and many other capabilities to provide unified, real-time observability and security for our customers’ entire technology stack. Datadog is used by organizations of all sizes and across a wide range of industries to enable digital transformation and cloud migration, drive collaboration among development, operations, security, and business teams, accelerate time to market for applications, reduce time to problem resolution, secure applications and infrastructure, understand user behavior and track key business metrics.</w:t>
      </w:r>
    </w:p>
    <w:p>
      <w:pPr>
        <w:spacing w:after="0" w:line="188"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We generate revenue from the sale of subscriptions to customers using our cloud-based platform. The terms of our subscription agreements are primarily monthly or annual. Customers also have the option to purchase additional products, such as additional containers to monitor, custom metrics packages, anomaly detection and app analytics. Professional services are generally not required for the implementation of our products and revenue from such services has been immaterial to date.</w:t>
      </w:r>
    </w:p>
    <w:p>
      <w:pPr>
        <w:spacing w:after="0" w:line="187"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We employ a land-and-expand business model centered around offering products that are easy to adopt and have a very short time to value. Our customers can expand their footprint with us on a self-service basis. Our customers often significantly increase their usage of the products they initially buy from us and expand their usage to other products we offer on our platform. We grow with our customers as they expand their workloads in the public and private cloud.</w:t>
      </w:r>
    </w:p>
    <w:p>
      <w:pPr>
        <w:spacing w:after="0" w:line="187" w:lineRule="exact"/>
        <w:rPr>
          <w:sz w:val="20"/>
          <w:szCs w:val="20"/>
          <w:color w:val="auto"/>
        </w:rPr>
      </w:pPr>
    </w:p>
    <w:p>
      <w:pPr>
        <w:jc w:val="both"/>
        <w:ind w:firstLine="486"/>
        <w:spacing w:after="0" w:line="270" w:lineRule="auto"/>
        <w:rPr>
          <w:sz w:val="20"/>
          <w:szCs w:val="20"/>
          <w:color w:val="auto"/>
        </w:rPr>
      </w:pPr>
      <w:r>
        <w:rPr>
          <w:rFonts w:ascii="Arial" w:cs="Arial" w:eastAsia="Arial" w:hAnsi="Arial"/>
          <w:sz w:val="17"/>
          <w:szCs w:val="17"/>
          <w:color w:val="auto"/>
        </w:rPr>
        <w:t>As of September 30, 2023, we had $261.3 million in cash and cash equivalents and $2.1 billion in marketable securities. We generated revenue of $547.5 million and $436.5 million in the three months ended September 30, 2023 and 2022, respectively, representing year-over-year growth of 25%. For the nine months ended September 30, 2023 and 2022, our revenue was $1,538.7 million and $1,205.7 million, respectively, representing year-over-year growth of 28%. Substantially all of our revenue is from subscription software sales. We have continued to make significant expenditures and investments, including in personnel-related costs, sales and marketing, infrastructure and operations, and have incurred net income (loss) of $22.6 million and $(26.0) million for the three months ended September 30, 2023 and 2022, respectively, and $(5.4) million and $(21.1) million for the nine months ended September 30, 2023 and 2022, respectively. Our operating cash flow was $439.7 million and $304.0 million for the nine months ended September 30, 2023 and 2022, respectively. Our free cash flow was $396.3 million and $257.2 million for the nine months ended September 30, 2023 and 2022, respectively. See the section titled “—Liquidity and Capital Resources—Non-GAAP Free Cash Flow” below.</w:t>
      </w:r>
    </w:p>
    <w:p>
      <w:pPr>
        <w:spacing w:after="0" w:line="208" w:lineRule="exact"/>
        <w:rPr>
          <w:sz w:val="20"/>
          <w:szCs w:val="20"/>
          <w:color w:val="auto"/>
        </w:rPr>
      </w:pPr>
    </w:p>
    <w:p>
      <w:pPr>
        <w:jc w:val="both"/>
        <w:ind w:firstLine="486"/>
        <w:spacing w:after="0" w:line="255" w:lineRule="auto"/>
        <w:rPr>
          <w:sz w:val="20"/>
          <w:szCs w:val="20"/>
          <w:color w:val="auto"/>
        </w:rPr>
      </w:pPr>
      <w:r>
        <w:rPr>
          <w:rFonts w:ascii="Arial" w:cs="Arial" w:eastAsia="Arial" w:hAnsi="Arial"/>
          <w:sz w:val="18"/>
          <w:szCs w:val="18"/>
          <w:color w:val="auto"/>
        </w:rPr>
        <w:t>Unfavorable conditions in the economy both in the United States and abroad may negatively affect the growth of our business and our results of operations. For example, macroeconomic events including rising inflation, the U.S. Federal Reserve raising interest rates, the failure of Silicon Valley Bank and other financial institutions, the Russian invasion of Ukraine, the evolving conflict in Israel and Gaza and the COVID-19 pandemic have led to economic uncertainty. Historically, during periods of economic uncertainty and downturns, businesses may slow spending on information technology, which may impact our business and our customers’ businesses. In recent quarters, we have seen slower usage growth from existing customers, which may be related to the uncertain macroeconomic environment.</w:t>
      </w:r>
    </w:p>
    <w:p>
      <w:pPr>
        <w:spacing w:after="0" w:line="219"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Due to our subscription model, the effect of macroeconomic conditions may not be fully reflected in our results of operations until future periods. However, if economic uncertainty increases or the global economy worsens, our business, financial condition and results of operations may be harmed. For further discussion of the potential impacts of macroeconomic events on our business, financial condition, and operating results, see “Risk Factors” included in Part II, Item 1A of this report.</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color w:val="auto"/>
        </w:rPr>
        <w:t>Factors Affecting Our Performance</w:t>
      </w:r>
    </w:p>
    <w:p>
      <w:pPr>
        <w:spacing w:after="0" w:line="229"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Acquiring New Customers</w:t>
      </w:r>
    </w:p>
    <w:p>
      <w:pPr>
        <w:spacing w:after="0" w:line="225" w:lineRule="exact"/>
        <w:rPr>
          <w:sz w:val="20"/>
          <w:szCs w:val="20"/>
          <w:color w:val="auto"/>
        </w:rPr>
      </w:pPr>
    </w:p>
    <w:p>
      <w:pPr>
        <w:jc w:val="both"/>
        <w:ind w:firstLine="486"/>
        <w:spacing w:after="0" w:line="255" w:lineRule="auto"/>
        <w:rPr>
          <w:sz w:val="20"/>
          <w:szCs w:val="20"/>
          <w:color w:val="auto"/>
        </w:rPr>
      </w:pPr>
      <w:r>
        <w:rPr>
          <w:rFonts w:ascii="Arial" w:cs="Arial" w:eastAsia="Arial" w:hAnsi="Arial"/>
          <w:sz w:val="18"/>
          <w:szCs w:val="18"/>
          <w:color w:val="auto"/>
        </w:rPr>
        <w:t>We believe there is substantial opportunity to continue to grow our customer base. We intend to drive new customer acquisition by continuing to invest significantly in sales and marketing to engage our prospective customers, increase brand awareness and drive adoption of our platform and products. We also plan to continue to invest in building brand awareness within the development and operations communities. As of September 30, 2023, we had approximately 26,800 customers spanning organizations of a broad range of sizes and industries, compared to approximately 22,200 as of September 30, 2022. Our ability to attract new customers will depend on a number of factors, including the effectiveness and pricing of our products, offerings of our competitors and the effectiveness of our marketing efforts.</w:t>
      </w:r>
    </w:p>
    <w:p>
      <w:pPr>
        <w:spacing w:after="0" w:line="192"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We define the number of customers as the number of accounts with a unique account identifier for which we have an active subscription in the period indicated. Users of our free trials or tier are not included in our customer count. A single organization with multiple divisions, segments or subsidiaries is generally counted as a single customer. However, in some cases where they have separate billing terms, we may count separate divisions, segments or subsidiaries as multiple customers.</w:t>
      </w:r>
    </w:p>
    <w:p>
      <w:pPr>
        <w:spacing w:after="0" w:line="214"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Expanding Within Our Existing Customer Base</w:t>
      </w:r>
    </w:p>
    <w:p>
      <w:pPr>
        <w:spacing w:after="0" w:line="225" w:lineRule="exact"/>
        <w:rPr>
          <w:sz w:val="20"/>
          <w:szCs w:val="20"/>
          <w:color w:val="auto"/>
        </w:rPr>
      </w:pPr>
    </w:p>
    <w:p>
      <w:pPr>
        <w:jc w:val="both"/>
        <w:ind w:firstLine="486"/>
        <w:spacing w:after="0" w:line="289" w:lineRule="auto"/>
        <w:rPr>
          <w:sz w:val="20"/>
          <w:szCs w:val="20"/>
          <w:color w:val="auto"/>
        </w:rPr>
      </w:pPr>
      <w:r>
        <w:rPr>
          <w:rFonts w:ascii="Arial" w:cs="Arial" w:eastAsia="Arial" w:hAnsi="Arial"/>
          <w:sz w:val="16"/>
          <w:szCs w:val="16"/>
          <w:color w:val="auto"/>
        </w:rPr>
        <w:t>Our base of customers represents a significant opportunity for further sales expansion. As of September 30, 2023, we had approximately 3,130 customers with annual run-rate revenue, or ARR, of $100,000 or more, representing 86% of our ARR, up from 2,600 customers as of September 30, 2022, representing 85% of our ARR. We monitor our number of customers with ARR of $100,000 or more, and believe it is useful to investors, as an indicator of our ability to grow the number of customers that are exceeding this ARR threshold. We define ARR as the annual run-rate revenue of subscription agreements from all customers at a point in time. We calculate ARR by taking the monthly run-rate revenue, or MRR, and multiplying it by 12. MRR for each month is calculated by aggregating, for all customers during that month, monthly revenue from committed contractual amounts, additional usage, usage from subscriptions for a committed contractual amount of usage that is delivered as used and monthly subscriptions. ARR and MRR should be viewed independently of revenue, and do not represent our revenue under GAAP on a monthly or annualized basis, as they are operating metrics that can be impacted by contract start and end dates and renewal rates. ARR and MRR are not intended to be replacements or forecasts of revenue.</w:t>
      </w:r>
    </w:p>
    <w:p>
      <w:pPr>
        <w:spacing w:after="0" w:line="166" w:lineRule="exact"/>
        <w:rPr>
          <w:sz w:val="20"/>
          <w:szCs w:val="20"/>
          <w:color w:val="auto"/>
        </w:rPr>
      </w:pPr>
    </w:p>
    <w:p>
      <w:pPr>
        <w:jc w:val="both"/>
        <w:ind w:firstLine="486"/>
        <w:spacing w:after="0" w:line="289" w:lineRule="auto"/>
        <w:rPr>
          <w:sz w:val="20"/>
          <w:szCs w:val="20"/>
          <w:color w:val="auto"/>
        </w:rPr>
      </w:pPr>
      <w:r>
        <w:rPr>
          <w:rFonts w:ascii="Arial" w:cs="Arial" w:eastAsia="Arial" w:hAnsi="Arial"/>
          <w:sz w:val="16"/>
          <w:szCs w:val="16"/>
          <w:color w:val="auto"/>
        </w:rPr>
        <w:t>A further indication of the propensity of our customer relationships to expand over time is our dollar-based net retention rate, which compares our ARR from the same set of customers in one period, relative to the year-ago period. As of September 30, 2023, our trailing 12-month dollar-based net retention rate was slightly below 120%. As of September 30, 2022, our trailing 12-month dollar-based net retention rate was above 130%. We calculate dollar-based net retention rate as of a period end by starting with the ARR from the cohort of all customers as of 12 months prior to such period-end, or the Prior Period ARR. We then calculate the ARR from these same customers as of the current period-end, or the Current Period ARR. Current Period ARR includes any expansion and is net of contraction or attrition over the last 12 months but excludes ARR from new customers in the current period. We then divide the total Current Period ARR by the total Prior Period ARR to arrive at the point-in-time dollar-based net retention rate. We then calculate the weighted average of the trailing 12-month point-in-time dollar-based net retention rates, to arrive at the trailing 12-month dollar-based net retention rate. As the growth of our business has decelerated in recent quarters, our trailing 12-month dollar-based net retention rate has declined.</w:t>
      </w:r>
    </w:p>
    <w:p>
      <w:pPr>
        <w:spacing w:after="0" w:line="166" w:lineRule="exact"/>
        <w:rPr>
          <w:sz w:val="20"/>
          <w:szCs w:val="20"/>
          <w:color w:val="auto"/>
        </w:rPr>
      </w:pPr>
    </w:p>
    <w:p>
      <w:pPr>
        <w:jc w:val="both"/>
        <w:ind w:firstLine="486"/>
        <w:spacing w:after="0" w:line="255" w:lineRule="auto"/>
        <w:rPr>
          <w:sz w:val="20"/>
          <w:szCs w:val="20"/>
          <w:color w:val="auto"/>
        </w:rPr>
      </w:pPr>
      <w:r>
        <w:rPr>
          <w:rFonts w:ascii="Arial" w:cs="Arial" w:eastAsia="Arial" w:hAnsi="Arial"/>
          <w:sz w:val="18"/>
          <w:szCs w:val="18"/>
          <w:color w:val="auto"/>
        </w:rPr>
        <w:t>We believe that our land-and-expand business model allows us to efficiently increase revenue from our existing customer base. Our customers often expand the deployment of our platform across large teams and more broadly within the enterprise as they migrate more workloads to the cloud, find new use cases for our platform, and generally realize the benefits of our platform. We intend to continue to invest in enhancing awareness of our brand and developing more products, features and functionality, which we believe are important factors to achieve widespread adoption of our platform. Our ability to increase sales to existing customers will depend on a number of factors, including our customers’ satisfaction with our solution, competition, pricing and overall changes in our customers’ spending levels.</w:t>
      </w: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26" w:name="page27"/>
    <w:bookmarkEnd w:id="26"/>
    <w:p>
      <w:pPr>
        <w:ind w:left="500"/>
        <w:spacing w:after="0"/>
        <w:rPr>
          <w:sz w:val="20"/>
          <w:szCs w:val="20"/>
          <w:color w:val="auto"/>
        </w:rPr>
      </w:pPr>
      <w:r>
        <w:rPr>
          <w:rFonts w:ascii="Arial" w:cs="Arial" w:eastAsia="Arial" w:hAnsi="Arial"/>
          <w:sz w:val="18"/>
          <w:szCs w:val="18"/>
          <w:b w:val="1"/>
          <w:bCs w:val="1"/>
          <w:i w:val="1"/>
          <w:iCs w:val="1"/>
          <w:color w:val="auto"/>
        </w:rPr>
        <w:t>Sustaining Innovation and Technology Leadership</w:t>
      </w:r>
    </w:p>
    <w:p>
      <w:pPr>
        <w:spacing w:after="0" w:line="225" w:lineRule="exact"/>
        <w:rPr>
          <w:sz w:val="20"/>
          <w:szCs w:val="20"/>
          <w:color w:val="auto"/>
        </w:rPr>
      </w:pPr>
    </w:p>
    <w:p>
      <w:pPr>
        <w:jc w:val="both"/>
        <w:ind w:firstLine="486"/>
        <w:spacing w:after="0" w:line="289" w:lineRule="auto"/>
        <w:rPr>
          <w:sz w:val="20"/>
          <w:szCs w:val="20"/>
          <w:color w:val="auto"/>
        </w:rPr>
      </w:pPr>
      <w:r>
        <w:rPr>
          <w:rFonts w:ascii="Arial" w:cs="Arial" w:eastAsia="Arial" w:hAnsi="Arial"/>
          <w:sz w:val="16"/>
          <w:szCs w:val="16"/>
          <w:color w:val="auto"/>
        </w:rPr>
        <w:t>Our success is dependent on our ability to sustain innovation and technology leadership in order to maintain our competitive advantage. We believe that we have built a highly differentiated platform that will position us to further extend the adoption of our platform and products. Datadog is frequently deployed across a customer’s entire infrastructure, making it ubiquitous. Datadog is a daily part of the lives of developers, operations engineers and business leaders. We employ a land-and-expand business model centered around offering products that are easy to adopt and have a very short time to value. Our efficient go-to-market model enables us to prioritize significant investment in innovation. We have demonstrated the success of our platform approach, through expansion beyond our initial infrastructure monitoring solution to include 19 products</w:t>
      </w:r>
      <w:r>
        <w:rPr>
          <w:rFonts w:ascii="Arial" w:cs="Arial" w:eastAsia="Arial" w:hAnsi="Arial"/>
          <w:sz w:val="16"/>
          <w:szCs w:val="16"/>
          <w:color w:val="333333"/>
        </w:rPr>
        <w:t>.</w:t>
      </w:r>
      <w:r>
        <w:rPr>
          <w:rFonts w:ascii="Arial" w:cs="Arial" w:eastAsia="Arial" w:hAnsi="Arial"/>
          <w:sz w:val="16"/>
          <w:szCs w:val="16"/>
          <w:color w:val="auto"/>
        </w:rPr>
        <w:t xml:space="preserve"> Approximately 82% of our customers were using more than one product as September 30, 2023, up from approximately 80% a year earlier. Additionally, as of September 30, 2023, approximately 46% of our customers were using more than four products, up from approximately 40% a year earlier, and approximately 21% of our customers were using more than six products, up from approximately 16% a year earlier. We believe these metrics indicate strong expansion of product adoption across our platform.</w:t>
      </w:r>
    </w:p>
    <w:p>
      <w:pPr>
        <w:spacing w:after="0" w:line="166"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We intend to continue to invest in building additional products, features and functionality that expand our capabilities and facilitate the extension of our platform to new use cases. We also intend to continue to evaluate strategic acquisitions and investments in businesses and technologies to drive product and market expansion. Our future success is dependent on our ability to successfully develop, market and sell existing and new products to both new and existing customers.</w:t>
      </w:r>
    </w:p>
    <w:p>
      <w:pPr>
        <w:spacing w:after="0" w:line="187"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Expanding Internationally</w:t>
      </w:r>
    </w:p>
    <w:p>
      <w:pPr>
        <w:spacing w:after="0" w:line="225" w:lineRule="exact"/>
        <w:rPr>
          <w:sz w:val="20"/>
          <w:szCs w:val="20"/>
          <w:color w:val="auto"/>
        </w:rPr>
      </w:pPr>
    </w:p>
    <w:p>
      <w:pPr>
        <w:jc w:val="both"/>
        <w:ind w:firstLine="486"/>
        <w:spacing w:after="0" w:line="255" w:lineRule="auto"/>
        <w:rPr>
          <w:sz w:val="20"/>
          <w:szCs w:val="20"/>
          <w:color w:val="auto"/>
        </w:rPr>
      </w:pPr>
      <w:r>
        <w:rPr>
          <w:rFonts w:ascii="Arial" w:cs="Arial" w:eastAsia="Arial" w:hAnsi="Arial"/>
          <w:sz w:val="18"/>
          <w:szCs w:val="18"/>
          <w:color w:val="auto"/>
        </w:rPr>
        <w:t>We believe there is a significant opportunity to expand usage of our platform outside of North America. Revenue, as determined based on the billing address of our customers, from regions outside of North America was approximately 30% and 28% of total revenue for the nine months ended September 30, 2023 and 2022, respectively. In addition, we have made and plan to continue to make significant investments to expand geographically, particularly in EMEA and APAC. Although these investments may adversely affect our operating results in the near term, we believe that they will contribute to our long-term growth. Beyond North America, we now have sales presence internationally, including in Amsterdam, Dublin, London, Paris, Seoul, Singapore, Sydney, and Tokyo.</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Components of Results of Operations</w:t>
      </w:r>
    </w:p>
    <w:p>
      <w:pPr>
        <w:spacing w:after="0" w:line="229"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Revenue</w:t>
      </w:r>
    </w:p>
    <w:p>
      <w:pPr>
        <w:spacing w:after="0" w:line="225" w:lineRule="exact"/>
        <w:rPr>
          <w:sz w:val="20"/>
          <w:szCs w:val="20"/>
          <w:color w:val="auto"/>
        </w:rPr>
      </w:pPr>
    </w:p>
    <w:p>
      <w:pPr>
        <w:jc w:val="both"/>
        <w:ind w:firstLine="486"/>
        <w:spacing w:after="0" w:line="273" w:lineRule="auto"/>
        <w:rPr>
          <w:sz w:val="20"/>
          <w:szCs w:val="20"/>
          <w:color w:val="auto"/>
        </w:rPr>
      </w:pPr>
      <w:r>
        <w:rPr>
          <w:rFonts w:ascii="Arial" w:cs="Arial" w:eastAsia="Arial" w:hAnsi="Arial"/>
          <w:sz w:val="17"/>
          <w:szCs w:val="17"/>
          <w:color w:val="auto"/>
        </w:rPr>
        <w:t>We generate revenue from the sale of subscriptions to customers using our cloud-based platform. The terms of our subscription agreements are primarily monthly, annual or multi-year, with the majority of our revenue coming from annual subscriptions. Our customers can enter into a subscription for a committed contractual amount of usage that is apportioned ratably on a monthly basis over the term of the subscription period, a subscription for a committed contractual amount of usage that is delivered as used, or a monthly subscription based on usage. To the extent that our customers’ usage exceeds the committed contracted amounts under their subscriptions, either on a monthly basis in the case of a ratable subscription or once the entire commitment is used in the case of a delivered-as-used subscription, they are charged for their incremental usage.</w:t>
      </w:r>
    </w:p>
    <w:p>
      <w:pPr>
        <w:spacing w:after="0" w:line="178" w:lineRule="exact"/>
        <w:rPr>
          <w:sz w:val="20"/>
          <w:szCs w:val="20"/>
          <w:color w:val="auto"/>
        </w:rPr>
      </w:pPr>
    </w:p>
    <w:p>
      <w:pPr>
        <w:jc w:val="both"/>
        <w:ind w:firstLine="486"/>
        <w:spacing w:after="0" w:line="279" w:lineRule="auto"/>
        <w:rPr>
          <w:sz w:val="20"/>
          <w:szCs w:val="20"/>
          <w:color w:val="auto"/>
        </w:rPr>
      </w:pPr>
      <w:r>
        <w:rPr>
          <w:rFonts w:ascii="Arial" w:cs="Arial" w:eastAsia="Arial" w:hAnsi="Arial"/>
          <w:sz w:val="17"/>
          <w:szCs w:val="17"/>
          <w:color w:val="auto"/>
        </w:rPr>
        <w:t xml:space="preserve">Usage is measured primarily by the number of hosts or by the volume of data indexed. A host is generally defined as a server, either in the cloud or on-premise. Our infrastructure monitoring, APM and </w:t>
      </w:r>
      <w:r>
        <w:rPr>
          <w:rFonts w:ascii="Arial" w:cs="Arial" w:eastAsia="Arial" w:hAnsi="Arial"/>
          <w:sz w:val="17"/>
          <w:szCs w:val="17"/>
          <w:color w:val="333333"/>
        </w:rPr>
        <w:t>network performance monitoring</w:t>
      </w:r>
      <w:r>
        <w:rPr>
          <w:rFonts w:ascii="Arial" w:cs="Arial" w:eastAsia="Arial" w:hAnsi="Arial"/>
          <w:sz w:val="17"/>
          <w:szCs w:val="17"/>
          <w:color w:val="auto"/>
        </w:rPr>
        <w:t xml:space="preserve"> products are priced per host, our logs product is priced primarily per log events indexed and secondarily by events ingested. </w:t>
      </w:r>
      <w:r>
        <w:rPr>
          <w:rFonts w:ascii="Arial" w:cs="Arial" w:eastAsia="Arial" w:hAnsi="Arial"/>
          <w:sz w:val="17"/>
          <w:szCs w:val="17"/>
          <w:color w:val="333333"/>
        </w:rPr>
        <w:t>Customers also have the option to purchase additional products, such as additional container or</w:t>
      </w:r>
      <w:r>
        <w:rPr>
          <w:rFonts w:ascii="Arial" w:cs="Arial" w:eastAsia="Arial" w:hAnsi="Arial"/>
          <w:sz w:val="17"/>
          <w:szCs w:val="17"/>
          <w:color w:val="auto"/>
        </w:rPr>
        <w:t xml:space="preserve"> </w:t>
      </w:r>
      <w:r>
        <w:rPr>
          <w:rFonts w:ascii="Arial" w:cs="Arial" w:eastAsia="Arial" w:hAnsi="Arial"/>
          <w:sz w:val="17"/>
          <w:szCs w:val="17"/>
          <w:color w:val="333333"/>
        </w:rPr>
        <w:t>serverless monitoring, custom metrics packages, anomaly detection, synthetic monitoring and app analytics.</w:t>
      </w:r>
    </w:p>
    <w:p>
      <w:pPr>
        <w:spacing w:after="0" w:line="171" w:lineRule="exact"/>
        <w:rPr>
          <w:sz w:val="20"/>
          <w:szCs w:val="20"/>
          <w:color w:val="auto"/>
        </w:rPr>
      </w:pPr>
    </w:p>
    <w:p>
      <w:pPr>
        <w:jc w:val="both"/>
        <w:ind w:firstLine="486"/>
        <w:spacing w:after="0" w:line="270" w:lineRule="auto"/>
        <w:rPr>
          <w:sz w:val="20"/>
          <w:szCs w:val="20"/>
          <w:color w:val="auto"/>
        </w:rPr>
      </w:pPr>
      <w:r>
        <w:rPr>
          <w:rFonts w:ascii="Arial" w:cs="Arial" w:eastAsia="Arial" w:hAnsi="Arial"/>
          <w:sz w:val="17"/>
          <w:szCs w:val="17"/>
          <w:color w:val="auto"/>
        </w:rPr>
        <w:t>In the case of subscriptions for committed contractual amounts of usage, revenue is recognized ratably over the term of the subscription agreement, generally beginning on the date that our platform is made available to a customer. As a result, much of our revenue is generated from subscriptions entered into during previous periods. Consequently, any decreases in new subscriptions or renewals in any one period may not be immediately reflected as a decrease in revenue for that period but could negatively affect our revenue in future quarters. This also makes it difficult for us to rapidly increase our revenue through the sale of additional subscriptions in any period, as revenue is recognized over the term of the subscription agreement. In the case of a subscription for a committed contractual amount of usage that is delivered as used, a monthly subscription based on usage, or usage in excess of a ratable subscription, we recognize revenue as the product is used, which may lead to fluctuations in our revenue and results of operations. In addition, historically, we have experienced seasonality in new customer bookings, as we typically enter into a higher percentage of subscription agreements with new customers in the fourth quarter of the year.</w:t>
      </w: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13" w:right="339" w:bottom="1440" w:gutter="0" w:footer="0" w:header="0"/>
        </w:sectPr>
      </w:pPr>
    </w:p>
    <w:bookmarkStart w:id="27" w:name="page28"/>
    <w:bookmarkEnd w:id="27"/>
    <w:p>
      <w:pPr>
        <w:jc w:val="both"/>
        <w:ind w:right="20" w:firstLine="486"/>
        <w:spacing w:after="0" w:line="277" w:lineRule="auto"/>
        <w:rPr>
          <w:sz w:val="20"/>
          <w:szCs w:val="20"/>
          <w:color w:val="auto"/>
        </w:rPr>
      </w:pPr>
      <w:r>
        <w:rPr>
          <w:rFonts w:ascii="Arial" w:cs="Arial" w:eastAsia="Arial" w:hAnsi="Arial"/>
          <w:sz w:val="18"/>
          <w:szCs w:val="18"/>
          <w:color w:val="auto"/>
        </w:rPr>
        <w:t>Due to ease of implementation of our products, professional services generally are not required and revenue from such services has been immaterial to date.</w:t>
      </w:r>
    </w:p>
    <w:p>
      <w:pPr>
        <w:spacing w:after="0" w:line="170"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Cost of Revenue</w:t>
      </w:r>
    </w:p>
    <w:p>
      <w:pPr>
        <w:spacing w:after="0" w:line="225"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Cost of revenue primarily consists of expenses related to providing our products to customers, including payments to our third-party cloud infrastructure providers for hosting our software, personnel-related expenses for operations and global support, including salaries, benefits, bonuses and stock-based compensation, payment processing fees, information technology, depreciation and amortization related to the amortization of acquired intangibles and internal-use software and other overhead costs such as allocated facilities.</w:t>
      </w:r>
    </w:p>
    <w:p>
      <w:pPr>
        <w:spacing w:after="0" w:line="187"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We intend to continue to invest additional resources in our platform infrastructure and our customer support and success organizations to expand the capability of our platform and ensure that our customers are realizing the full benefit of our platform and products. The level, timing and relative investment in our infrastructure could affect our cost of revenue in the future.</w:t>
      </w:r>
    </w:p>
    <w:p>
      <w:pPr>
        <w:spacing w:after="0" w:line="184"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Gross Profit and Gross Margin</w:t>
      </w:r>
    </w:p>
    <w:p>
      <w:pPr>
        <w:spacing w:after="0" w:line="225"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Gross profit represents revenue less cost of revenue. Gross margin is gross profit expressed as a percentage of revenue. Our gross margin may fluctuate from period to period as our revenue fluctuates, and as a result of the timing and amount of investments to expand our products and geographical coverage.</w:t>
      </w:r>
    </w:p>
    <w:p>
      <w:pPr>
        <w:spacing w:after="0" w:line="184"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25" w:lineRule="exact"/>
        <w:rPr>
          <w:sz w:val="20"/>
          <w:szCs w:val="20"/>
          <w:color w:val="auto"/>
        </w:rPr>
      </w:pPr>
    </w:p>
    <w:p>
      <w:pPr>
        <w:jc w:val="both"/>
        <w:ind w:firstLine="486"/>
        <w:spacing w:after="0" w:line="286" w:lineRule="auto"/>
        <w:rPr>
          <w:sz w:val="20"/>
          <w:szCs w:val="20"/>
          <w:color w:val="auto"/>
        </w:rPr>
      </w:pPr>
      <w:r>
        <w:rPr>
          <w:rFonts w:ascii="Arial" w:cs="Arial" w:eastAsia="Arial" w:hAnsi="Arial"/>
          <w:sz w:val="17"/>
          <w:szCs w:val="17"/>
          <w:color w:val="auto"/>
        </w:rPr>
        <w:t>Our operating expenses consist of research and development, sales and marketing and general and administrative expenses. Personnel costs are the most significant component of operating expenses and consist of salaries, benefits, bonuses, stock-based compensation expense and sales commissions. Operating expenses also include overhead costs for facilities and shared IT-related expenses, including depreciation expense.</w:t>
      </w:r>
    </w:p>
    <w:p>
      <w:pPr>
        <w:spacing w:after="0" w:line="165"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225"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Research and development expense consists primarily of personnel costs for our engineering, service and design teams. Additionally, research and development expense includes contractor fees, depreciation and amortization and allocated overhead costs. Research and development costs are expensed as incurred. We expect that our research and development expense will increase in absolute dollars as our business grows, particularly as we incur additional costs related to continued investments in our platform.</w:t>
      </w:r>
    </w:p>
    <w:p>
      <w:pPr>
        <w:spacing w:after="0" w:line="187"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Sales and Marketing</w:t>
      </w:r>
    </w:p>
    <w:p>
      <w:pPr>
        <w:spacing w:after="0" w:line="225"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Sales and marketing expense consists primarily of personnel costs for our sales and marketing organization, costs of general marketing and promotional activities, including the free tier and free introductory trials of our products, travel-related expenses, amortization of acquired customer relationships and allocated overhead costs. Sales commissions earned by our sales force are deferred and amortized on a straight-line basis over the expected period of benefit, which we have determined to be four years. We expect that our sales and marketing expense will increase in absolute dollars as we expand our sales and marketing efforts.</w:t>
      </w:r>
    </w:p>
    <w:p>
      <w:pPr>
        <w:spacing w:after="0" w:line="188"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General and Administrative</w:t>
      </w:r>
    </w:p>
    <w:p>
      <w:pPr>
        <w:spacing w:after="0" w:line="225" w:lineRule="exact"/>
        <w:rPr>
          <w:sz w:val="20"/>
          <w:szCs w:val="20"/>
          <w:color w:val="auto"/>
        </w:rPr>
      </w:pPr>
    </w:p>
    <w:p>
      <w:pPr>
        <w:jc w:val="both"/>
        <w:ind w:firstLine="486"/>
        <w:spacing w:after="0" w:line="311" w:lineRule="auto"/>
        <w:rPr>
          <w:sz w:val="20"/>
          <w:szCs w:val="20"/>
          <w:color w:val="auto"/>
        </w:rPr>
      </w:pPr>
      <w:r>
        <w:rPr>
          <w:rFonts w:ascii="Arial" w:cs="Arial" w:eastAsia="Arial" w:hAnsi="Arial"/>
          <w:sz w:val="16"/>
          <w:szCs w:val="16"/>
          <w:color w:val="auto"/>
        </w:rPr>
        <w:t>General and administrative expense consists primarily of personnel costs and contractor fees for finance, legal, human resources, information technology and other administrative functions. In addition, general and administrative expense includes non-personnel costs, such as legal, accounting and other professional fees, hardware and software costs, certain tax, license and insurance-related expenses and allocated overhead costs.</w:t>
      </w:r>
    </w:p>
    <w:p>
      <w:pPr>
        <w:spacing w:after="0" w:line="149"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We have incurred, and expect to continue to incur, additional expenses as a result of operating as a public company, including costs to comply with the rules and regulations applicable to companies listed on a national securities exchange, costs related to compliance and reporting obligations and increased expenses for insurance, investor relations and professional services. We expect that our general and administrative expense will increase in absolute dollars as our business grows.</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13" w:right="339" w:bottom="1440" w:gutter="0" w:footer="0" w:header="0"/>
        </w:sectPr>
      </w:pPr>
    </w:p>
    <w:bookmarkStart w:id="28" w:name="page29"/>
    <w:bookmarkEnd w:id="28"/>
    <w:p>
      <w:pPr>
        <w:ind w:left="500"/>
        <w:spacing w:after="0"/>
        <w:rPr>
          <w:sz w:val="20"/>
          <w:szCs w:val="20"/>
          <w:color w:val="auto"/>
        </w:rPr>
      </w:pPr>
      <w:r>
        <w:rPr>
          <w:rFonts w:ascii="Arial" w:cs="Arial" w:eastAsia="Arial" w:hAnsi="Arial"/>
          <w:sz w:val="18"/>
          <w:szCs w:val="18"/>
          <w:b w:val="1"/>
          <w:bCs w:val="1"/>
          <w:i w:val="1"/>
          <w:iCs w:val="1"/>
          <w:color w:val="auto"/>
        </w:rPr>
        <w:t>Other Income, Net</w:t>
      </w:r>
    </w:p>
    <w:p>
      <w:pPr>
        <w:spacing w:after="0" w:line="225" w:lineRule="exact"/>
        <w:rPr>
          <w:sz w:val="20"/>
          <w:szCs w:val="20"/>
          <w:color w:val="auto"/>
        </w:rPr>
      </w:pPr>
    </w:p>
    <w:p>
      <w:pPr>
        <w:jc w:val="both"/>
        <w:ind w:right="20" w:firstLine="486"/>
        <w:spacing w:after="0" w:line="308" w:lineRule="auto"/>
        <w:rPr>
          <w:sz w:val="20"/>
          <w:szCs w:val="20"/>
          <w:color w:val="auto"/>
        </w:rPr>
      </w:pPr>
      <w:r>
        <w:rPr>
          <w:rFonts w:ascii="Arial" w:cs="Arial" w:eastAsia="Arial" w:hAnsi="Arial"/>
          <w:sz w:val="17"/>
          <w:szCs w:val="17"/>
          <w:color w:val="auto"/>
        </w:rPr>
        <w:t>Other income, net consists of interest income, primarily due to income earned on money market funds included in cash and cash equivalents and on marketable securities, partially offset by interest expense due on the 2025 Notes and amortization of premiums on our marketable securities.</w:t>
      </w:r>
    </w:p>
    <w:p>
      <w:pPr>
        <w:spacing w:after="0" w:line="146"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Provision for Income Taxes</w:t>
      </w:r>
    </w:p>
    <w:p>
      <w:pPr>
        <w:spacing w:after="0" w:line="225"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Provision for income taxes consists of U.S. federal and state income taxes and income taxes in certain foreign jurisdictions in which we conduct business. We recorded a full valuation allowance on our federal and state deferred tax assets as we have concluded that it is not more likely than not that the deferred tax assets will be realized.</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sets forth our consolidated statements of operations data for the periods indicated:</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540" w:type="dxa"/>
            <w:vAlign w:val="bottom"/>
            <w:gridSpan w:val="5"/>
          </w:tcPr>
          <w:p>
            <w:pPr>
              <w:jc w:val="center"/>
              <w:ind w:right="420"/>
              <w:spacing w:after="0"/>
              <w:rPr>
                <w:sz w:val="20"/>
                <w:szCs w:val="20"/>
                <w:color w:val="auto"/>
              </w:rPr>
            </w:pPr>
            <w:r>
              <w:rPr>
                <w:rFonts w:ascii="Arial" w:cs="Arial" w:eastAsia="Arial" w:hAnsi="Arial"/>
                <w:sz w:val="14"/>
                <w:szCs w:val="14"/>
                <w:b w:val="1"/>
                <w:bCs w:val="1"/>
                <w:color w:val="auto"/>
                <w:w w:val="95"/>
              </w:rPr>
              <w:t>Three Months Ended</w:t>
            </w:r>
          </w:p>
        </w:tc>
        <w:tc>
          <w:tcPr>
            <w:tcW w:w="460" w:type="dxa"/>
            <w:vAlign w:val="bottom"/>
          </w:tcPr>
          <w:p>
            <w:pPr>
              <w:spacing w:after="0"/>
              <w:rPr>
                <w:sz w:val="14"/>
                <w:szCs w:val="14"/>
                <w:color w:val="auto"/>
              </w:rPr>
            </w:pPr>
          </w:p>
        </w:tc>
        <w:tc>
          <w:tcPr>
            <w:tcW w:w="2300" w:type="dxa"/>
            <w:vAlign w:val="bottom"/>
            <w:gridSpan w:val="4"/>
          </w:tcPr>
          <w:p>
            <w:pPr>
              <w:jc w:val="center"/>
              <w:ind w:right="412"/>
              <w:spacing w:after="0"/>
              <w:rPr>
                <w:sz w:val="20"/>
                <w:szCs w:val="20"/>
                <w:color w:val="auto"/>
              </w:rPr>
            </w:pPr>
            <w:r>
              <w:rPr>
                <w:rFonts w:ascii="Arial" w:cs="Arial" w:eastAsia="Arial" w:hAnsi="Arial"/>
                <w:sz w:val="14"/>
                <w:szCs w:val="14"/>
                <w:b w:val="1"/>
                <w:bCs w:val="1"/>
                <w:color w:val="auto"/>
                <w:w w:val="94"/>
              </w:rPr>
              <w:t>Nine Months Ended</w:t>
            </w:r>
          </w:p>
        </w:tc>
        <w:tc>
          <w:tcPr>
            <w:tcW w:w="0" w:type="dxa"/>
            <w:vAlign w:val="bottom"/>
          </w:tcPr>
          <w:p>
            <w:pPr>
              <w:spacing w:after="0"/>
              <w:rPr>
                <w:sz w:val="1"/>
                <w:szCs w:val="1"/>
                <w:color w:val="auto"/>
              </w:rPr>
            </w:pPr>
          </w:p>
        </w:tc>
      </w:tr>
      <w:tr>
        <w:trPr>
          <w:trHeight w:val="196"/>
        </w:trPr>
        <w:tc>
          <w:tcPr>
            <w:tcW w:w="45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gridSpan w:val="3"/>
          </w:tcPr>
          <w:p>
            <w:pPr>
              <w:jc w:val="center"/>
              <w:ind w:left="474"/>
              <w:spacing w:after="0"/>
              <w:rPr>
                <w:sz w:val="20"/>
                <w:szCs w:val="20"/>
                <w:color w:val="auto"/>
              </w:rPr>
            </w:pPr>
            <w:r>
              <w:rPr>
                <w:rFonts w:ascii="Arial" w:cs="Arial" w:eastAsia="Arial" w:hAnsi="Arial"/>
                <w:sz w:val="14"/>
                <w:szCs w:val="14"/>
                <w:b w:val="1"/>
                <w:bCs w:val="1"/>
                <w:color w:val="auto"/>
                <w:w w:val="91"/>
              </w:rPr>
              <w:t>September 30,</w:t>
            </w:r>
          </w:p>
        </w:tc>
        <w:tc>
          <w:tcPr>
            <w:tcW w:w="88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gridSpan w:val="3"/>
          </w:tcPr>
          <w:p>
            <w:pPr>
              <w:jc w:val="center"/>
              <w:ind w:left="334"/>
              <w:spacing w:after="0"/>
              <w:rPr>
                <w:sz w:val="20"/>
                <w:szCs w:val="20"/>
                <w:color w:val="auto"/>
              </w:rPr>
            </w:pPr>
            <w:r>
              <w:rPr>
                <w:rFonts w:ascii="Arial" w:cs="Arial" w:eastAsia="Arial" w:hAnsi="Arial"/>
                <w:sz w:val="14"/>
                <w:szCs w:val="14"/>
                <w:b w:val="1"/>
                <w:bCs w:val="1"/>
                <w:color w:val="auto"/>
                <w:w w:val="91"/>
              </w:rPr>
              <w:t>September 30,</w:t>
            </w:r>
          </w:p>
        </w:tc>
        <w:tc>
          <w:tcPr>
            <w:tcW w:w="8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5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rPr>
              <w:t>2023</w:t>
            </w:r>
          </w:p>
        </w:tc>
        <w:tc>
          <w:tcPr>
            <w:tcW w:w="12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2023</w:t>
            </w:r>
          </w:p>
        </w:tc>
        <w:tc>
          <w:tcPr>
            <w:tcW w:w="12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190"/>
        </w:trPr>
        <w:tc>
          <w:tcPr>
            <w:tcW w:w="45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44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thousands)</w:t>
            </w: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9"/>
        </w:trPr>
        <w:tc>
          <w:tcPr>
            <w:tcW w:w="45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0" w:type="dxa"/>
            <w:vAlign w:val="bottom"/>
          </w:tcPr>
          <w:p>
            <w:pPr>
              <w:spacing w:after="0"/>
              <w:rPr>
                <w:sz w:val="3"/>
                <w:szCs w:val="3"/>
                <w:color w:val="auto"/>
              </w:rPr>
            </w:pPr>
          </w:p>
        </w:tc>
        <w:tc>
          <w:tcPr>
            <w:tcW w:w="460" w:type="dxa"/>
            <w:vAlign w:val="bottom"/>
          </w:tcPr>
          <w:p>
            <w:pPr>
              <w:spacing w:after="0"/>
              <w:rPr>
                <w:sz w:val="3"/>
                <w:szCs w:val="3"/>
                <w:color w:val="auto"/>
              </w:rPr>
            </w:pPr>
          </w:p>
        </w:tc>
        <w:tc>
          <w:tcPr>
            <w:tcW w:w="860" w:type="dxa"/>
            <w:vAlign w:val="bottom"/>
          </w:tcPr>
          <w:p>
            <w:pPr>
              <w:spacing w:after="0"/>
              <w:rPr>
                <w:sz w:val="3"/>
                <w:szCs w:val="3"/>
                <w:color w:val="auto"/>
              </w:rPr>
            </w:pPr>
          </w:p>
        </w:tc>
        <w:tc>
          <w:tcPr>
            <w:tcW w:w="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8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70"/>
        </w:trPr>
        <w:tc>
          <w:tcPr>
            <w:tcW w:w="4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142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547,536</w:t>
            </w:r>
          </w:p>
        </w:tc>
        <w:tc>
          <w:tcPr>
            <w:tcW w:w="120" w:type="dxa"/>
            <w:vAlign w:val="bottom"/>
            <w:shd w:val="clear" w:color="auto" w:fill="CCEEFF"/>
          </w:tcPr>
          <w:p>
            <w:pPr>
              <w:spacing w:after="0"/>
              <w:rPr>
                <w:sz w:val="23"/>
                <w:szCs w:val="23"/>
                <w:color w:val="auto"/>
              </w:rPr>
            </w:pPr>
          </w:p>
        </w:tc>
        <w:tc>
          <w:tcPr>
            <w:tcW w:w="4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436,533</w:t>
            </w:r>
          </w:p>
        </w:tc>
        <w:tc>
          <w:tcPr>
            <w:tcW w:w="100" w:type="dxa"/>
            <w:vAlign w:val="bottom"/>
            <w:shd w:val="clear" w:color="auto" w:fill="CCEEFF"/>
          </w:tcPr>
          <w:p>
            <w:pPr>
              <w:spacing w:after="0"/>
              <w:rPr>
                <w:sz w:val="23"/>
                <w:szCs w:val="23"/>
                <w:color w:val="auto"/>
              </w:rPr>
            </w:pPr>
          </w:p>
        </w:tc>
        <w:tc>
          <w:tcPr>
            <w:tcW w:w="4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1,538,710</w:t>
            </w:r>
          </w:p>
        </w:tc>
        <w:tc>
          <w:tcPr>
            <w:tcW w:w="120" w:type="dxa"/>
            <w:vAlign w:val="bottom"/>
            <w:shd w:val="clear" w:color="auto" w:fill="CCEEFF"/>
          </w:tcPr>
          <w:p>
            <w:pPr>
              <w:spacing w:after="0"/>
              <w:rPr>
                <w:sz w:val="23"/>
                <w:szCs w:val="23"/>
                <w:color w:val="auto"/>
              </w:rPr>
            </w:pPr>
          </w:p>
        </w:tc>
        <w:tc>
          <w:tcPr>
            <w:tcW w:w="4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1,205,701</w:t>
            </w:r>
          </w:p>
        </w:tc>
        <w:tc>
          <w:tcPr>
            <w:tcW w:w="0" w:type="dxa"/>
            <w:vAlign w:val="bottom"/>
          </w:tcPr>
          <w:p>
            <w:pPr>
              <w:spacing w:after="0"/>
              <w:rPr>
                <w:sz w:val="1"/>
                <w:szCs w:val="1"/>
                <w:color w:val="auto"/>
              </w:rPr>
            </w:pPr>
          </w:p>
        </w:tc>
      </w:tr>
      <w:tr>
        <w:trPr>
          <w:trHeight w:val="270"/>
        </w:trPr>
        <w:tc>
          <w:tcPr>
            <w:tcW w:w="45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 xml:space="preserve">Cost of revenue </w:t>
            </w:r>
            <w:r>
              <w:rPr>
                <w:rFonts w:ascii="Arial" w:cs="Arial" w:eastAsia="Arial" w:hAnsi="Arial"/>
                <w:sz w:val="21"/>
                <w:szCs w:val="21"/>
                <w:color w:val="auto"/>
                <w:vertAlign w:val="superscript"/>
              </w:rPr>
              <w:t>(1)(2)(3)</w:t>
            </w:r>
          </w:p>
        </w:tc>
        <w:tc>
          <w:tcPr>
            <w:tcW w:w="1100" w:type="dxa"/>
            <w:vAlign w:val="bottom"/>
            <w:tcBorders>
              <w:bottom w:val="single" w:sz="8" w:color="CCEEFF"/>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103,319</w:t>
            </w:r>
          </w:p>
        </w:tc>
        <w:tc>
          <w:tcPr>
            <w:tcW w:w="120" w:type="dxa"/>
            <w:vAlign w:val="bottom"/>
            <w:tcBorders>
              <w:bottom w:val="single" w:sz="8" w:color="CCEEFF"/>
            </w:tcBorders>
          </w:tcPr>
          <w:p>
            <w:pPr>
              <w:spacing w:after="0"/>
              <w:rPr>
                <w:sz w:val="23"/>
                <w:szCs w:val="23"/>
                <w:color w:val="auto"/>
              </w:rPr>
            </w:pPr>
          </w:p>
        </w:tc>
        <w:tc>
          <w:tcPr>
            <w:tcW w:w="44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93,599</w:t>
            </w:r>
          </w:p>
        </w:tc>
        <w:tc>
          <w:tcPr>
            <w:tcW w:w="100" w:type="dxa"/>
            <w:vAlign w:val="bottom"/>
            <w:tcBorders>
              <w:bottom w:val="single" w:sz="8" w:color="CCEEFF"/>
            </w:tcBorders>
          </w:tcPr>
          <w:p>
            <w:pPr>
              <w:spacing w:after="0"/>
              <w:rPr>
                <w:sz w:val="23"/>
                <w:szCs w:val="23"/>
                <w:color w:val="auto"/>
              </w:rPr>
            </w:pPr>
          </w:p>
        </w:tc>
        <w:tc>
          <w:tcPr>
            <w:tcW w:w="46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305,079</w:t>
            </w:r>
          </w:p>
        </w:tc>
        <w:tc>
          <w:tcPr>
            <w:tcW w:w="120" w:type="dxa"/>
            <w:vAlign w:val="bottom"/>
            <w:tcBorders>
              <w:bottom w:val="single" w:sz="8" w:color="CCEEFF"/>
            </w:tcBorders>
          </w:tcPr>
          <w:p>
            <w:pPr>
              <w:spacing w:after="0"/>
              <w:rPr>
                <w:sz w:val="23"/>
                <w:szCs w:val="23"/>
                <w:color w:val="auto"/>
              </w:rPr>
            </w:pPr>
          </w:p>
        </w:tc>
        <w:tc>
          <w:tcPr>
            <w:tcW w:w="44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249,986</w:t>
            </w:r>
          </w:p>
        </w:tc>
        <w:tc>
          <w:tcPr>
            <w:tcW w:w="0" w:type="dxa"/>
            <w:vAlign w:val="bottom"/>
          </w:tcPr>
          <w:p>
            <w:pPr>
              <w:spacing w:after="0"/>
              <w:rPr>
                <w:sz w:val="1"/>
                <w:szCs w:val="1"/>
                <w:color w:val="auto"/>
              </w:rPr>
            </w:pPr>
          </w:p>
        </w:tc>
      </w:tr>
      <w:tr>
        <w:trPr>
          <w:trHeight w:val="250"/>
        </w:trPr>
        <w:tc>
          <w:tcPr>
            <w:tcW w:w="4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Gross profit</w:t>
            </w:r>
          </w:p>
        </w:tc>
        <w:tc>
          <w:tcPr>
            <w:tcW w:w="1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444,217</w:t>
            </w:r>
          </w:p>
        </w:tc>
        <w:tc>
          <w:tcPr>
            <w:tcW w:w="12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342,934</w:t>
            </w:r>
          </w:p>
        </w:tc>
        <w:tc>
          <w:tcPr>
            <w:tcW w:w="10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1,233,631</w:t>
            </w:r>
          </w:p>
        </w:tc>
        <w:tc>
          <w:tcPr>
            <w:tcW w:w="12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955,715</w:t>
            </w:r>
          </w:p>
        </w:tc>
        <w:tc>
          <w:tcPr>
            <w:tcW w:w="0" w:type="dxa"/>
            <w:vAlign w:val="bottom"/>
          </w:tcPr>
          <w:p>
            <w:pPr>
              <w:spacing w:after="0"/>
              <w:rPr>
                <w:sz w:val="1"/>
                <w:szCs w:val="1"/>
                <w:color w:val="auto"/>
              </w:rPr>
            </w:pPr>
          </w:p>
        </w:tc>
      </w:tr>
      <w:tr>
        <w:trPr>
          <w:trHeight w:val="243"/>
        </w:trPr>
        <w:tc>
          <w:tcPr>
            <w:tcW w:w="452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1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5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5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 xml:space="preserve">Research and development </w:t>
            </w:r>
            <w:r>
              <w:rPr>
                <w:rFonts w:ascii="Arial" w:cs="Arial" w:eastAsia="Arial" w:hAnsi="Arial"/>
                <w:sz w:val="21"/>
                <w:szCs w:val="21"/>
                <w:color w:val="auto"/>
                <w:vertAlign w:val="superscript"/>
              </w:rPr>
              <w:t>(1)(3)</w:t>
            </w:r>
          </w:p>
        </w:tc>
        <w:tc>
          <w:tcPr>
            <w:tcW w:w="1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240,225</w:t>
            </w:r>
          </w:p>
        </w:tc>
        <w:tc>
          <w:tcPr>
            <w:tcW w:w="12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205,388</w:t>
            </w:r>
          </w:p>
        </w:tc>
        <w:tc>
          <w:tcPr>
            <w:tcW w:w="10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709,197</w:t>
            </w:r>
          </w:p>
        </w:tc>
        <w:tc>
          <w:tcPr>
            <w:tcW w:w="12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533,695</w:t>
            </w:r>
          </w:p>
        </w:tc>
        <w:tc>
          <w:tcPr>
            <w:tcW w:w="0" w:type="dxa"/>
            <w:vAlign w:val="bottom"/>
          </w:tcPr>
          <w:p>
            <w:pPr>
              <w:spacing w:after="0"/>
              <w:rPr>
                <w:sz w:val="1"/>
                <w:szCs w:val="1"/>
                <w:color w:val="auto"/>
              </w:rPr>
            </w:pPr>
          </w:p>
        </w:tc>
      </w:tr>
      <w:tr>
        <w:trPr>
          <w:trHeight w:val="270"/>
        </w:trPr>
        <w:tc>
          <w:tcPr>
            <w:tcW w:w="4520" w:type="dxa"/>
            <w:vAlign w:val="bottom"/>
          </w:tcPr>
          <w:p>
            <w:pPr>
              <w:ind w:left="260"/>
              <w:spacing w:after="0"/>
              <w:rPr>
                <w:sz w:val="20"/>
                <w:szCs w:val="20"/>
                <w:color w:val="auto"/>
              </w:rPr>
            </w:pPr>
            <w:r>
              <w:rPr>
                <w:rFonts w:ascii="Arial" w:cs="Arial" w:eastAsia="Arial" w:hAnsi="Arial"/>
                <w:sz w:val="18"/>
                <w:szCs w:val="18"/>
                <w:color w:val="auto"/>
              </w:rPr>
              <w:t xml:space="preserve">Sales and marketing </w:t>
            </w:r>
            <w:r>
              <w:rPr>
                <w:rFonts w:ascii="Arial" w:cs="Arial" w:eastAsia="Arial" w:hAnsi="Arial"/>
                <w:sz w:val="21"/>
                <w:szCs w:val="21"/>
                <w:color w:val="auto"/>
                <w:vertAlign w:val="superscript"/>
              </w:rPr>
              <w:t>(1)(2)(3)</w:t>
            </w:r>
          </w:p>
        </w:tc>
        <w:tc>
          <w:tcPr>
            <w:tcW w:w="1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156,870</w:t>
            </w:r>
          </w:p>
        </w:tc>
        <w:tc>
          <w:tcPr>
            <w:tcW w:w="1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129,493</w:t>
            </w: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449,296</w:t>
            </w:r>
          </w:p>
        </w:tc>
        <w:tc>
          <w:tcPr>
            <w:tcW w:w="1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345,929</w:t>
            </w:r>
          </w:p>
        </w:tc>
        <w:tc>
          <w:tcPr>
            <w:tcW w:w="0" w:type="dxa"/>
            <w:vAlign w:val="bottom"/>
          </w:tcPr>
          <w:p>
            <w:pPr>
              <w:spacing w:after="0"/>
              <w:rPr>
                <w:sz w:val="1"/>
                <w:szCs w:val="1"/>
                <w:color w:val="auto"/>
              </w:rPr>
            </w:pPr>
          </w:p>
        </w:tc>
      </w:tr>
      <w:tr>
        <w:trPr>
          <w:trHeight w:val="270"/>
        </w:trPr>
        <w:tc>
          <w:tcPr>
            <w:tcW w:w="45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 xml:space="preserve">General and administrative </w:t>
            </w:r>
            <w:r>
              <w:rPr>
                <w:rFonts w:ascii="Arial" w:cs="Arial" w:eastAsia="Arial" w:hAnsi="Arial"/>
                <w:sz w:val="21"/>
                <w:szCs w:val="21"/>
                <w:color w:val="auto"/>
                <w:vertAlign w:val="superscript"/>
              </w:rPr>
              <w:t>(1)(3)</w:t>
            </w:r>
          </w:p>
        </w:tc>
        <w:tc>
          <w:tcPr>
            <w:tcW w:w="110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51,352</w:t>
            </w:r>
          </w:p>
        </w:tc>
        <w:tc>
          <w:tcPr>
            <w:tcW w:w="120" w:type="dxa"/>
            <w:vAlign w:val="bottom"/>
            <w:shd w:val="clear" w:color="auto" w:fill="CCEEFF"/>
          </w:tcPr>
          <w:p>
            <w:pPr>
              <w:spacing w:after="0"/>
              <w:rPr>
                <w:sz w:val="23"/>
                <w:szCs w:val="23"/>
                <w:color w:val="auto"/>
              </w:rPr>
            </w:pPr>
          </w:p>
        </w:tc>
        <w:tc>
          <w:tcPr>
            <w:tcW w:w="44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39,395</w:t>
            </w:r>
          </w:p>
        </w:tc>
        <w:tc>
          <w:tcPr>
            <w:tcW w:w="100" w:type="dxa"/>
            <w:vAlign w:val="bottom"/>
            <w:shd w:val="clear" w:color="auto" w:fill="CCEEFF"/>
          </w:tcPr>
          <w:p>
            <w:pPr>
              <w:spacing w:after="0"/>
              <w:rPr>
                <w:sz w:val="23"/>
                <w:szCs w:val="23"/>
                <w:color w:val="auto"/>
              </w:rPr>
            </w:pPr>
          </w:p>
        </w:tc>
        <w:tc>
          <w:tcPr>
            <w:tcW w:w="460" w:type="dxa"/>
            <w:vAlign w:val="bottom"/>
            <w:tcBorders>
              <w:bottom w:val="single" w:sz="8" w:color="auto"/>
            </w:tcBorders>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136,344</w:t>
            </w:r>
          </w:p>
        </w:tc>
        <w:tc>
          <w:tcPr>
            <w:tcW w:w="120" w:type="dxa"/>
            <w:vAlign w:val="bottom"/>
            <w:shd w:val="clear" w:color="auto" w:fill="CCEEFF"/>
          </w:tcPr>
          <w:p>
            <w:pPr>
              <w:spacing w:after="0"/>
              <w:rPr>
                <w:sz w:val="23"/>
                <w:szCs w:val="23"/>
                <w:color w:val="auto"/>
              </w:rPr>
            </w:pPr>
          </w:p>
        </w:tc>
        <w:tc>
          <w:tcPr>
            <w:tcW w:w="44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100,158</w:t>
            </w:r>
          </w:p>
        </w:tc>
        <w:tc>
          <w:tcPr>
            <w:tcW w:w="0" w:type="dxa"/>
            <w:vAlign w:val="bottom"/>
          </w:tcPr>
          <w:p>
            <w:pPr>
              <w:spacing w:after="0"/>
              <w:rPr>
                <w:sz w:val="1"/>
                <w:szCs w:val="1"/>
                <w:color w:val="auto"/>
              </w:rPr>
            </w:pPr>
          </w:p>
        </w:tc>
      </w:tr>
      <w:tr>
        <w:trPr>
          <w:trHeight w:val="250"/>
        </w:trPr>
        <w:tc>
          <w:tcPr>
            <w:tcW w:w="4520" w:type="dxa"/>
            <w:vAlign w:val="bottom"/>
            <w:tcBorders>
              <w:bottom w:val="single" w:sz="8" w:color="CCEEFF"/>
            </w:tcBorders>
          </w:tcPr>
          <w:p>
            <w:pPr>
              <w:ind w:left="480"/>
              <w:spacing w:after="0"/>
              <w:rPr>
                <w:sz w:val="20"/>
                <w:szCs w:val="20"/>
                <w:color w:val="auto"/>
              </w:rPr>
            </w:pPr>
            <w:r>
              <w:rPr>
                <w:rFonts w:ascii="Arial" w:cs="Arial" w:eastAsia="Arial" w:hAnsi="Arial"/>
                <w:sz w:val="18"/>
                <w:szCs w:val="18"/>
                <w:color w:val="auto"/>
              </w:rPr>
              <w:t>Total operating expenses</w:t>
            </w:r>
          </w:p>
        </w:tc>
        <w:tc>
          <w:tcPr>
            <w:tcW w:w="110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448,447</w:t>
            </w:r>
          </w:p>
        </w:tc>
        <w:tc>
          <w:tcPr>
            <w:tcW w:w="120" w:type="dxa"/>
            <w:vAlign w:val="bottom"/>
            <w:tcBorders>
              <w:bottom w:val="single" w:sz="8" w:color="CCEEFF"/>
            </w:tcBorders>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374,276</w:t>
            </w:r>
          </w:p>
        </w:tc>
        <w:tc>
          <w:tcPr>
            <w:tcW w:w="100" w:type="dxa"/>
            <w:vAlign w:val="bottom"/>
            <w:tcBorders>
              <w:bottom w:val="single" w:sz="8" w:color="CCEEFF"/>
            </w:tcBorders>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1,294,837</w:t>
            </w:r>
          </w:p>
        </w:tc>
        <w:tc>
          <w:tcPr>
            <w:tcW w:w="120" w:type="dxa"/>
            <w:vAlign w:val="bottom"/>
            <w:tcBorders>
              <w:bottom w:val="single" w:sz="8" w:color="CCEEFF"/>
            </w:tcBorders>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979,782</w:t>
            </w:r>
          </w:p>
        </w:tc>
        <w:tc>
          <w:tcPr>
            <w:tcW w:w="0" w:type="dxa"/>
            <w:vAlign w:val="bottom"/>
          </w:tcPr>
          <w:p>
            <w:pPr>
              <w:spacing w:after="0"/>
              <w:rPr>
                <w:sz w:val="1"/>
                <w:szCs w:val="1"/>
                <w:color w:val="auto"/>
              </w:rPr>
            </w:pPr>
          </w:p>
        </w:tc>
      </w:tr>
      <w:tr>
        <w:trPr>
          <w:trHeight w:val="250"/>
        </w:trPr>
        <w:tc>
          <w:tcPr>
            <w:tcW w:w="4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loss</w:t>
            </w:r>
          </w:p>
        </w:tc>
        <w:tc>
          <w:tcPr>
            <w:tcW w:w="1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(4,230)</w:t>
            </w:r>
          </w:p>
        </w:tc>
        <w:tc>
          <w:tcPr>
            <w:tcW w:w="12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(31,342)</w:t>
            </w:r>
          </w:p>
        </w:tc>
        <w:tc>
          <w:tcPr>
            <w:tcW w:w="10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(61,206)</w:t>
            </w:r>
          </w:p>
        </w:tc>
        <w:tc>
          <w:tcPr>
            <w:tcW w:w="12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(24,067)</w:t>
            </w:r>
          </w:p>
        </w:tc>
        <w:tc>
          <w:tcPr>
            <w:tcW w:w="0" w:type="dxa"/>
            <w:vAlign w:val="bottom"/>
          </w:tcPr>
          <w:p>
            <w:pPr>
              <w:spacing w:after="0"/>
              <w:rPr>
                <w:sz w:val="1"/>
                <w:szCs w:val="1"/>
                <w:color w:val="auto"/>
              </w:rPr>
            </w:pPr>
          </w:p>
        </w:tc>
      </w:tr>
      <w:tr>
        <w:trPr>
          <w:trHeight w:val="243"/>
        </w:trPr>
        <w:tc>
          <w:tcPr>
            <w:tcW w:w="4520" w:type="dxa"/>
            <w:vAlign w:val="bottom"/>
          </w:tcPr>
          <w:p>
            <w:pPr>
              <w:ind w:left="20"/>
              <w:spacing w:after="0"/>
              <w:rPr>
                <w:sz w:val="20"/>
                <w:szCs w:val="20"/>
                <w:color w:val="auto"/>
              </w:rPr>
            </w:pPr>
            <w:r>
              <w:rPr>
                <w:rFonts w:ascii="Arial" w:cs="Arial" w:eastAsia="Arial" w:hAnsi="Arial"/>
                <w:sz w:val="18"/>
                <w:szCs w:val="18"/>
                <w:color w:val="auto"/>
              </w:rPr>
              <w:t>Other income (loss):</w:t>
            </w:r>
          </w:p>
        </w:tc>
        <w:tc>
          <w:tcPr>
            <w:tcW w:w="1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5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5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 xml:space="preserve">Interest expense </w:t>
            </w:r>
            <w:r>
              <w:rPr>
                <w:rFonts w:ascii="Arial" w:cs="Arial" w:eastAsia="Arial" w:hAnsi="Arial"/>
                <w:sz w:val="21"/>
                <w:szCs w:val="21"/>
                <w:color w:val="auto"/>
                <w:vertAlign w:val="superscript"/>
              </w:rPr>
              <w:t>(4)</w:t>
            </w:r>
          </w:p>
        </w:tc>
        <w:tc>
          <w:tcPr>
            <w:tcW w:w="1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(1,303)</w:t>
            </w:r>
          </w:p>
        </w:tc>
        <w:tc>
          <w:tcPr>
            <w:tcW w:w="12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(3,728)</w:t>
            </w:r>
          </w:p>
        </w:tc>
        <w:tc>
          <w:tcPr>
            <w:tcW w:w="10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(5,010)</w:t>
            </w:r>
          </w:p>
        </w:tc>
        <w:tc>
          <w:tcPr>
            <w:tcW w:w="12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(13,516)</w:t>
            </w:r>
          </w:p>
        </w:tc>
        <w:tc>
          <w:tcPr>
            <w:tcW w:w="0" w:type="dxa"/>
            <w:vAlign w:val="bottom"/>
          </w:tcPr>
          <w:p>
            <w:pPr>
              <w:spacing w:after="0"/>
              <w:rPr>
                <w:sz w:val="1"/>
                <w:szCs w:val="1"/>
                <w:color w:val="auto"/>
              </w:rPr>
            </w:pPr>
          </w:p>
        </w:tc>
      </w:tr>
      <w:tr>
        <w:trPr>
          <w:trHeight w:val="270"/>
        </w:trPr>
        <w:tc>
          <w:tcPr>
            <w:tcW w:w="4520" w:type="dxa"/>
            <w:vAlign w:val="bottom"/>
            <w:tcBorders>
              <w:bottom w:val="single" w:sz="8" w:color="CCEEFF"/>
            </w:tcBorders>
          </w:tcPr>
          <w:p>
            <w:pPr>
              <w:ind w:left="260"/>
              <w:spacing w:after="0"/>
              <w:rPr>
                <w:sz w:val="20"/>
                <w:szCs w:val="20"/>
                <w:color w:val="auto"/>
              </w:rPr>
            </w:pPr>
            <w:r>
              <w:rPr>
                <w:rFonts w:ascii="Arial" w:cs="Arial" w:eastAsia="Arial" w:hAnsi="Arial"/>
                <w:sz w:val="18"/>
                <w:szCs w:val="18"/>
                <w:color w:val="auto"/>
              </w:rPr>
              <w:t>Interest income and other income, net</w:t>
            </w:r>
          </w:p>
        </w:tc>
        <w:tc>
          <w:tcPr>
            <w:tcW w:w="1100" w:type="dxa"/>
            <w:vAlign w:val="bottom"/>
            <w:tcBorders>
              <w:bottom w:val="single" w:sz="8" w:color="CCEEFF"/>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29,833</w:t>
            </w:r>
          </w:p>
        </w:tc>
        <w:tc>
          <w:tcPr>
            <w:tcW w:w="120" w:type="dxa"/>
            <w:vAlign w:val="bottom"/>
            <w:tcBorders>
              <w:bottom w:val="single" w:sz="8" w:color="CCEEFF"/>
            </w:tcBorders>
          </w:tcPr>
          <w:p>
            <w:pPr>
              <w:spacing w:after="0"/>
              <w:rPr>
                <w:sz w:val="23"/>
                <w:szCs w:val="23"/>
                <w:color w:val="auto"/>
              </w:rPr>
            </w:pPr>
          </w:p>
        </w:tc>
        <w:tc>
          <w:tcPr>
            <w:tcW w:w="44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12,011</w:t>
            </w:r>
          </w:p>
        </w:tc>
        <w:tc>
          <w:tcPr>
            <w:tcW w:w="100" w:type="dxa"/>
            <w:vAlign w:val="bottom"/>
            <w:tcBorders>
              <w:bottom w:val="single" w:sz="8" w:color="CCEEFF"/>
            </w:tcBorders>
          </w:tcPr>
          <w:p>
            <w:pPr>
              <w:spacing w:after="0"/>
              <w:rPr>
                <w:sz w:val="23"/>
                <w:szCs w:val="23"/>
                <w:color w:val="auto"/>
              </w:rPr>
            </w:pPr>
          </w:p>
        </w:tc>
        <w:tc>
          <w:tcPr>
            <w:tcW w:w="46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69,184</w:t>
            </w:r>
          </w:p>
        </w:tc>
        <w:tc>
          <w:tcPr>
            <w:tcW w:w="120" w:type="dxa"/>
            <w:vAlign w:val="bottom"/>
            <w:tcBorders>
              <w:bottom w:val="single" w:sz="8" w:color="CCEEFF"/>
            </w:tcBorders>
          </w:tcPr>
          <w:p>
            <w:pPr>
              <w:spacing w:after="0"/>
              <w:rPr>
                <w:sz w:val="23"/>
                <w:szCs w:val="23"/>
                <w:color w:val="auto"/>
              </w:rPr>
            </w:pPr>
          </w:p>
        </w:tc>
        <w:tc>
          <w:tcPr>
            <w:tcW w:w="44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25,367</w:t>
            </w:r>
          </w:p>
        </w:tc>
        <w:tc>
          <w:tcPr>
            <w:tcW w:w="0" w:type="dxa"/>
            <w:vAlign w:val="bottom"/>
          </w:tcPr>
          <w:p>
            <w:pPr>
              <w:spacing w:after="0"/>
              <w:rPr>
                <w:sz w:val="1"/>
                <w:szCs w:val="1"/>
                <w:color w:val="auto"/>
              </w:rPr>
            </w:pPr>
          </w:p>
        </w:tc>
      </w:tr>
      <w:tr>
        <w:trPr>
          <w:trHeight w:val="250"/>
        </w:trPr>
        <w:tc>
          <w:tcPr>
            <w:tcW w:w="4520" w:type="dxa"/>
            <w:vAlign w:val="bottom"/>
            <w:shd w:val="clear" w:color="auto" w:fill="CCEEFF"/>
          </w:tcPr>
          <w:p>
            <w:pPr>
              <w:ind w:left="480"/>
              <w:spacing w:after="0"/>
              <w:rPr>
                <w:sz w:val="20"/>
                <w:szCs w:val="20"/>
                <w:color w:val="auto"/>
              </w:rPr>
            </w:pPr>
            <w:r>
              <w:rPr>
                <w:rFonts w:ascii="Arial" w:cs="Arial" w:eastAsia="Arial" w:hAnsi="Arial"/>
                <w:sz w:val="18"/>
                <w:szCs w:val="18"/>
                <w:color w:val="auto"/>
              </w:rPr>
              <w:t>Other income, net</w:t>
            </w:r>
          </w:p>
        </w:tc>
        <w:tc>
          <w:tcPr>
            <w:tcW w:w="1100" w:type="dxa"/>
            <w:vAlign w:val="bottom"/>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28,530</w:t>
            </w:r>
          </w:p>
        </w:tc>
        <w:tc>
          <w:tcPr>
            <w:tcW w:w="120" w:type="dxa"/>
            <w:vAlign w:val="bottom"/>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8,283</w:t>
            </w:r>
          </w:p>
        </w:tc>
        <w:tc>
          <w:tcPr>
            <w:tcW w:w="100" w:type="dxa"/>
            <w:vAlign w:val="bottom"/>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64,174</w:t>
            </w:r>
          </w:p>
        </w:tc>
        <w:tc>
          <w:tcPr>
            <w:tcW w:w="120" w:type="dxa"/>
            <w:vAlign w:val="bottom"/>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11,851</w:t>
            </w:r>
          </w:p>
        </w:tc>
        <w:tc>
          <w:tcPr>
            <w:tcW w:w="0" w:type="dxa"/>
            <w:vAlign w:val="bottom"/>
          </w:tcPr>
          <w:p>
            <w:pPr>
              <w:spacing w:after="0"/>
              <w:rPr>
                <w:sz w:val="1"/>
                <w:szCs w:val="1"/>
                <w:color w:val="auto"/>
              </w:rPr>
            </w:pPr>
          </w:p>
        </w:tc>
      </w:tr>
      <w:tr>
        <w:trPr>
          <w:trHeight w:val="250"/>
        </w:trPr>
        <w:tc>
          <w:tcPr>
            <w:tcW w:w="4520" w:type="dxa"/>
            <w:vAlign w:val="bottom"/>
          </w:tcPr>
          <w:p>
            <w:pPr>
              <w:ind w:left="20"/>
              <w:spacing w:after="0"/>
              <w:rPr>
                <w:sz w:val="20"/>
                <w:szCs w:val="20"/>
                <w:color w:val="auto"/>
              </w:rPr>
            </w:pPr>
            <w:r>
              <w:rPr>
                <w:rFonts w:ascii="Arial" w:cs="Arial" w:eastAsia="Arial" w:hAnsi="Arial"/>
                <w:sz w:val="18"/>
                <w:szCs w:val="18"/>
                <w:color w:val="auto"/>
              </w:rPr>
              <w:t>Income (loss) before provision for income taxes</w:t>
            </w:r>
          </w:p>
        </w:tc>
        <w:tc>
          <w:tcPr>
            <w:tcW w:w="1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24,300</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(23,059)</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2,968</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(12,216)</w:t>
            </w:r>
          </w:p>
        </w:tc>
        <w:tc>
          <w:tcPr>
            <w:tcW w:w="0" w:type="dxa"/>
            <w:vAlign w:val="bottom"/>
          </w:tcPr>
          <w:p>
            <w:pPr>
              <w:spacing w:after="0"/>
              <w:rPr>
                <w:sz w:val="1"/>
                <w:szCs w:val="1"/>
                <w:color w:val="auto"/>
              </w:rPr>
            </w:pPr>
          </w:p>
        </w:tc>
      </w:tr>
      <w:tr>
        <w:trPr>
          <w:trHeight w:val="270"/>
        </w:trPr>
        <w:tc>
          <w:tcPr>
            <w:tcW w:w="4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Provision for income taxes</w:t>
            </w:r>
          </w:p>
        </w:tc>
        <w:tc>
          <w:tcPr>
            <w:tcW w:w="110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(1,670)</w:t>
            </w:r>
          </w:p>
        </w:tc>
        <w:tc>
          <w:tcPr>
            <w:tcW w:w="120" w:type="dxa"/>
            <w:vAlign w:val="bottom"/>
            <w:shd w:val="clear" w:color="auto" w:fill="CCEEFF"/>
          </w:tcPr>
          <w:p>
            <w:pPr>
              <w:spacing w:after="0"/>
              <w:rPr>
                <w:sz w:val="23"/>
                <w:szCs w:val="23"/>
                <w:color w:val="auto"/>
              </w:rPr>
            </w:pPr>
          </w:p>
        </w:tc>
        <w:tc>
          <w:tcPr>
            <w:tcW w:w="44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(2,926)</w:t>
            </w:r>
          </w:p>
        </w:tc>
        <w:tc>
          <w:tcPr>
            <w:tcW w:w="100" w:type="dxa"/>
            <w:vAlign w:val="bottom"/>
            <w:shd w:val="clear" w:color="auto" w:fill="CCEEFF"/>
          </w:tcPr>
          <w:p>
            <w:pPr>
              <w:spacing w:after="0"/>
              <w:rPr>
                <w:sz w:val="23"/>
                <w:szCs w:val="23"/>
                <w:color w:val="auto"/>
              </w:rPr>
            </w:pPr>
          </w:p>
        </w:tc>
        <w:tc>
          <w:tcPr>
            <w:tcW w:w="460" w:type="dxa"/>
            <w:vAlign w:val="bottom"/>
            <w:tcBorders>
              <w:bottom w:val="single" w:sz="8" w:color="auto"/>
            </w:tcBorders>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(8,393)</w:t>
            </w:r>
          </w:p>
        </w:tc>
        <w:tc>
          <w:tcPr>
            <w:tcW w:w="120" w:type="dxa"/>
            <w:vAlign w:val="bottom"/>
            <w:shd w:val="clear" w:color="auto" w:fill="CCEEFF"/>
          </w:tcPr>
          <w:p>
            <w:pPr>
              <w:spacing w:after="0"/>
              <w:rPr>
                <w:sz w:val="23"/>
                <w:szCs w:val="23"/>
                <w:color w:val="auto"/>
              </w:rPr>
            </w:pPr>
          </w:p>
        </w:tc>
        <w:tc>
          <w:tcPr>
            <w:tcW w:w="44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(8,910)</w:t>
            </w:r>
          </w:p>
        </w:tc>
        <w:tc>
          <w:tcPr>
            <w:tcW w:w="0" w:type="dxa"/>
            <w:vAlign w:val="bottom"/>
          </w:tcPr>
          <w:p>
            <w:pPr>
              <w:spacing w:after="0"/>
              <w:rPr>
                <w:sz w:val="1"/>
                <w:szCs w:val="1"/>
                <w:color w:val="auto"/>
              </w:rPr>
            </w:pPr>
          </w:p>
        </w:tc>
      </w:tr>
      <w:tr>
        <w:trPr>
          <w:trHeight w:val="223"/>
        </w:trPr>
        <w:tc>
          <w:tcPr>
            <w:tcW w:w="4520" w:type="dxa"/>
            <w:vAlign w:val="bottom"/>
          </w:tcPr>
          <w:p>
            <w:pPr>
              <w:ind w:left="20"/>
              <w:spacing w:after="0"/>
              <w:rPr>
                <w:sz w:val="20"/>
                <w:szCs w:val="20"/>
                <w:color w:val="auto"/>
              </w:rPr>
            </w:pPr>
            <w:r>
              <w:rPr>
                <w:rFonts w:ascii="Arial" w:cs="Arial" w:eastAsia="Arial" w:hAnsi="Arial"/>
                <w:sz w:val="18"/>
                <w:szCs w:val="18"/>
                <w:color w:val="auto"/>
              </w:rPr>
              <w:t>Net income (loss)</w:t>
            </w:r>
          </w:p>
        </w:tc>
        <w:tc>
          <w:tcPr>
            <w:tcW w:w="11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22,630</w:t>
            </w:r>
          </w:p>
        </w:tc>
        <w:tc>
          <w:tcPr>
            <w:tcW w:w="120" w:type="dxa"/>
            <w:vAlign w:val="bottom"/>
          </w:tcPr>
          <w:p>
            <w:pPr>
              <w:spacing w:after="0"/>
              <w:rPr>
                <w:sz w:val="19"/>
                <w:szCs w:val="19"/>
                <w:color w:val="auto"/>
              </w:rPr>
            </w:pPr>
          </w:p>
        </w:tc>
        <w:tc>
          <w:tcPr>
            <w:tcW w:w="4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(25,985)</w:t>
            </w:r>
          </w:p>
        </w:tc>
        <w:tc>
          <w:tcPr>
            <w:tcW w:w="100" w:type="dxa"/>
            <w:vAlign w:val="bottom"/>
          </w:tcPr>
          <w:p>
            <w:pPr>
              <w:spacing w:after="0"/>
              <w:rPr>
                <w:sz w:val="19"/>
                <w:szCs w:val="19"/>
                <w:color w:val="auto"/>
              </w:rPr>
            </w:pPr>
          </w:p>
        </w:tc>
        <w:tc>
          <w:tcPr>
            <w:tcW w:w="4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(5,425)</w:t>
            </w:r>
          </w:p>
        </w:tc>
        <w:tc>
          <w:tcPr>
            <w:tcW w:w="120" w:type="dxa"/>
            <w:vAlign w:val="bottom"/>
          </w:tcPr>
          <w:p>
            <w:pPr>
              <w:spacing w:after="0"/>
              <w:rPr>
                <w:sz w:val="19"/>
                <w:szCs w:val="19"/>
                <w:color w:val="auto"/>
              </w:rPr>
            </w:pPr>
          </w:p>
        </w:tc>
        <w:tc>
          <w:tcPr>
            <w:tcW w:w="4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(21,126)</w:t>
            </w:r>
          </w:p>
        </w:tc>
        <w:tc>
          <w:tcPr>
            <w:tcW w:w="0" w:type="dxa"/>
            <w:vAlign w:val="bottom"/>
          </w:tcPr>
          <w:p>
            <w:pPr>
              <w:spacing w:after="0"/>
              <w:rPr>
                <w:sz w:val="1"/>
                <w:szCs w:val="1"/>
                <w:color w:val="auto"/>
              </w:rPr>
            </w:pPr>
          </w:p>
        </w:tc>
      </w:tr>
      <w:tr>
        <w:trPr>
          <w:trHeight w:val="21"/>
        </w:trPr>
        <w:tc>
          <w:tcPr>
            <w:tcW w:w="4520" w:type="dxa"/>
            <w:vAlign w:val="bottom"/>
            <w:vMerge w:val="restart"/>
          </w:tcPr>
          <w:p>
            <w:pPr>
              <w:spacing w:after="0"/>
              <w:rPr>
                <w:sz w:val="20"/>
                <w:szCs w:val="20"/>
                <w:color w:val="auto"/>
              </w:rPr>
            </w:pPr>
            <w:r>
              <w:rPr>
                <w:rFonts w:ascii="Arial" w:cs="Arial" w:eastAsia="Arial" w:hAnsi="Arial"/>
                <w:sz w:val="18"/>
                <w:szCs w:val="18"/>
                <w:color w:val="auto"/>
              </w:rPr>
              <w:t>_________________</w:t>
            </w:r>
          </w:p>
        </w:tc>
        <w:tc>
          <w:tcPr>
            <w:tcW w:w="1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72"/>
        </w:trPr>
        <w:tc>
          <w:tcPr>
            <w:tcW w:w="4520" w:type="dxa"/>
            <w:vAlign w:val="bottom"/>
            <w:vMerge w:val="continue"/>
          </w:tcPr>
          <w:p>
            <w:pPr>
              <w:spacing w:after="0"/>
              <w:rPr>
                <w:sz w:val="23"/>
                <w:szCs w:val="23"/>
                <w:color w:val="auto"/>
              </w:rPr>
            </w:pPr>
          </w:p>
        </w:tc>
        <w:tc>
          <w:tcPr>
            <w:tcW w:w="1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82"/>
        </w:trPr>
        <w:tc>
          <w:tcPr>
            <w:tcW w:w="4520" w:type="dxa"/>
            <w:vAlign w:val="bottom"/>
          </w:tcPr>
          <w:p>
            <w:pPr>
              <w:spacing w:after="0"/>
              <w:rPr>
                <w:sz w:val="20"/>
                <w:szCs w:val="20"/>
                <w:color w:val="auto"/>
              </w:rPr>
            </w:pPr>
            <w:r>
              <w:rPr>
                <w:rFonts w:ascii="Arial" w:cs="Arial" w:eastAsia="Arial" w:hAnsi="Arial"/>
                <w:sz w:val="14"/>
                <w:szCs w:val="14"/>
                <w:color w:val="auto"/>
              </w:rPr>
              <w:t>(1)  Includes stock-based compensation expense as follows:</w:t>
            </w:r>
          </w:p>
        </w:tc>
        <w:tc>
          <w:tcPr>
            <w:tcW w:w="1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8"/>
        </w:trPr>
        <w:tc>
          <w:tcPr>
            <w:tcW w:w="452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2540" w:type="dxa"/>
            <w:vAlign w:val="bottom"/>
            <w:gridSpan w:val="5"/>
          </w:tcPr>
          <w:p>
            <w:pPr>
              <w:jc w:val="center"/>
              <w:ind w:right="420"/>
              <w:spacing w:after="0"/>
              <w:rPr>
                <w:sz w:val="20"/>
                <w:szCs w:val="20"/>
                <w:color w:val="auto"/>
              </w:rPr>
            </w:pPr>
            <w:r>
              <w:rPr>
                <w:rFonts w:ascii="Arial" w:cs="Arial" w:eastAsia="Arial" w:hAnsi="Arial"/>
                <w:sz w:val="14"/>
                <w:szCs w:val="14"/>
                <w:b w:val="1"/>
                <w:bCs w:val="1"/>
                <w:color w:val="auto"/>
                <w:w w:val="95"/>
              </w:rPr>
              <w:t>Three Months Ended</w:t>
            </w:r>
          </w:p>
        </w:tc>
        <w:tc>
          <w:tcPr>
            <w:tcW w:w="460" w:type="dxa"/>
            <w:vAlign w:val="bottom"/>
          </w:tcPr>
          <w:p>
            <w:pPr>
              <w:spacing w:after="0"/>
              <w:rPr>
                <w:sz w:val="23"/>
                <w:szCs w:val="23"/>
                <w:color w:val="auto"/>
              </w:rPr>
            </w:pPr>
          </w:p>
        </w:tc>
        <w:tc>
          <w:tcPr>
            <w:tcW w:w="2300" w:type="dxa"/>
            <w:vAlign w:val="bottom"/>
            <w:gridSpan w:val="4"/>
          </w:tcPr>
          <w:p>
            <w:pPr>
              <w:jc w:val="center"/>
              <w:ind w:right="412"/>
              <w:spacing w:after="0"/>
              <w:rPr>
                <w:sz w:val="20"/>
                <w:szCs w:val="20"/>
                <w:color w:val="auto"/>
              </w:rPr>
            </w:pPr>
            <w:r>
              <w:rPr>
                <w:rFonts w:ascii="Arial" w:cs="Arial" w:eastAsia="Arial" w:hAnsi="Arial"/>
                <w:sz w:val="14"/>
                <w:szCs w:val="14"/>
                <w:b w:val="1"/>
                <w:bCs w:val="1"/>
                <w:color w:val="auto"/>
                <w:w w:val="94"/>
              </w:rPr>
              <w:t>Nine Months Ended</w:t>
            </w:r>
          </w:p>
        </w:tc>
        <w:tc>
          <w:tcPr>
            <w:tcW w:w="0" w:type="dxa"/>
            <w:vAlign w:val="bottom"/>
          </w:tcPr>
          <w:p>
            <w:pPr>
              <w:spacing w:after="0"/>
              <w:rPr>
                <w:sz w:val="1"/>
                <w:szCs w:val="1"/>
                <w:color w:val="auto"/>
              </w:rPr>
            </w:pPr>
          </w:p>
        </w:tc>
      </w:tr>
      <w:tr>
        <w:trPr>
          <w:trHeight w:val="196"/>
        </w:trPr>
        <w:tc>
          <w:tcPr>
            <w:tcW w:w="45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gridSpan w:val="3"/>
          </w:tcPr>
          <w:p>
            <w:pPr>
              <w:jc w:val="center"/>
              <w:ind w:left="474"/>
              <w:spacing w:after="0"/>
              <w:rPr>
                <w:sz w:val="20"/>
                <w:szCs w:val="20"/>
                <w:color w:val="auto"/>
              </w:rPr>
            </w:pPr>
            <w:r>
              <w:rPr>
                <w:rFonts w:ascii="Arial" w:cs="Arial" w:eastAsia="Arial" w:hAnsi="Arial"/>
                <w:sz w:val="14"/>
                <w:szCs w:val="14"/>
                <w:b w:val="1"/>
                <w:bCs w:val="1"/>
                <w:color w:val="auto"/>
                <w:w w:val="91"/>
              </w:rPr>
              <w:t>September 30,</w:t>
            </w:r>
          </w:p>
        </w:tc>
        <w:tc>
          <w:tcPr>
            <w:tcW w:w="88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gridSpan w:val="3"/>
          </w:tcPr>
          <w:p>
            <w:pPr>
              <w:jc w:val="center"/>
              <w:ind w:left="334"/>
              <w:spacing w:after="0"/>
              <w:rPr>
                <w:sz w:val="20"/>
                <w:szCs w:val="20"/>
                <w:color w:val="auto"/>
              </w:rPr>
            </w:pPr>
            <w:r>
              <w:rPr>
                <w:rFonts w:ascii="Arial" w:cs="Arial" w:eastAsia="Arial" w:hAnsi="Arial"/>
                <w:sz w:val="14"/>
                <w:szCs w:val="14"/>
                <w:b w:val="1"/>
                <w:bCs w:val="1"/>
                <w:color w:val="auto"/>
                <w:w w:val="91"/>
              </w:rPr>
              <w:t>September 30,</w:t>
            </w:r>
          </w:p>
        </w:tc>
        <w:tc>
          <w:tcPr>
            <w:tcW w:w="8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5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rPr>
              <w:t>2023</w:t>
            </w:r>
          </w:p>
        </w:tc>
        <w:tc>
          <w:tcPr>
            <w:tcW w:w="12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2023</w:t>
            </w:r>
          </w:p>
        </w:tc>
        <w:tc>
          <w:tcPr>
            <w:tcW w:w="12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191"/>
        </w:trPr>
        <w:tc>
          <w:tcPr>
            <w:tcW w:w="45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44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thousands)</w:t>
            </w: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9"/>
        </w:trPr>
        <w:tc>
          <w:tcPr>
            <w:tcW w:w="4520" w:type="dxa"/>
            <w:vAlign w:val="bottom"/>
          </w:tcPr>
          <w:p>
            <w:pPr>
              <w:spacing w:after="0"/>
              <w:rPr>
                <w:sz w:val="3"/>
                <w:szCs w:val="3"/>
                <w:color w:val="auto"/>
              </w:rPr>
            </w:pPr>
          </w:p>
        </w:tc>
        <w:tc>
          <w:tcPr>
            <w:tcW w:w="1420" w:type="dxa"/>
            <w:vAlign w:val="bottom"/>
            <w:gridSpan w:val="2"/>
          </w:tcPr>
          <w:p>
            <w:pPr>
              <w:spacing w:after="0"/>
              <w:rPr>
                <w:sz w:val="3"/>
                <w:szCs w:val="3"/>
                <w:color w:val="auto"/>
              </w:rPr>
            </w:pPr>
          </w:p>
        </w:tc>
        <w:tc>
          <w:tcPr>
            <w:tcW w:w="1000" w:type="dxa"/>
            <w:vAlign w:val="bottom"/>
          </w:tcPr>
          <w:p>
            <w:pPr>
              <w:spacing w:after="0"/>
              <w:rPr>
                <w:sz w:val="3"/>
                <w:szCs w:val="3"/>
                <w:color w:val="auto"/>
              </w:rPr>
            </w:pPr>
          </w:p>
        </w:tc>
        <w:tc>
          <w:tcPr>
            <w:tcW w:w="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0" w:type="dxa"/>
            <w:vAlign w:val="bottom"/>
          </w:tcPr>
          <w:p>
            <w:pPr>
              <w:spacing w:after="0"/>
              <w:rPr>
                <w:sz w:val="3"/>
                <w:szCs w:val="3"/>
                <w:color w:val="auto"/>
              </w:rPr>
            </w:pPr>
          </w:p>
        </w:tc>
        <w:tc>
          <w:tcPr>
            <w:tcW w:w="460" w:type="dxa"/>
            <w:vAlign w:val="bottom"/>
          </w:tcPr>
          <w:p>
            <w:pPr>
              <w:spacing w:after="0"/>
              <w:rPr>
                <w:sz w:val="3"/>
                <w:szCs w:val="3"/>
                <w:color w:val="auto"/>
              </w:rPr>
            </w:pPr>
          </w:p>
        </w:tc>
        <w:tc>
          <w:tcPr>
            <w:tcW w:w="860" w:type="dxa"/>
            <w:vAlign w:val="bottom"/>
          </w:tcPr>
          <w:p>
            <w:pPr>
              <w:spacing w:after="0"/>
              <w:rPr>
                <w:sz w:val="3"/>
                <w:szCs w:val="3"/>
                <w:color w:val="auto"/>
              </w:rPr>
            </w:pPr>
          </w:p>
        </w:tc>
        <w:tc>
          <w:tcPr>
            <w:tcW w:w="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8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0"/>
        </w:trPr>
        <w:tc>
          <w:tcPr>
            <w:tcW w:w="4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Cost of revenue</w:t>
            </w:r>
          </w:p>
        </w:tc>
        <w:tc>
          <w:tcPr>
            <w:tcW w:w="1420" w:type="dxa"/>
            <w:vAlign w:val="bottom"/>
            <w:tcBorders>
              <w:bottom w:val="single" w:sz="8" w:color="CCEEFF"/>
            </w:tcBorders>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4,570</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3,165</w:t>
            </w:r>
          </w:p>
        </w:tc>
        <w:tc>
          <w:tcPr>
            <w:tcW w:w="100" w:type="dxa"/>
            <w:vAlign w:val="bottom"/>
            <w:tcBorders>
              <w:bottom w:val="single" w:sz="8" w:color="CFF0FC"/>
            </w:tcBorders>
            <w:shd w:val="clear" w:color="auto" w:fill="CFF0FC"/>
          </w:tcPr>
          <w:p>
            <w:pPr>
              <w:spacing w:after="0"/>
              <w:rPr>
                <w:sz w:val="21"/>
                <w:szCs w:val="21"/>
                <w:color w:val="auto"/>
              </w:rPr>
            </w:pPr>
          </w:p>
        </w:tc>
        <w:tc>
          <w:tcPr>
            <w:tcW w:w="460" w:type="dxa"/>
            <w:vAlign w:val="bottom"/>
            <w:tcBorders>
              <w:bottom w:val="single" w:sz="8" w:color="CFF0FC"/>
            </w:tcBorders>
            <w:shd w:val="clear" w:color="auto" w:fill="CFF0FC"/>
          </w:tcPr>
          <w:p>
            <w:pPr>
              <w:jc w:val="right"/>
              <w:ind w:right="25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12,452</w:t>
            </w:r>
          </w:p>
        </w:tc>
        <w:tc>
          <w:tcPr>
            <w:tcW w:w="120" w:type="dxa"/>
            <w:vAlign w:val="bottom"/>
            <w:tcBorders>
              <w:bottom w:val="single" w:sz="8" w:color="CFF0FC"/>
            </w:tcBorders>
            <w:shd w:val="clear" w:color="auto" w:fill="CFF0FC"/>
          </w:tcPr>
          <w:p>
            <w:pPr>
              <w:spacing w:after="0"/>
              <w:rPr>
                <w:sz w:val="21"/>
                <w:szCs w:val="21"/>
                <w:color w:val="auto"/>
              </w:rPr>
            </w:pPr>
          </w:p>
        </w:tc>
        <w:tc>
          <w:tcPr>
            <w:tcW w:w="440" w:type="dxa"/>
            <w:vAlign w:val="bottom"/>
            <w:tcBorders>
              <w:bottom w:val="single" w:sz="8" w:color="CFF0FC"/>
            </w:tcBorders>
            <w:shd w:val="clear" w:color="auto" w:fill="CFF0FC"/>
          </w:tcPr>
          <w:p>
            <w:pPr>
              <w:jc w:val="right"/>
              <w:ind w:right="25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7,173</w:t>
            </w:r>
          </w:p>
        </w:tc>
        <w:tc>
          <w:tcPr>
            <w:tcW w:w="0" w:type="dxa"/>
            <w:vAlign w:val="bottom"/>
          </w:tcPr>
          <w:p>
            <w:pPr>
              <w:spacing w:after="0"/>
              <w:rPr>
                <w:sz w:val="1"/>
                <w:szCs w:val="1"/>
                <w:color w:val="auto"/>
              </w:rPr>
            </w:pPr>
          </w:p>
        </w:tc>
      </w:tr>
      <w:tr>
        <w:trPr>
          <w:trHeight w:val="243"/>
        </w:trPr>
        <w:tc>
          <w:tcPr>
            <w:tcW w:w="4520" w:type="dxa"/>
            <w:vAlign w:val="bottom"/>
          </w:tcPr>
          <w:p>
            <w:pPr>
              <w:ind w:left="20"/>
              <w:spacing w:after="0"/>
              <w:rPr>
                <w:sz w:val="20"/>
                <w:szCs w:val="20"/>
                <w:color w:val="auto"/>
              </w:rPr>
            </w:pPr>
            <w:r>
              <w:rPr>
                <w:rFonts w:ascii="Arial" w:cs="Arial" w:eastAsia="Arial" w:hAnsi="Arial"/>
                <w:sz w:val="18"/>
                <w:szCs w:val="18"/>
                <w:color w:val="auto"/>
              </w:rPr>
              <w:t>Research and development</w:t>
            </w:r>
          </w:p>
        </w:tc>
        <w:tc>
          <w:tcPr>
            <w:tcW w:w="1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79,174</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65,321</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229,607</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163,326</w:t>
            </w:r>
          </w:p>
        </w:tc>
        <w:tc>
          <w:tcPr>
            <w:tcW w:w="0" w:type="dxa"/>
            <w:vAlign w:val="bottom"/>
          </w:tcPr>
          <w:p>
            <w:pPr>
              <w:spacing w:after="0"/>
              <w:rPr>
                <w:sz w:val="1"/>
                <w:szCs w:val="1"/>
                <w:color w:val="auto"/>
              </w:rPr>
            </w:pPr>
          </w:p>
        </w:tc>
      </w:tr>
      <w:tr>
        <w:trPr>
          <w:trHeight w:val="27"/>
        </w:trPr>
        <w:tc>
          <w:tcPr>
            <w:tcW w:w="45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Sales and marketing</w:t>
            </w:r>
          </w:p>
        </w:tc>
        <w:tc>
          <w:tcPr>
            <w:tcW w:w="1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26,159</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21,145</w:t>
            </w:r>
          </w:p>
        </w:tc>
        <w:tc>
          <w:tcPr>
            <w:tcW w:w="100" w:type="dxa"/>
            <w:vAlign w:val="bottom"/>
            <w:tcBorders>
              <w:bottom w:val="single" w:sz="8" w:color="CFF0FC"/>
            </w:tcBorders>
            <w:shd w:val="clear" w:color="auto" w:fill="CFF0FC"/>
          </w:tcPr>
          <w:p>
            <w:pPr>
              <w:spacing w:after="0"/>
              <w:rPr>
                <w:sz w:val="21"/>
                <w:szCs w:val="21"/>
                <w:color w:val="auto"/>
              </w:rPr>
            </w:pPr>
          </w:p>
        </w:tc>
        <w:tc>
          <w:tcPr>
            <w:tcW w:w="460" w:type="dxa"/>
            <w:vAlign w:val="bottom"/>
            <w:tcBorders>
              <w:bottom w:val="single" w:sz="8" w:color="CFF0FC"/>
            </w:tcBorders>
            <w:shd w:val="clear" w:color="auto" w:fill="CFF0FC"/>
          </w:tcPr>
          <w:p>
            <w:pPr>
              <w:spacing w:after="0"/>
              <w:rPr>
                <w:sz w:val="21"/>
                <w:szCs w:val="21"/>
                <w:color w:val="auto"/>
              </w:rPr>
            </w:pPr>
          </w:p>
        </w:tc>
        <w:tc>
          <w:tcPr>
            <w:tcW w:w="8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75,057</w:t>
            </w:r>
          </w:p>
        </w:tc>
        <w:tc>
          <w:tcPr>
            <w:tcW w:w="120" w:type="dxa"/>
            <w:vAlign w:val="bottom"/>
            <w:tcBorders>
              <w:bottom w:val="single" w:sz="8" w:color="CFF0FC"/>
            </w:tcBorders>
            <w:shd w:val="clear" w:color="auto" w:fill="CFF0FC"/>
          </w:tcPr>
          <w:p>
            <w:pPr>
              <w:spacing w:after="0"/>
              <w:rPr>
                <w:sz w:val="21"/>
                <w:szCs w:val="21"/>
                <w:color w:val="auto"/>
              </w:rPr>
            </w:pPr>
          </w:p>
        </w:tc>
        <w:tc>
          <w:tcPr>
            <w:tcW w:w="440" w:type="dxa"/>
            <w:vAlign w:val="bottom"/>
            <w:tcBorders>
              <w:bottom w:val="single" w:sz="8" w:color="CFF0FC"/>
            </w:tcBorders>
            <w:shd w:val="clear" w:color="auto" w:fill="CFF0FC"/>
          </w:tcPr>
          <w:p>
            <w:pPr>
              <w:spacing w:after="0"/>
              <w:rPr>
                <w:sz w:val="21"/>
                <w:szCs w:val="21"/>
                <w:color w:val="auto"/>
              </w:rPr>
            </w:pPr>
          </w:p>
        </w:tc>
        <w:tc>
          <w:tcPr>
            <w:tcW w:w="8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53,330</w:t>
            </w:r>
          </w:p>
        </w:tc>
        <w:tc>
          <w:tcPr>
            <w:tcW w:w="0" w:type="dxa"/>
            <w:vAlign w:val="bottom"/>
          </w:tcPr>
          <w:p>
            <w:pPr>
              <w:spacing w:after="0"/>
              <w:rPr>
                <w:sz w:val="1"/>
                <w:szCs w:val="1"/>
                <w:color w:val="auto"/>
              </w:rPr>
            </w:pPr>
          </w:p>
        </w:tc>
      </w:tr>
      <w:tr>
        <w:trPr>
          <w:trHeight w:val="243"/>
        </w:trPr>
        <w:tc>
          <w:tcPr>
            <w:tcW w:w="4520" w:type="dxa"/>
            <w:vAlign w:val="bottom"/>
          </w:tcPr>
          <w:p>
            <w:pPr>
              <w:ind w:left="20"/>
              <w:spacing w:after="0"/>
              <w:rPr>
                <w:sz w:val="20"/>
                <w:szCs w:val="20"/>
                <w:color w:val="auto"/>
              </w:rPr>
            </w:pPr>
            <w:r>
              <w:rPr>
                <w:rFonts w:ascii="Arial" w:cs="Arial" w:eastAsia="Arial" w:hAnsi="Arial"/>
                <w:sz w:val="18"/>
                <w:szCs w:val="18"/>
                <w:color w:val="auto"/>
              </w:rPr>
              <w:t>General and administrative</w:t>
            </w:r>
          </w:p>
        </w:tc>
        <w:tc>
          <w:tcPr>
            <w:tcW w:w="1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13,211</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11,731</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37,063</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26,816</w:t>
            </w:r>
          </w:p>
        </w:tc>
        <w:tc>
          <w:tcPr>
            <w:tcW w:w="0" w:type="dxa"/>
            <w:vAlign w:val="bottom"/>
          </w:tcPr>
          <w:p>
            <w:pPr>
              <w:spacing w:after="0"/>
              <w:rPr>
                <w:sz w:val="1"/>
                <w:szCs w:val="1"/>
                <w:color w:val="auto"/>
              </w:rPr>
            </w:pPr>
          </w:p>
        </w:tc>
      </w:tr>
      <w:tr>
        <w:trPr>
          <w:trHeight w:val="27"/>
        </w:trPr>
        <w:tc>
          <w:tcPr>
            <w:tcW w:w="4520" w:type="dxa"/>
            <w:vAlign w:val="bottom"/>
            <w:tcBorders>
              <w:bottom w:val="single" w:sz="8" w:color="CCEEFF"/>
            </w:tcBorders>
          </w:tcPr>
          <w:p>
            <w:pPr>
              <w:spacing w:after="0"/>
              <w:rPr>
                <w:sz w:val="2"/>
                <w:szCs w:val="2"/>
                <w:color w:val="auto"/>
              </w:rPr>
            </w:pPr>
          </w:p>
        </w:tc>
        <w:tc>
          <w:tcPr>
            <w:tcW w:w="1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FF0FC"/>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4"/>
        </w:trPr>
        <w:tc>
          <w:tcPr>
            <w:tcW w:w="45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w:t>
            </w:r>
          </w:p>
        </w:tc>
        <w:tc>
          <w:tcPr>
            <w:tcW w:w="142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123,114</w:t>
            </w:r>
          </w:p>
        </w:tc>
        <w:tc>
          <w:tcPr>
            <w:tcW w:w="120" w:type="dxa"/>
            <w:vAlign w:val="bottom"/>
            <w:shd w:val="clear" w:color="auto" w:fill="CCEEFF"/>
          </w:tcPr>
          <w:p>
            <w:pPr>
              <w:spacing w:after="0"/>
              <w:rPr>
                <w:sz w:val="24"/>
                <w:szCs w:val="24"/>
                <w:color w:val="auto"/>
              </w:rPr>
            </w:pPr>
          </w:p>
        </w:tc>
        <w:tc>
          <w:tcPr>
            <w:tcW w:w="4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101,362</w:t>
            </w:r>
          </w:p>
        </w:tc>
        <w:tc>
          <w:tcPr>
            <w:tcW w:w="100" w:type="dxa"/>
            <w:vAlign w:val="bottom"/>
            <w:shd w:val="clear" w:color="auto" w:fill="CFF0FC"/>
          </w:tcPr>
          <w:p>
            <w:pPr>
              <w:spacing w:after="0"/>
              <w:rPr>
                <w:sz w:val="24"/>
                <w:szCs w:val="24"/>
                <w:color w:val="auto"/>
              </w:rPr>
            </w:pPr>
          </w:p>
        </w:tc>
        <w:tc>
          <w:tcPr>
            <w:tcW w:w="460" w:type="dxa"/>
            <w:vAlign w:val="bottom"/>
            <w:shd w:val="clear" w:color="auto" w:fill="CFF0FC"/>
          </w:tcPr>
          <w:p>
            <w:pPr>
              <w:jc w:val="right"/>
              <w:ind w:right="25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354,179</w:t>
            </w:r>
          </w:p>
        </w:tc>
        <w:tc>
          <w:tcPr>
            <w:tcW w:w="120" w:type="dxa"/>
            <w:vAlign w:val="bottom"/>
            <w:shd w:val="clear" w:color="auto" w:fill="CFF0FC"/>
          </w:tcPr>
          <w:p>
            <w:pPr>
              <w:spacing w:after="0"/>
              <w:rPr>
                <w:sz w:val="24"/>
                <w:szCs w:val="24"/>
                <w:color w:val="auto"/>
              </w:rPr>
            </w:pPr>
          </w:p>
        </w:tc>
        <w:tc>
          <w:tcPr>
            <w:tcW w:w="440" w:type="dxa"/>
            <w:vAlign w:val="bottom"/>
            <w:shd w:val="clear" w:color="auto" w:fill="CFF0FC"/>
          </w:tcPr>
          <w:p>
            <w:pPr>
              <w:jc w:val="right"/>
              <w:ind w:right="25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250,645</w:t>
            </w:r>
          </w:p>
        </w:tc>
        <w:tc>
          <w:tcPr>
            <w:tcW w:w="0" w:type="dxa"/>
            <w:vAlign w:val="bottom"/>
          </w:tcPr>
          <w:p>
            <w:pPr>
              <w:spacing w:after="0"/>
              <w:rPr>
                <w:sz w:val="1"/>
                <w:szCs w:val="1"/>
                <w:color w:val="auto"/>
              </w:rPr>
            </w:pPr>
          </w:p>
        </w:tc>
      </w:tr>
      <w:tr>
        <w:trPr>
          <w:trHeight w:val="20"/>
        </w:trPr>
        <w:tc>
          <w:tcPr>
            <w:tcW w:w="452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_________________</w:t>
            </w:r>
          </w:p>
        </w:tc>
        <w:tc>
          <w:tcPr>
            <w:tcW w:w="1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1"/>
        </w:trPr>
        <w:tc>
          <w:tcPr>
            <w:tcW w:w="4520" w:type="dxa"/>
            <w:vAlign w:val="bottom"/>
            <w:vMerge w:val="continue"/>
          </w:tcPr>
          <w:p>
            <w:pPr>
              <w:spacing w:after="0"/>
              <w:rPr>
                <w:sz w:val="23"/>
                <w:szCs w:val="23"/>
                <w:color w:val="auto"/>
              </w:rPr>
            </w:pPr>
          </w:p>
        </w:tc>
        <w:tc>
          <w:tcPr>
            <w:tcW w:w="1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769"/>
        </w:trPr>
        <w:tc>
          <w:tcPr>
            <w:tcW w:w="4520" w:type="dxa"/>
            <w:vAlign w:val="bottom"/>
          </w:tcPr>
          <w:p>
            <w:pPr>
              <w:spacing w:after="0"/>
              <w:rPr>
                <w:sz w:val="24"/>
                <w:szCs w:val="24"/>
                <w:color w:val="auto"/>
              </w:rPr>
            </w:pPr>
          </w:p>
        </w:tc>
        <w:tc>
          <w:tcPr>
            <w:tcW w:w="1420" w:type="dxa"/>
            <w:vAlign w:val="bottom"/>
            <w:gridSpan w:val="2"/>
          </w:tcPr>
          <w:p>
            <w:pPr>
              <w:jc w:val="right"/>
              <w:ind w:right="130"/>
              <w:spacing w:after="0"/>
              <w:rPr>
                <w:sz w:val="20"/>
                <w:szCs w:val="20"/>
                <w:color w:val="auto"/>
              </w:rPr>
            </w:pPr>
            <w:r>
              <w:rPr>
                <w:rFonts w:ascii="Arial" w:cs="Arial" w:eastAsia="Arial" w:hAnsi="Arial"/>
                <w:sz w:val="18"/>
                <w:szCs w:val="18"/>
                <w:color w:val="auto"/>
              </w:rPr>
              <w:t>28</w:t>
            </w: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52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13" w:right="339" w:bottom="1440" w:gutter="0" w:footer="0" w:header="0"/>
        </w:sectPr>
      </w:pPr>
    </w:p>
    <w:bookmarkStart w:id="29" w:name="page30"/>
    <w:bookmarkEnd w:id="29"/>
    <w:p>
      <w:pPr>
        <w:ind w:left="320" w:hanging="312"/>
        <w:spacing w:after="0"/>
        <w:tabs>
          <w:tab w:leader="none" w:pos="320" w:val="left"/>
        </w:tabs>
        <w:numPr>
          <w:ilvl w:val="0"/>
          <w:numId w:val="8"/>
        </w:numPr>
        <w:rPr>
          <w:rFonts w:ascii="Arial" w:cs="Arial" w:eastAsia="Arial" w:hAnsi="Arial"/>
          <w:sz w:val="14"/>
          <w:szCs w:val="14"/>
          <w:color w:val="auto"/>
        </w:rPr>
      </w:pPr>
      <w:r>
        <w:rPr>
          <w:rFonts w:ascii="Arial" w:cs="Arial" w:eastAsia="Arial" w:hAnsi="Arial"/>
          <w:sz w:val="14"/>
          <w:szCs w:val="14"/>
          <w:color w:val="auto"/>
        </w:rPr>
        <w:t>Includes amortization of acquired intangibles expense as follows:</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660" w:type="dxa"/>
            <w:vAlign w:val="bottom"/>
          </w:tcPr>
          <w:p>
            <w:pPr>
              <w:spacing w:after="0"/>
              <w:rPr>
                <w:sz w:val="15"/>
                <w:szCs w:val="15"/>
                <w:color w:val="auto"/>
              </w:rPr>
            </w:pPr>
          </w:p>
        </w:tc>
        <w:tc>
          <w:tcPr>
            <w:tcW w:w="2220" w:type="dxa"/>
            <w:vAlign w:val="bottom"/>
            <w:gridSpan w:val="4"/>
          </w:tcPr>
          <w:p>
            <w:pPr>
              <w:jc w:val="right"/>
              <w:ind w:right="136"/>
              <w:spacing w:after="0"/>
              <w:rPr>
                <w:sz w:val="20"/>
                <w:szCs w:val="20"/>
                <w:color w:val="auto"/>
              </w:rPr>
            </w:pPr>
            <w:r>
              <w:rPr>
                <w:rFonts w:ascii="Arial" w:cs="Arial" w:eastAsia="Arial" w:hAnsi="Arial"/>
                <w:sz w:val="14"/>
                <w:szCs w:val="14"/>
                <w:b w:val="1"/>
                <w:bCs w:val="1"/>
                <w:color w:val="auto"/>
              </w:rPr>
              <w:t>Three Months Ended</w:t>
            </w: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300" w:type="dxa"/>
            <w:vAlign w:val="bottom"/>
            <w:gridSpan w:val="4"/>
          </w:tcPr>
          <w:p>
            <w:pPr>
              <w:jc w:val="right"/>
              <w:ind w:right="695"/>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86"/>
        </w:trPr>
        <w:tc>
          <w:tcPr>
            <w:tcW w:w="56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420" w:type="dxa"/>
            <w:vAlign w:val="bottom"/>
            <w:gridSpan w:val="3"/>
          </w:tcPr>
          <w:p>
            <w:pPr>
              <w:jc w:val="right"/>
              <w:ind w:right="336"/>
              <w:spacing w:after="0"/>
              <w:rPr>
                <w:sz w:val="20"/>
                <w:szCs w:val="20"/>
                <w:color w:val="auto"/>
              </w:rPr>
            </w:pPr>
            <w:r>
              <w:rPr>
                <w:rFonts w:ascii="Arial" w:cs="Arial" w:eastAsia="Arial" w:hAnsi="Arial"/>
                <w:sz w:val="14"/>
                <w:szCs w:val="14"/>
                <w:b w:val="1"/>
                <w:bCs w:val="1"/>
                <w:color w:val="auto"/>
              </w:rPr>
              <w:t>September 30,</w:t>
            </w: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420" w:type="dxa"/>
            <w:vAlign w:val="bottom"/>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9"/>
        </w:trPr>
        <w:tc>
          <w:tcPr>
            <w:tcW w:w="5660" w:type="dxa"/>
            <w:vAlign w:val="bottom"/>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4"/>
        </w:trPr>
        <w:tc>
          <w:tcPr>
            <w:tcW w:w="566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b w:val="1"/>
                <w:bCs w:val="1"/>
                <w:color w:val="auto"/>
              </w:rPr>
              <w:t>2023</w:t>
            </w: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2022</w:t>
            </w: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60" w:type="dxa"/>
            <w:vAlign w:val="bottom"/>
          </w:tcPr>
          <w:p>
            <w:pPr>
              <w:jc w:val="right"/>
              <w:ind w:right="419"/>
              <w:spacing w:after="0"/>
              <w:rPr>
                <w:sz w:val="20"/>
                <w:szCs w:val="20"/>
                <w:color w:val="auto"/>
              </w:rPr>
            </w:pPr>
            <w:r>
              <w:rPr>
                <w:rFonts w:ascii="Arial" w:cs="Arial" w:eastAsia="Arial" w:hAnsi="Arial"/>
                <w:sz w:val="14"/>
                <w:szCs w:val="14"/>
                <w:b w:val="1"/>
                <w:bCs w:val="1"/>
                <w:color w:val="auto"/>
              </w:rPr>
              <w:t>2023</w:t>
            </w: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80" w:type="dxa"/>
            <w:vAlign w:val="bottom"/>
          </w:tcPr>
          <w:p>
            <w:pPr>
              <w:jc w:val="right"/>
              <w:ind w:right="435"/>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39"/>
        </w:trPr>
        <w:tc>
          <w:tcPr>
            <w:tcW w:w="5660" w:type="dxa"/>
            <w:vAlign w:val="bottom"/>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gridSpan w:val="3"/>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98"/>
        </w:trPr>
        <w:tc>
          <w:tcPr>
            <w:tcW w:w="56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60" w:type="dxa"/>
            <w:vAlign w:val="bottom"/>
            <w:gridSpan w:val="3"/>
          </w:tcPr>
          <w:p>
            <w:pPr>
              <w:jc w:val="right"/>
              <w:ind w:right="60"/>
              <w:spacing w:after="0"/>
              <w:rPr>
                <w:sz w:val="20"/>
                <w:szCs w:val="20"/>
                <w:color w:val="auto"/>
              </w:rPr>
            </w:pPr>
            <w:r>
              <w:rPr>
                <w:rFonts w:ascii="Arial" w:cs="Arial" w:eastAsia="Arial" w:hAnsi="Arial"/>
                <w:sz w:val="14"/>
                <w:szCs w:val="14"/>
                <w:b w:val="1"/>
                <w:bCs w:val="1"/>
                <w:color w:val="auto"/>
              </w:rPr>
              <w:t>(in thousands)</w:t>
            </w: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3"/>
        </w:trPr>
        <w:tc>
          <w:tcPr>
            <w:tcW w:w="5660" w:type="dxa"/>
            <w:vAlign w:val="bottom"/>
          </w:tcPr>
          <w:p>
            <w:pPr>
              <w:spacing w:after="0"/>
              <w:rPr>
                <w:sz w:val="4"/>
                <w:szCs w:val="4"/>
                <w:color w:val="auto"/>
              </w:rPr>
            </w:pPr>
          </w:p>
        </w:tc>
        <w:tc>
          <w:tcPr>
            <w:tcW w:w="800" w:type="dxa"/>
            <w:vAlign w:val="bottom"/>
          </w:tcPr>
          <w:p>
            <w:pPr>
              <w:spacing w:after="0"/>
              <w:rPr>
                <w:sz w:val="4"/>
                <w:szCs w:val="4"/>
                <w:color w:val="auto"/>
              </w:rPr>
            </w:pPr>
          </w:p>
        </w:tc>
        <w:tc>
          <w:tcPr>
            <w:tcW w:w="500" w:type="dxa"/>
            <w:vAlign w:val="bottom"/>
          </w:tcPr>
          <w:p>
            <w:pPr>
              <w:spacing w:after="0"/>
              <w:rPr>
                <w:sz w:val="4"/>
                <w:szCs w:val="4"/>
                <w:color w:val="auto"/>
              </w:rPr>
            </w:pPr>
          </w:p>
        </w:tc>
        <w:tc>
          <w:tcPr>
            <w:tcW w:w="100" w:type="dxa"/>
            <w:vAlign w:val="bottom"/>
          </w:tcPr>
          <w:p>
            <w:pPr>
              <w:spacing w:after="0"/>
              <w:rPr>
                <w:sz w:val="4"/>
                <w:szCs w:val="4"/>
                <w:color w:val="auto"/>
              </w:rPr>
            </w:pPr>
          </w:p>
        </w:tc>
        <w:tc>
          <w:tcPr>
            <w:tcW w:w="820" w:type="dxa"/>
            <w:vAlign w:val="bottom"/>
          </w:tcPr>
          <w:p>
            <w:pPr>
              <w:spacing w:after="0"/>
              <w:rPr>
                <w:sz w:val="4"/>
                <w:szCs w:val="4"/>
                <w:color w:val="auto"/>
              </w:rPr>
            </w:pPr>
          </w:p>
        </w:tc>
        <w:tc>
          <w:tcPr>
            <w:tcW w:w="500" w:type="dxa"/>
            <w:vAlign w:val="bottom"/>
          </w:tcPr>
          <w:p>
            <w:pPr>
              <w:spacing w:after="0"/>
              <w:rPr>
                <w:sz w:val="4"/>
                <w:szCs w:val="4"/>
                <w:color w:val="auto"/>
              </w:rPr>
            </w:pPr>
          </w:p>
        </w:tc>
        <w:tc>
          <w:tcPr>
            <w:tcW w:w="100" w:type="dxa"/>
            <w:vAlign w:val="bottom"/>
          </w:tcPr>
          <w:p>
            <w:pPr>
              <w:spacing w:after="0"/>
              <w:rPr>
                <w:sz w:val="4"/>
                <w:szCs w:val="4"/>
                <w:color w:val="auto"/>
              </w:rPr>
            </w:pPr>
          </w:p>
        </w:tc>
        <w:tc>
          <w:tcPr>
            <w:tcW w:w="460" w:type="dxa"/>
            <w:vAlign w:val="bottom"/>
          </w:tcPr>
          <w:p>
            <w:pPr>
              <w:spacing w:after="0"/>
              <w:rPr>
                <w:sz w:val="4"/>
                <w:szCs w:val="4"/>
                <w:color w:val="auto"/>
              </w:rPr>
            </w:pPr>
          </w:p>
        </w:tc>
        <w:tc>
          <w:tcPr>
            <w:tcW w:w="860" w:type="dxa"/>
            <w:vAlign w:val="bottom"/>
          </w:tcPr>
          <w:p>
            <w:pPr>
              <w:spacing w:after="0"/>
              <w:rPr>
                <w:sz w:val="4"/>
                <w:szCs w:val="4"/>
                <w:color w:val="auto"/>
              </w:rPr>
            </w:pPr>
          </w:p>
        </w:tc>
        <w:tc>
          <w:tcPr>
            <w:tcW w:w="120" w:type="dxa"/>
            <w:vAlign w:val="bottom"/>
          </w:tcPr>
          <w:p>
            <w:pPr>
              <w:spacing w:after="0"/>
              <w:rPr>
                <w:sz w:val="4"/>
                <w:szCs w:val="4"/>
                <w:color w:val="auto"/>
              </w:rPr>
            </w:pPr>
          </w:p>
        </w:tc>
        <w:tc>
          <w:tcPr>
            <w:tcW w:w="440" w:type="dxa"/>
            <w:vAlign w:val="bottom"/>
          </w:tcPr>
          <w:p>
            <w:pPr>
              <w:spacing w:after="0"/>
              <w:rPr>
                <w:sz w:val="4"/>
                <w:szCs w:val="4"/>
                <w:color w:val="auto"/>
              </w:rPr>
            </w:pPr>
          </w:p>
        </w:tc>
        <w:tc>
          <w:tcPr>
            <w:tcW w:w="8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5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Cost of revenue</w:t>
            </w:r>
          </w:p>
        </w:tc>
        <w:tc>
          <w:tcPr>
            <w:tcW w:w="800" w:type="dxa"/>
            <w:vAlign w:val="bottom"/>
            <w:tcBorders>
              <w:bottom w:val="single" w:sz="8" w:color="CCEEFF"/>
            </w:tcBorders>
            <w:shd w:val="clear" w:color="auto" w:fill="CCEEFF"/>
          </w:tcPr>
          <w:p>
            <w:pPr>
              <w:jc w:val="right"/>
              <w:ind w:right="619"/>
              <w:spacing w:after="0"/>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8"/>
              </w:rPr>
              <w:t>1,974</w:t>
            </w:r>
          </w:p>
        </w:tc>
        <w:tc>
          <w:tcPr>
            <w:tcW w:w="1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616"/>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8"/>
              </w:rPr>
              <w:t>1,900</w:t>
            </w:r>
          </w:p>
        </w:tc>
        <w:tc>
          <w:tcPr>
            <w:tcW w:w="560" w:type="dxa"/>
            <w:vAlign w:val="bottom"/>
            <w:tcBorders>
              <w:bottom w:val="single" w:sz="8" w:color="CFF0FC"/>
            </w:tcBorders>
            <w:gridSpan w:val="2"/>
            <w:shd w:val="clear" w:color="auto" w:fill="CFF0FC"/>
          </w:tcPr>
          <w:p>
            <w:pPr>
              <w:jc w:val="right"/>
              <w:ind w:right="34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6,054</w:t>
            </w:r>
          </w:p>
        </w:tc>
        <w:tc>
          <w:tcPr>
            <w:tcW w:w="120" w:type="dxa"/>
            <w:vAlign w:val="bottom"/>
            <w:tcBorders>
              <w:bottom w:val="single" w:sz="8" w:color="CFF0FC"/>
            </w:tcBorders>
            <w:shd w:val="clear" w:color="auto" w:fill="CFF0FC"/>
          </w:tcPr>
          <w:p>
            <w:pPr>
              <w:spacing w:after="0"/>
              <w:rPr>
                <w:sz w:val="21"/>
                <w:szCs w:val="21"/>
                <w:color w:val="auto"/>
              </w:rPr>
            </w:pPr>
          </w:p>
        </w:tc>
        <w:tc>
          <w:tcPr>
            <w:tcW w:w="440" w:type="dxa"/>
            <w:vAlign w:val="bottom"/>
            <w:tcBorders>
              <w:bottom w:val="single" w:sz="8" w:color="CFF0FC"/>
            </w:tcBorders>
            <w:shd w:val="clear" w:color="auto" w:fill="CFF0FC"/>
          </w:tcPr>
          <w:p>
            <w:pPr>
              <w:jc w:val="right"/>
              <w:ind w:right="25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4,795</w:t>
            </w:r>
          </w:p>
        </w:tc>
        <w:tc>
          <w:tcPr>
            <w:tcW w:w="0" w:type="dxa"/>
            <w:vAlign w:val="bottom"/>
          </w:tcPr>
          <w:p>
            <w:pPr>
              <w:spacing w:after="0"/>
              <w:rPr>
                <w:sz w:val="1"/>
                <w:szCs w:val="1"/>
                <w:color w:val="auto"/>
              </w:rPr>
            </w:pPr>
          </w:p>
        </w:tc>
      </w:tr>
      <w:tr>
        <w:trPr>
          <w:trHeight w:val="243"/>
        </w:trPr>
        <w:tc>
          <w:tcPr>
            <w:tcW w:w="5660" w:type="dxa"/>
            <w:vAlign w:val="bottom"/>
          </w:tcPr>
          <w:p>
            <w:pPr>
              <w:ind w:left="20"/>
              <w:spacing w:after="0"/>
              <w:rPr>
                <w:sz w:val="20"/>
                <w:szCs w:val="20"/>
                <w:color w:val="auto"/>
              </w:rPr>
            </w:pPr>
            <w:r>
              <w:rPr>
                <w:rFonts w:ascii="Arial" w:cs="Arial" w:eastAsia="Arial" w:hAnsi="Arial"/>
                <w:sz w:val="18"/>
                <w:szCs w:val="18"/>
                <w:color w:val="auto"/>
              </w:rPr>
              <w:t>Sales and marketing</w:t>
            </w:r>
          </w:p>
        </w:tc>
        <w:tc>
          <w:tcPr>
            <w:tcW w:w="80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208</w:t>
            </w:r>
          </w:p>
        </w:tc>
        <w:tc>
          <w:tcPr>
            <w:tcW w:w="1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208</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617</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617</w:t>
            </w:r>
          </w:p>
        </w:tc>
        <w:tc>
          <w:tcPr>
            <w:tcW w:w="0" w:type="dxa"/>
            <w:vAlign w:val="bottom"/>
          </w:tcPr>
          <w:p>
            <w:pPr>
              <w:spacing w:after="0"/>
              <w:rPr>
                <w:sz w:val="1"/>
                <w:szCs w:val="1"/>
                <w:color w:val="auto"/>
              </w:rPr>
            </w:pPr>
          </w:p>
        </w:tc>
      </w:tr>
      <w:tr>
        <w:trPr>
          <w:trHeight w:val="27"/>
        </w:trPr>
        <w:tc>
          <w:tcPr>
            <w:tcW w:w="566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FF0FC"/>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3"/>
        </w:trPr>
        <w:tc>
          <w:tcPr>
            <w:tcW w:w="56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w:t>
            </w:r>
          </w:p>
        </w:tc>
        <w:tc>
          <w:tcPr>
            <w:tcW w:w="800" w:type="dxa"/>
            <w:vAlign w:val="bottom"/>
            <w:shd w:val="clear" w:color="auto" w:fill="CCEEFF"/>
          </w:tcPr>
          <w:p>
            <w:pPr>
              <w:jc w:val="right"/>
              <w:ind w:right="619"/>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2,182</w:t>
            </w:r>
          </w:p>
        </w:tc>
        <w:tc>
          <w:tcPr>
            <w:tcW w:w="10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616"/>
              <w:spacing w:after="0"/>
              <w:rPr>
                <w:sz w:val="20"/>
                <w:szCs w:val="20"/>
                <w:color w:val="auto"/>
              </w:rPr>
            </w:pPr>
            <w:r>
              <w:rPr>
                <w:rFonts w:ascii="Arial" w:cs="Arial" w:eastAsia="Arial" w:hAnsi="Arial"/>
                <w:sz w:val="18"/>
                <w:szCs w:val="18"/>
                <w:color w:val="auto"/>
                <w:w w:val="9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2,108</w:t>
            </w:r>
          </w:p>
        </w:tc>
        <w:tc>
          <w:tcPr>
            <w:tcW w:w="560" w:type="dxa"/>
            <w:vAlign w:val="bottom"/>
            <w:gridSpan w:val="2"/>
            <w:shd w:val="clear" w:color="auto" w:fill="CFF0FC"/>
          </w:tcPr>
          <w:p>
            <w:pPr>
              <w:jc w:val="right"/>
              <w:ind w:right="340"/>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6,671</w:t>
            </w:r>
          </w:p>
        </w:tc>
        <w:tc>
          <w:tcPr>
            <w:tcW w:w="120" w:type="dxa"/>
            <w:vAlign w:val="bottom"/>
            <w:shd w:val="clear" w:color="auto" w:fill="CFF0FC"/>
          </w:tcPr>
          <w:p>
            <w:pPr>
              <w:spacing w:after="0"/>
              <w:rPr>
                <w:sz w:val="24"/>
                <w:szCs w:val="24"/>
                <w:color w:val="auto"/>
              </w:rPr>
            </w:pPr>
          </w:p>
        </w:tc>
        <w:tc>
          <w:tcPr>
            <w:tcW w:w="440" w:type="dxa"/>
            <w:vAlign w:val="bottom"/>
            <w:shd w:val="clear" w:color="auto" w:fill="CFF0FC"/>
          </w:tcPr>
          <w:p>
            <w:pPr>
              <w:jc w:val="right"/>
              <w:ind w:right="25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5,412</w:t>
            </w:r>
          </w:p>
        </w:tc>
        <w:tc>
          <w:tcPr>
            <w:tcW w:w="0" w:type="dxa"/>
            <w:vAlign w:val="bottom"/>
          </w:tcPr>
          <w:p>
            <w:pPr>
              <w:spacing w:after="0"/>
              <w:rPr>
                <w:sz w:val="1"/>
                <w:szCs w:val="1"/>
                <w:color w:val="auto"/>
              </w:rPr>
            </w:pPr>
          </w:p>
        </w:tc>
      </w:tr>
      <w:tr>
        <w:trPr>
          <w:trHeight w:val="20"/>
        </w:trPr>
        <w:tc>
          <w:tcPr>
            <w:tcW w:w="566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_________________</w:t>
            </w:r>
          </w:p>
        </w:tc>
        <w:tc>
          <w:tcPr>
            <w:tcW w:w="8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8"/>
        </w:trPr>
        <w:tc>
          <w:tcPr>
            <w:tcW w:w="5660" w:type="dxa"/>
            <w:vAlign w:val="bottom"/>
            <w:vMerge w:val="continue"/>
          </w:tcPr>
          <w:p>
            <w:pPr>
              <w:spacing w:after="0"/>
              <w:rPr>
                <w:sz w:val="24"/>
                <w:szCs w:val="24"/>
                <w:color w:val="auto"/>
              </w:rPr>
            </w:pPr>
          </w:p>
        </w:tc>
        <w:tc>
          <w:tcPr>
            <w:tcW w:w="8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rPr>
          <w:sz w:val="20"/>
          <w:szCs w:val="20"/>
          <w:color w:val="auto"/>
        </w:rPr>
      </w:pPr>
      <w:r>
        <w:rPr>
          <w:rFonts w:ascii="Arial" w:cs="Arial" w:eastAsia="Arial" w:hAnsi="Arial"/>
          <w:sz w:val="14"/>
          <w:szCs w:val="14"/>
          <w:color w:val="auto"/>
        </w:rPr>
        <w:t>(3) Includes employer payroll taxes on employee stock transactions as follows: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660" w:type="dxa"/>
            <w:vAlign w:val="bottom"/>
          </w:tcPr>
          <w:p>
            <w:pPr>
              <w:spacing w:after="0"/>
              <w:rPr>
                <w:sz w:val="14"/>
                <w:szCs w:val="14"/>
                <w:color w:val="auto"/>
              </w:rPr>
            </w:pPr>
          </w:p>
        </w:tc>
        <w:tc>
          <w:tcPr>
            <w:tcW w:w="2220" w:type="dxa"/>
            <w:vAlign w:val="bottom"/>
            <w:gridSpan w:val="4"/>
          </w:tcPr>
          <w:p>
            <w:pPr>
              <w:jc w:val="right"/>
              <w:ind w:right="136"/>
              <w:spacing w:after="0"/>
              <w:rPr>
                <w:sz w:val="20"/>
                <w:szCs w:val="20"/>
                <w:color w:val="auto"/>
              </w:rPr>
            </w:pPr>
            <w:r>
              <w:rPr>
                <w:rFonts w:ascii="Arial" w:cs="Arial" w:eastAsia="Arial" w:hAnsi="Arial"/>
                <w:sz w:val="14"/>
                <w:szCs w:val="14"/>
                <w:b w:val="1"/>
                <w:bCs w:val="1"/>
                <w:color w:val="auto"/>
              </w:rPr>
              <w:t>Three Months Ended</w:t>
            </w: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300" w:type="dxa"/>
            <w:vAlign w:val="bottom"/>
            <w:gridSpan w:val="4"/>
          </w:tcPr>
          <w:p>
            <w:pPr>
              <w:jc w:val="right"/>
              <w:ind w:right="693"/>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86"/>
        </w:trPr>
        <w:tc>
          <w:tcPr>
            <w:tcW w:w="56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420" w:type="dxa"/>
            <w:vAlign w:val="bottom"/>
            <w:gridSpan w:val="3"/>
          </w:tcPr>
          <w:p>
            <w:pPr>
              <w:jc w:val="right"/>
              <w:ind w:right="336"/>
              <w:spacing w:after="0"/>
              <w:rPr>
                <w:sz w:val="20"/>
                <w:szCs w:val="20"/>
                <w:color w:val="auto"/>
              </w:rPr>
            </w:pPr>
            <w:r>
              <w:rPr>
                <w:rFonts w:ascii="Arial" w:cs="Arial" w:eastAsia="Arial" w:hAnsi="Arial"/>
                <w:sz w:val="14"/>
                <w:szCs w:val="14"/>
                <w:b w:val="1"/>
                <w:bCs w:val="1"/>
                <w:color w:val="auto"/>
              </w:rPr>
              <w:t>September 30,</w:t>
            </w: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420" w:type="dxa"/>
            <w:vAlign w:val="bottom"/>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3"/>
        </w:trPr>
        <w:tc>
          <w:tcPr>
            <w:tcW w:w="5660" w:type="dxa"/>
            <w:vAlign w:val="bottom"/>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84"/>
        </w:trPr>
        <w:tc>
          <w:tcPr>
            <w:tcW w:w="566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b w:val="1"/>
                <w:bCs w:val="1"/>
                <w:color w:val="auto"/>
              </w:rPr>
              <w:t>2023</w:t>
            </w: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2022</w:t>
            </w: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60" w:type="dxa"/>
            <w:vAlign w:val="bottom"/>
          </w:tcPr>
          <w:p>
            <w:pPr>
              <w:jc w:val="right"/>
              <w:ind w:right="417"/>
              <w:spacing w:after="0"/>
              <w:rPr>
                <w:sz w:val="20"/>
                <w:szCs w:val="20"/>
                <w:color w:val="auto"/>
              </w:rPr>
            </w:pPr>
            <w:r>
              <w:rPr>
                <w:rFonts w:ascii="Arial" w:cs="Arial" w:eastAsia="Arial" w:hAnsi="Arial"/>
                <w:sz w:val="14"/>
                <w:szCs w:val="14"/>
                <w:b w:val="1"/>
                <w:bCs w:val="1"/>
                <w:color w:val="auto"/>
              </w:rPr>
              <w:t>2023</w:t>
            </w: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80" w:type="dxa"/>
            <w:vAlign w:val="bottom"/>
          </w:tcPr>
          <w:p>
            <w:pPr>
              <w:jc w:val="right"/>
              <w:ind w:right="433"/>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39"/>
        </w:trPr>
        <w:tc>
          <w:tcPr>
            <w:tcW w:w="5660" w:type="dxa"/>
            <w:vAlign w:val="bottom"/>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gridSpan w:val="3"/>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4"/>
        </w:trPr>
        <w:tc>
          <w:tcPr>
            <w:tcW w:w="56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60" w:type="dxa"/>
            <w:vAlign w:val="bottom"/>
            <w:gridSpan w:val="3"/>
          </w:tcPr>
          <w:p>
            <w:pPr>
              <w:jc w:val="right"/>
              <w:ind w:right="60"/>
              <w:spacing w:after="0"/>
              <w:rPr>
                <w:sz w:val="20"/>
                <w:szCs w:val="20"/>
                <w:color w:val="auto"/>
              </w:rPr>
            </w:pPr>
            <w:r>
              <w:rPr>
                <w:rFonts w:ascii="Arial" w:cs="Arial" w:eastAsia="Arial" w:hAnsi="Arial"/>
                <w:sz w:val="14"/>
                <w:szCs w:val="14"/>
                <w:b w:val="1"/>
                <w:bCs w:val="1"/>
                <w:color w:val="auto"/>
              </w:rPr>
              <w:t>(in thousands)</w:t>
            </w: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9"/>
        </w:trPr>
        <w:tc>
          <w:tcPr>
            <w:tcW w:w="5660" w:type="dxa"/>
            <w:vAlign w:val="bottom"/>
          </w:tcPr>
          <w:p>
            <w:pPr>
              <w:spacing w:after="0"/>
              <w:rPr>
                <w:sz w:val="3"/>
                <w:szCs w:val="3"/>
                <w:color w:val="auto"/>
              </w:rPr>
            </w:pPr>
          </w:p>
        </w:tc>
        <w:tc>
          <w:tcPr>
            <w:tcW w:w="800" w:type="dxa"/>
            <w:vAlign w:val="bottom"/>
          </w:tcPr>
          <w:p>
            <w:pPr>
              <w:spacing w:after="0"/>
              <w:rPr>
                <w:sz w:val="3"/>
                <w:szCs w:val="3"/>
                <w:color w:val="auto"/>
              </w:rPr>
            </w:pPr>
          </w:p>
        </w:tc>
        <w:tc>
          <w:tcPr>
            <w:tcW w:w="500" w:type="dxa"/>
            <w:vAlign w:val="bottom"/>
          </w:tcPr>
          <w:p>
            <w:pPr>
              <w:spacing w:after="0"/>
              <w:rPr>
                <w:sz w:val="3"/>
                <w:szCs w:val="3"/>
                <w:color w:val="auto"/>
              </w:rPr>
            </w:pPr>
          </w:p>
        </w:tc>
        <w:tc>
          <w:tcPr>
            <w:tcW w:w="100" w:type="dxa"/>
            <w:vAlign w:val="bottom"/>
          </w:tcPr>
          <w:p>
            <w:pPr>
              <w:spacing w:after="0"/>
              <w:rPr>
                <w:sz w:val="3"/>
                <w:szCs w:val="3"/>
                <w:color w:val="auto"/>
              </w:rPr>
            </w:pPr>
          </w:p>
        </w:tc>
        <w:tc>
          <w:tcPr>
            <w:tcW w:w="820" w:type="dxa"/>
            <w:vAlign w:val="bottom"/>
          </w:tcPr>
          <w:p>
            <w:pPr>
              <w:spacing w:after="0"/>
              <w:rPr>
                <w:sz w:val="3"/>
                <w:szCs w:val="3"/>
                <w:color w:val="auto"/>
              </w:rPr>
            </w:pPr>
          </w:p>
        </w:tc>
        <w:tc>
          <w:tcPr>
            <w:tcW w:w="500" w:type="dxa"/>
            <w:vAlign w:val="bottom"/>
          </w:tcPr>
          <w:p>
            <w:pPr>
              <w:spacing w:after="0"/>
              <w:rPr>
                <w:sz w:val="3"/>
                <w:szCs w:val="3"/>
                <w:color w:val="auto"/>
              </w:rPr>
            </w:pPr>
          </w:p>
        </w:tc>
        <w:tc>
          <w:tcPr>
            <w:tcW w:w="100" w:type="dxa"/>
            <w:vAlign w:val="bottom"/>
          </w:tcPr>
          <w:p>
            <w:pPr>
              <w:spacing w:after="0"/>
              <w:rPr>
                <w:sz w:val="3"/>
                <w:szCs w:val="3"/>
                <w:color w:val="auto"/>
              </w:rPr>
            </w:pPr>
          </w:p>
        </w:tc>
        <w:tc>
          <w:tcPr>
            <w:tcW w:w="460" w:type="dxa"/>
            <w:vAlign w:val="bottom"/>
          </w:tcPr>
          <w:p>
            <w:pPr>
              <w:spacing w:after="0"/>
              <w:rPr>
                <w:sz w:val="3"/>
                <w:szCs w:val="3"/>
                <w:color w:val="auto"/>
              </w:rPr>
            </w:pPr>
          </w:p>
        </w:tc>
        <w:tc>
          <w:tcPr>
            <w:tcW w:w="860" w:type="dxa"/>
            <w:vAlign w:val="bottom"/>
          </w:tcPr>
          <w:p>
            <w:pPr>
              <w:spacing w:after="0"/>
              <w:rPr>
                <w:sz w:val="3"/>
                <w:szCs w:val="3"/>
                <w:color w:val="auto"/>
              </w:rPr>
            </w:pPr>
          </w:p>
        </w:tc>
        <w:tc>
          <w:tcPr>
            <w:tcW w:w="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8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0"/>
        </w:trPr>
        <w:tc>
          <w:tcPr>
            <w:tcW w:w="5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Cost of revenue</w:t>
            </w:r>
          </w:p>
        </w:tc>
        <w:tc>
          <w:tcPr>
            <w:tcW w:w="800" w:type="dxa"/>
            <w:vAlign w:val="bottom"/>
            <w:tcBorders>
              <w:bottom w:val="single" w:sz="8" w:color="CCEEFF"/>
            </w:tcBorders>
            <w:shd w:val="clear" w:color="auto" w:fill="CCEEFF"/>
          </w:tcPr>
          <w:p>
            <w:pPr>
              <w:jc w:val="right"/>
              <w:ind w:right="619"/>
              <w:spacing w:after="0"/>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107</w:t>
            </w:r>
          </w:p>
        </w:tc>
        <w:tc>
          <w:tcPr>
            <w:tcW w:w="1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616"/>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560" w:type="dxa"/>
            <w:vAlign w:val="bottom"/>
            <w:tcBorders>
              <w:bottom w:val="single" w:sz="8" w:color="CFF0FC"/>
            </w:tcBorders>
            <w:gridSpan w:val="2"/>
            <w:shd w:val="clear" w:color="auto" w:fill="CFF0FC"/>
          </w:tcPr>
          <w:p>
            <w:pPr>
              <w:jc w:val="right"/>
              <w:ind w:right="34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276</w:t>
            </w:r>
          </w:p>
        </w:tc>
        <w:tc>
          <w:tcPr>
            <w:tcW w:w="120" w:type="dxa"/>
            <w:vAlign w:val="bottom"/>
            <w:tcBorders>
              <w:bottom w:val="single" w:sz="8" w:color="CFF0FC"/>
            </w:tcBorders>
            <w:shd w:val="clear" w:color="auto" w:fill="CFF0FC"/>
          </w:tcPr>
          <w:p>
            <w:pPr>
              <w:spacing w:after="0"/>
              <w:rPr>
                <w:sz w:val="21"/>
                <w:szCs w:val="21"/>
                <w:color w:val="auto"/>
              </w:rPr>
            </w:pPr>
          </w:p>
        </w:tc>
        <w:tc>
          <w:tcPr>
            <w:tcW w:w="440" w:type="dxa"/>
            <w:vAlign w:val="bottom"/>
            <w:tcBorders>
              <w:bottom w:val="single" w:sz="8" w:color="CFF0FC"/>
            </w:tcBorders>
            <w:shd w:val="clear" w:color="auto" w:fill="CFF0FC"/>
          </w:tcPr>
          <w:p>
            <w:pPr>
              <w:jc w:val="right"/>
              <w:ind w:right="25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219</w:t>
            </w:r>
          </w:p>
        </w:tc>
        <w:tc>
          <w:tcPr>
            <w:tcW w:w="0" w:type="dxa"/>
            <w:vAlign w:val="bottom"/>
          </w:tcPr>
          <w:p>
            <w:pPr>
              <w:spacing w:after="0"/>
              <w:rPr>
                <w:sz w:val="1"/>
                <w:szCs w:val="1"/>
                <w:color w:val="auto"/>
              </w:rPr>
            </w:pPr>
          </w:p>
        </w:tc>
      </w:tr>
      <w:tr>
        <w:trPr>
          <w:trHeight w:val="243"/>
        </w:trPr>
        <w:tc>
          <w:tcPr>
            <w:tcW w:w="5660" w:type="dxa"/>
            <w:vAlign w:val="bottom"/>
          </w:tcPr>
          <w:p>
            <w:pPr>
              <w:ind w:left="20"/>
              <w:spacing w:after="0"/>
              <w:rPr>
                <w:sz w:val="20"/>
                <w:szCs w:val="20"/>
                <w:color w:val="auto"/>
              </w:rPr>
            </w:pPr>
            <w:r>
              <w:rPr>
                <w:rFonts w:ascii="Arial" w:cs="Arial" w:eastAsia="Arial" w:hAnsi="Arial"/>
                <w:sz w:val="18"/>
                <w:szCs w:val="18"/>
                <w:color w:val="auto"/>
              </w:rPr>
              <w:t>Research and development</w:t>
            </w:r>
          </w:p>
        </w:tc>
        <w:tc>
          <w:tcPr>
            <w:tcW w:w="80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8"/>
              </w:rPr>
              <w:t>5,260</w:t>
            </w:r>
          </w:p>
        </w:tc>
        <w:tc>
          <w:tcPr>
            <w:tcW w:w="1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8"/>
              </w:rPr>
              <w:t>1,799</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15,213</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7,925</w:t>
            </w:r>
          </w:p>
        </w:tc>
        <w:tc>
          <w:tcPr>
            <w:tcW w:w="0" w:type="dxa"/>
            <w:vAlign w:val="bottom"/>
          </w:tcPr>
          <w:p>
            <w:pPr>
              <w:spacing w:after="0"/>
              <w:rPr>
                <w:sz w:val="1"/>
                <w:szCs w:val="1"/>
                <w:color w:val="auto"/>
              </w:rPr>
            </w:pPr>
          </w:p>
        </w:tc>
      </w:tr>
      <w:tr>
        <w:trPr>
          <w:trHeight w:val="27"/>
        </w:trPr>
        <w:tc>
          <w:tcPr>
            <w:tcW w:w="5660" w:type="dxa"/>
            <w:vAlign w:val="bottom"/>
          </w:tcPr>
          <w:p>
            <w:pPr>
              <w:spacing w:after="0"/>
              <w:rPr>
                <w:sz w:val="2"/>
                <w:szCs w:val="2"/>
                <w:color w:val="auto"/>
              </w:rPr>
            </w:pPr>
          </w:p>
        </w:tc>
        <w:tc>
          <w:tcPr>
            <w:tcW w:w="8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Sales and marketing</w:t>
            </w:r>
          </w:p>
        </w:tc>
        <w:tc>
          <w:tcPr>
            <w:tcW w:w="8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8"/>
              </w:rPr>
              <w:t>2,980</w:t>
            </w:r>
          </w:p>
        </w:tc>
        <w:tc>
          <w:tcPr>
            <w:tcW w:w="1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620</w:t>
            </w:r>
          </w:p>
        </w:tc>
        <w:tc>
          <w:tcPr>
            <w:tcW w:w="100" w:type="dxa"/>
            <w:vAlign w:val="bottom"/>
            <w:tcBorders>
              <w:bottom w:val="single" w:sz="8" w:color="CFF0FC"/>
            </w:tcBorders>
            <w:shd w:val="clear" w:color="auto" w:fill="CFF0FC"/>
          </w:tcPr>
          <w:p>
            <w:pPr>
              <w:spacing w:after="0"/>
              <w:rPr>
                <w:sz w:val="21"/>
                <w:szCs w:val="21"/>
                <w:color w:val="auto"/>
              </w:rPr>
            </w:pPr>
          </w:p>
        </w:tc>
        <w:tc>
          <w:tcPr>
            <w:tcW w:w="460" w:type="dxa"/>
            <w:vAlign w:val="bottom"/>
            <w:tcBorders>
              <w:bottom w:val="single" w:sz="8" w:color="CFF0FC"/>
            </w:tcBorders>
            <w:shd w:val="clear" w:color="auto" w:fill="CFF0FC"/>
          </w:tcPr>
          <w:p>
            <w:pPr>
              <w:spacing w:after="0"/>
              <w:rPr>
                <w:sz w:val="21"/>
                <w:szCs w:val="21"/>
                <w:color w:val="auto"/>
              </w:rPr>
            </w:pPr>
          </w:p>
        </w:tc>
        <w:tc>
          <w:tcPr>
            <w:tcW w:w="8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5,008</w:t>
            </w:r>
          </w:p>
        </w:tc>
        <w:tc>
          <w:tcPr>
            <w:tcW w:w="120" w:type="dxa"/>
            <w:vAlign w:val="bottom"/>
            <w:tcBorders>
              <w:bottom w:val="single" w:sz="8" w:color="CFF0FC"/>
            </w:tcBorders>
            <w:shd w:val="clear" w:color="auto" w:fill="CFF0FC"/>
          </w:tcPr>
          <w:p>
            <w:pPr>
              <w:spacing w:after="0"/>
              <w:rPr>
                <w:sz w:val="21"/>
                <w:szCs w:val="21"/>
                <w:color w:val="auto"/>
              </w:rPr>
            </w:pPr>
          </w:p>
        </w:tc>
        <w:tc>
          <w:tcPr>
            <w:tcW w:w="440" w:type="dxa"/>
            <w:vAlign w:val="bottom"/>
            <w:tcBorders>
              <w:bottom w:val="single" w:sz="8" w:color="CFF0FC"/>
            </w:tcBorders>
            <w:shd w:val="clear" w:color="auto" w:fill="CFF0FC"/>
          </w:tcPr>
          <w:p>
            <w:pPr>
              <w:spacing w:after="0"/>
              <w:rPr>
                <w:sz w:val="21"/>
                <w:szCs w:val="21"/>
                <w:color w:val="auto"/>
              </w:rPr>
            </w:pPr>
          </w:p>
        </w:tc>
        <w:tc>
          <w:tcPr>
            <w:tcW w:w="8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2,334</w:t>
            </w:r>
          </w:p>
        </w:tc>
        <w:tc>
          <w:tcPr>
            <w:tcW w:w="0" w:type="dxa"/>
            <w:vAlign w:val="bottom"/>
          </w:tcPr>
          <w:p>
            <w:pPr>
              <w:spacing w:after="0"/>
              <w:rPr>
                <w:sz w:val="1"/>
                <w:szCs w:val="1"/>
                <w:color w:val="auto"/>
              </w:rPr>
            </w:pPr>
          </w:p>
        </w:tc>
      </w:tr>
      <w:tr>
        <w:trPr>
          <w:trHeight w:val="243"/>
        </w:trPr>
        <w:tc>
          <w:tcPr>
            <w:tcW w:w="5660" w:type="dxa"/>
            <w:vAlign w:val="bottom"/>
          </w:tcPr>
          <w:p>
            <w:pPr>
              <w:ind w:left="20"/>
              <w:spacing w:after="0"/>
              <w:rPr>
                <w:sz w:val="20"/>
                <w:szCs w:val="20"/>
                <w:color w:val="auto"/>
              </w:rPr>
            </w:pPr>
            <w:r>
              <w:rPr>
                <w:rFonts w:ascii="Arial" w:cs="Arial" w:eastAsia="Arial" w:hAnsi="Arial"/>
                <w:sz w:val="18"/>
                <w:szCs w:val="18"/>
                <w:color w:val="auto"/>
              </w:rPr>
              <w:t>General and administrative</w:t>
            </w:r>
          </w:p>
        </w:tc>
        <w:tc>
          <w:tcPr>
            <w:tcW w:w="80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8"/>
              </w:rPr>
              <w:t>1,342</w:t>
            </w:r>
          </w:p>
        </w:tc>
        <w:tc>
          <w:tcPr>
            <w:tcW w:w="1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245</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3,450</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719</w:t>
            </w:r>
          </w:p>
        </w:tc>
        <w:tc>
          <w:tcPr>
            <w:tcW w:w="0" w:type="dxa"/>
            <w:vAlign w:val="bottom"/>
          </w:tcPr>
          <w:p>
            <w:pPr>
              <w:spacing w:after="0"/>
              <w:rPr>
                <w:sz w:val="1"/>
                <w:szCs w:val="1"/>
                <w:color w:val="auto"/>
              </w:rPr>
            </w:pPr>
          </w:p>
        </w:tc>
      </w:tr>
      <w:tr>
        <w:trPr>
          <w:trHeight w:val="27"/>
        </w:trPr>
        <w:tc>
          <w:tcPr>
            <w:tcW w:w="566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FF0FC"/>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3"/>
        </w:trPr>
        <w:tc>
          <w:tcPr>
            <w:tcW w:w="56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w:t>
            </w:r>
          </w:p>
        </w:tc>
        <w:tc>
          <w:tcPr>
            <w:tcW w:w="800" w:type="dxa"/>
            <w:vAlign w:val="bottom"/>
            <w:shd w:val="clear" w:color="auto" w:fill="CCEEFF"/>
          </w:tcPr>
          <w:p>
            <w:pPr>
              <w:jc w:val="right"/>
              <w:ind w:right="619"/>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9,689</w:t>
            </w:r>
          </w:p>
        </w:tc>
        <w:tc>
          <w:tcPr>
            <w:tcW w:w="10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616"/>
              <w:spacing w:after="0"/>
              <w:rPr>
                <w:sz w:val="20"/>
                <w:szCs w:val="20"/>
                <w:color w:val="auto"/>
              </w:rPr>
            </w:pPr>
            <w:r>
              <w:rPr>
                <w:rFonts w:ascii="Arial" w:cs="Arial" w:eastAsia="Arial" w:hAnsi="Arial"/>
                <w:sz w:val="18"/>
                <w:szCs w:val="18"/>
                <w:color w:val="auto"/>
                <w:w w:val="9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2,711</w:t>
            </w:r>
          </w:p>
        </w:tc>
        <w:tc>
          <w:tcPr>
            <w:tcW w:w="560" w:type="dxa"/>
            <w:vAlign w:val="bottom"/>
            <w:gridSpan w:val="2"/>
            <w:shd w:val="clear" w:color="auto" w:fill="CFF0FC"/>
          </w:tcPr>
          <w:p>
            <w:pPr>
              <w:jc w:val="right"/>
              <w:ind w:right="340"/>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23,947</w:t>
            </w:r>
          </w:p>
        </w:tc>
        <w:tc>
          <w:tcPr>
            <w:tcW w:w="120" w:type="dxa"/>
            <w:vAlign w:val="bottom"/>
            <w:shd w:val="clear" w:color="auto" w:fill="CFF0FC"/>
          </w:tcPr>
          <w:p>
            <w:pPr>
              <w:spacing w:after="0"/>
              <w:rPr>
                <w:sz w:val="24"/>
                <w:szCs w:val="24"/>
                <w:color w:val="auto"/>
              </w:rPr>
            </w:pPr>
          </w:p>
        </w:tc>
        <w:tc>
          <w:tcPr>
            <w:tcW w:w="440" w:type="dxa"/>
            <w:vAlign w:val="bottom"/>
            <w:shd w:val="clear" w:color="auto" w:fill="CFF0FC"/>
          </w:tcPr>
          <w:p>
            <w:pPr>
              <w:jc w:val="right"/>
              <w:ind w:right="25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11,197</w:t>
            </w:r>
          </w:p>
        </w:tc>
        <w:tc>
          <w:tcPr>
            <w:tcW w:w="0" w:type="dxa"/>
            <w:vAlign w:val="bottom"/>
          </w:tcPr>
          <w:p>
            <w:pPr>
              <w:spacing w:after="0"/>
              <w:rPr>
                <w:sz w:val="1"/>
                <w:szCs w:val="1"/>
                <w:color w:val="auto"/>
              </w:rPr>
            </w:pPr>
          </w:p>
        </w:tc>
      </w:tr>
      <w:tr>
        <w:trPr>
          <w:trHeight w:val="20"/>
        </w:trPr>
        <w:tc>
          <w:tcPr>
            <w:tcW w:w="566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_________________</w:t>
            </w:r>
          </w:p>
        </w:tc>
        <w:tc>
          <w:tcPr>
            <w:tcW w:w="8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5660" w:type="dxa"/>
            <w:vAlign w:val="bottom"/>
            <w:vMerge w:val="continue"/>
          </w:tcPr>
          <w:p>
            <w:pPr>
              <w:spacing w:after="0"/>
              <w:rPr>
                <w:sz w:val="22"/>
                <w:szCs w:val="22"/>
                <w:color w:val="auto"/>
              </w:rPr>
            </w:pPr>
          </w:p>
        </w:tc>
        <w:tc>
          <w:tcPr>
            <w:tcW w:w="8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rPr>
          <w:sz w:val="20"/>
          <w:szCs w:val="20"/>
          <w:color w:val="auto"/>
        </w:rPr>
      </w:pPr>
      <w:r>
        <w:rPr>
          <w:rFonts w:ascii="Arial" w:cs="Arial" w:eastAsia="Arial" w:hAnsi="Arial"/>
          <w:sz w:val="14"/>
          <w:szCs w:val="14"/>
          <w:color w:val="auto"/>
        </w:rPr>
        <w:t>(4) Includes amortization of issuance costs as follows: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660" w:type="dxa"/>
            <w:vAlign w:val="bottom"/>
          </w:tcPr>
          <w:p>
            <w:pPr>
              <w:spacing w:after="0"/>
              <w:rPr>
                <w:sz w:val="14"/>
                <w:szCs w:val="14"/>
                <w:color w:val="auto"/>
              </w:rPr>
            </w:pPr>
          </w:p>
        </w:tc>
        <w:tc>
          <w:tcPr>
            <w:tcW w:w="2280" w:type="dxa"/>
            <w:vAlign w:val="bottom"/>
            <w:gridSpan w:val="3"/>
          </w:tcPr>
          <w:p>
            <w:pPr>
              <w:jc w:val="center"/>
              <w:ind w:left="342"/>
              <w:spacing w:after="0"/>
              <w:rPr>
                <w:sz w:val="20"/>
                <w:szCs w:val="20"/>
                <w:color w:val="auto"/>
              </w:rPr>
            </w:pPr>
            <w:r>
              <w:rPr>
                <w:rFonts w:ascii="Arial" w:cs="Arial" w:eastAsia="Arial" w:hAnsi="Arial"/>
                <w:sz w:val="14"/>
                <w:szCs w:val="14"/>
                <w:b w:val="1"/>
                <w:bCs w:val="1"/>
                <w:color w:val="auto"/>
                <w:w w:val="93"/>
              </w:rPr>
              <w:t>Three Months Ended</w:t>
            </w: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300" w:type="dxa"/>
            <w:vAlign w:val="bottom"/>
            <w:gridSpan w:val="3"/>
          </w:tcPr>
          <w:p>
            <w:pPr>
              <w:jc w:val="center"/>
              <w:ind w:right="419"/>
              <w:spacing w:after="0"/>
              <w:rPr>
                <w:sz w:val="20"/>
                <w:szCs w:val="20"/>
                <w:color w:val="auto"/>
              </w:rPr>
            </w:pPr>
            <w:r>
              <w:rPr>
                <w:rFonts w:ascii="Arial" w:cs="Arial" w:eastAsia="Arial" w:hAnsi="Arial"/>
                <w:sz w:val="14"/>
                <w:szCs w:val="14"/>
                <w:b w:val="1"/>
                <w:bCs w:val="1"/>
                <w:color w:val="auto"/>
                <w:w w:val="94"/>
              </w:rPr>
              <w:t>Nine Months Ended</w:t>
            </w:r>
          </w:p>
        </w:tc>
      </w:tr>
      <w:tr>
        <w:trPr>
          <w:trHeight w:val="186"/>
        </w:trPr>
        <w:tc>
          <w:tcPr>
            <w:tcW w:w="56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420" w:type="dxa"/>
            <w:vAlign w:val="bottom"/>
            <w:gridSpan w:val="2"/>
          </w:tcPr>
          <w:p>
            <w:pPr>
              <w:jc w:val="center"/>
              <w:ind w:right="339"/>
              <w:spacing w:after="0"/>
              <w:rPr>
                <w:sz w:val="20"/>
                <w:szCs w:val="20"/>
                <w:color w:val="auto"/>
              </w:rPr>
            </w:pPr>
            <w:r>
              <w:rPr>
                <w:rFonts w:ascii="Arial" w:cs="Arial" w:eastAsia="Arial" w:hAnsi="Arial"/>
                <w:sz w:val="14"/>
                <w:szCs w:val="14"/>
                <w:b w:val="1"/>
                <w:bCs w:val="1"/>
                <w:color w:val="auto"/>
                <w:w w:val="91"/>
              </w:rPr>
              <w:t>September 30,</w:t>
            </w: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420" w:type="dxa"/>
            <w:vAlign w:val="bottom"/>
            <w:gridSpan w:val="2"/>
          </w:tcPr>
          <w:p>
            <w:pPr>
              <w:jc w:val="center"/>
              <w:ind w:left="344"/>
              <w:spacing w:after="0"/>
              <w:rPr>
                <w:sz w:val="20"/>
                <w:szCs w:val="20"/>
                <w:color w:val="auto"/>
              </w:rPr>
            </w:pPr>
            <w:r>
              <w:rPr>
                <w:rFonts w:ascii="Arial" w:cs="Arial" w:eastAsia="Arial" w:hAnsi="Arial"/>
                <w:sz w:val="14"/>
                <w:szCs w:val="14"/>
                <w:b w:val="1"/>
                <w:bCs w:val="1"/>
                <w:color w:val="auto"/>
                <w:w w:val="91"/>
              </w:rPr>
              <w:t>September 30,</w:t>
            </w:r>
          </w:p>
        </w:tc>
        <w:tc>
          <w:tcPr>
            <w:tcW w:w="880" w:type="dxa"/>
            <w:vAlign w:val="bottom"/>
          </w:tcPr>
          <w:p>
            <w:pPr>
              <w:spacing w:after="0"/>
              <w:rPr>
                <w:sz w:val="16"/>
                <w:szCs w:val="16"/>
                <w:color w:val="auto"/>
              </w:rPr>
            </w:pPr>
          </w:p>
        </w:tc>
      </w:tr>
      <w:tr>
        <w:trPr>
          <w:trHeight w:val="53"/>
        </w:trPr>
        <w:tc>
          <w:tcPr>
            <w:tcW w:w="5660" w:type="dxa"/>
            <w:vAlign w:val="bottom"/>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r>
      <w:tr>
        <w:trPr>
          <w:trHeight w:val="184"/>
        </w:trPr>
        <w:tc>
          <w:tcPr>
            <w:tcW w:w="5660" w:type="dxa"/>
            <w:vAlign w:val="bottom"/>
          </w:tcPr>
          <w:p>
            <w:pPr>
              <w:spacing w:after="0"/>
              <w:rPr>
                <w:sz w:val="16"/>
                <w:szCs w:val="16"/>
                <w:color w:val="auto"/>
              </w:rPr>
            </w:pPr>
          </w:p>
        </w:tc>
        <w:tc>
          <w:tcPr>
            <w:tcW w:w="860" w:type="dxa"/>
            <w:vAlign w:val="bottom"/>
          </w:tcPr>
          <w:p>
            <w:pPr>
              <w:jc w:val="right"/>
              <w:ind w:right="2"/>
              <w:spacing w:after="0"/>
              <w:rPr>
                <w:sz w:val="20"/>
                <w:szCs w:val="20"/>
                <w:color w:val="auto"/>
              </w:rPr>
            </w:pPr>
            <w:r>
              <w:rPr>
                <w:rFonts w:ascii="Arial" w:cs="Arial" w:eastAsia="Arial" w:hAnsi="Arial"/>
                <w:sz w:val="14"/>
                <w:szCs w:val="14"/>
                <w:b w:val="1"/>
                <w:bCs w:val="1"/>
                <w:color w:val="auto"/>
              </w:rPr>
              <w:t>2023</w:t>
            </w:r>
          </w:p>
        </w:tc>
        <w:tc>
          <w:tcPr>
            <w:tcW w:w="46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rPr>
              <w:t>2022</w:t>
            </w: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00" w:type="dxa"/>
            <w:vAlign w:val="bottom"/>
          </w:tcPr>
          <w:p>
            <w:pPr>
              <w:jc w:val="right"/>
              <w:ind w:right="464"/>
              <w:spacing w:after="0"/>
              <w:rPr>
                <w:sz w:val="20"/>
                <w:szCs w:val="20"/>
                <w:color w:val="auto"/>
              </w:rPr>
            </w:pPr>
            <w:r>
              <w:rPr>
                <w:rFonts w:ascii="Arial" w:cs="Arial" w:eastAsia="Arial" w:hAnsi="Arial"/>
                <w:sz w:val="14"/>
                <w:szCs w:val="14"/>
                <w:b w:val="1"/>
                <w:bCs w:val="1"/>
                <w:color w:val="auto"/>
              </w:rPr>
              <w:t>2023</w:t>
            </w:r>
          </w:p>
        </w:tc>
        <w:tc>
          <w:tcPr>
            <w:tcW w:w="520" w:type="dxa"/>
            <w:vAlign w:val="bottom"/>
          </w:tcPr>
          <w:p>
            <w:pPr>
              <w:spacing w:after="0"/>
              <w:rPr>
                <w:sz w:val="16"/>
                <w:szCs w:val="16"/>
                <w:color w:val="auto"/>
              </w:rPr>
            </w:pPr>
          </w:p>
        </w:tc>
        <w:tc>
          <w:tcPr>
            <w:tcW w:w="880" w:type="dxa"/>
            <w:vAlign w:val="bottom"/>
          </w:tcPr>
          <w:p>
            <w:pPr>
              <w:jc w:val="right"/>
              <w:ind w:right="439"/>
              <w:spacing w:after="0"/>
              <w:rPr>
                <w:sz w:val="20"/>
                <w:szCs w:val="20"/>
                <w:color w:val="auto"/>
              </w:rPr>
            </w:pPr>
            <w:r>
              <w:rPr>
                <w:rFonts w:ascii="Arial" w:cs="Arial" w:eastAsia="Arial" w:hAnsi="Arial"/>
                <w:sz w:val="14"/>
                <w:szCs w:val="14"/>
                <w:b w:val="1"/>
                <w:bCs w:val="1"/>
                <w:color w:val="auto"/>
              </w:rPr>
              <w:t>2022</w:t>
            </w:r>
          </w:p>
        </w:tc>
      </w:tr>
      <w:tr>
        <w:trPr>
          <w:trHeight w:val="39"/>
        </w:trPr>
        <w:tc>
          <w:tcPr>
            <w:tcW w:w="5660" w:type="dxa"/>
            <w:vAlign w:val="bottom"/>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gridSpan w:val="2"/>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r>
      <w:tr>
        <w:trPr>
          <w:trHeight w:val="184"/>
        </w:trPr>
        <w:tc>
          <w:tcPr>
            <w:tcW w:w="56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0" w:type="dxa"/>
            <w:vAlign w:val="bottom"/>
            <w:gridSpan w:val="3"/>
          </w:tcPr>
          <w:p>
            <w:pPr>
              <w:jc w:val="right"/>
              <w:ind w:right="60"/>
              <w:spacing w:after="0"/>
              <w:rPr>
                <w:sz w:val="20"/>
                <w:szCs w:val="20"/>
                <w:color w:val="auto"/>
              </w:rPr>
            </w:pPr>
            <w:r>
              <w:rPr>
                <w:rFonts w:ascii="Arial" w:cs="Arial" w:eastAsia="Arial" w:hAnsi="Arial"/>
                <w:sz w:val="14"/>
                <w:szCs w:val="14"/>
                <w:b w:val="1"/>
                <w:bCs w:val="1"/>
                <w:color w:val="auto"/>
                <w:w w:val="95"/>
              </w:rPr>
              <w:t>(in thousands)</w:t>
            </w:r>
          </w:p>
        </w:tc>
        <w:tc>
          <w:tcPr>
            <w:tcW w:w="9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80" w:type="dxa"/>
            <w:vAlign w:val="bottom"/>
          </w:tcPr>
          <w:p>
            <w:pPr>
              <w:spacing w:after="0"/>
              <w:rPr>
                <w:sz w:val="16"/>
                <w:szCs w:val="16"/>
                <w:color w:val="auto"/>
              </w:rPr>
            </w:pPr>
          </w:p>
        </w:tc>
      </w:tr>
      <w:tr>
        <w:trPr>
          <w:trHeight w:val="39"/>
        </w:trPr>
        <w:tc>
          <w:tcPr>
            <w:tcW w:w="5660" w:type="dxa"/>
            <w:vAlign w:val="bottom"/>
          </w:tcPr>
          <w:p>
            <w:pPr>
              <w:spacing w:after="0"/>
              <w:rPr>
                <w:sz w:val="3"/>
                <w:szCs w:val="3"/>
                <w:color w:val="auto"/>
              </w:rPr>
            </w:pPr>
          </w:p>
        </w:tc>
        <w:tc>
          <w:tcPr>
            <w:tcW w:w="860" w:type="dxa"/>
            <w:vAlign w:val="bottom"/>
          </w:tcPr>
          <w:p>
            <w:pPr>
              <w:spacing w:after="0"/>
              <w:rPr>
                <w:sz w:val="3"/>
                <w:szCs w:val="3"/>
                <w:color w:val="auto"/>
              </w:rPr>
            </w:pPr>
          </w:p>
        </w:tc>
        <w:tc>
          <w:tcPr>
            <w:tcW w:w="460" w:type="dxa"/>
            <w:vAlign w:val="bottom"/>
          </w:tcPr>
          <w:p>
            <w:pPr>
              <w:spacing w:after="0"/>
              <w:rPr>
                <w:sz w:val="3"/>
                <w:szCs w:val="3"/>
                <w:color w:val="auto"/>
              </w:rPr>
            </w:pPr>
          </w:p>
        </w:tc>
        <w:tc>
          <w:tcPr>
            <w:tcW w:w="960" w:type="dxa"/>
            <w:vAlign w:val="bottom"/>
          </w:tcPr>
          <w:p>
            <w:pPr>
              <w:spacing w:after="0"/>
              <w:rPr>
                <w:sz w:val="3"/>
                <w:szCs w:val="3"/>
                <w:color w:val="auto"/>
              </w:rPr>
            </w:pPr>
          </w:p>
        </w:tc>
        <w:tc>
          <w:tcPr>
            <w:tcW w:w="440" w:type="dxa"/>
            <w:vAlign w:val="bottom"/>
          </w:tcPr>
          <w:p>
            <w:pPr>
              <w:spacing w:after="0"/>
              <w:rPr>
                <w:sz w:val="3"/>
                <w:szCs w:val="3"/>
                <w:color w:val="auto"/>
              </w:rPr>
            </w:pPr>
          </w:p>
        </w:tc>
        <w:tc>
          <w:tcPr>
            <w:tcW w:w="100" w:type="dxa"/>
            <w:vAlign w:val="bottom"/>
          </w:tcPr>
          <w:p>
            <w:pPr>
              <w:spacing w:after="0"/>
              <w:rPr>
                <w:sz w:val="3"/>
                <w:szCs w:val="3"/>
                <w:color w:val="auto"/>
              </w:rPr>
            </w:pPr>
          </w:p>
        </w:tc>
        <w:tc>
          <w:tcPr>
            <w:tcW w:w="460" w:type="dxa"/>
            <w:vAlign w:val="bottom"/>
          </w:tcPr>
          <w:p>
            <w:pPr>
              <w:spacing w:after="0"/>
              <w:rPr>
                <w:sz w:val="3"/>
                <w:szCs w:val="3"/>
                <w:color w:val="auto"/>
              </w:rPr>
            </w:pPr>
          </w:p>
        </w:tc>
        <w:tc>
          <w:tcPr>
            <w:tcW w:w="900" w:type="dxa"/>
            <w:vAlign w:val="bottom"/>
          </w:tcPr>
          <w:p>
            <w:pPr>
              <w:spacing w:after="0"/>
              <w:rPr>
                <w:sz w:val="3"/>
                <w:szCs w:val="3"/>
                <w:color w:val="auto"/>
              </w:rPr>
            </w:pPr>
          </w:p>
        </w:tc>
        <w:tc>
          <w:tcPr>
            <w:tcW w:w="520" w:type="dxa"/>
            <w:vAlign w:val="bottom"/>
          </w:tcPr>
          <w:p>
            <w:pPr>
              <w:spacing w:after="0"/>
              <w:rPr>
                <w:sz w:val="3"/>
                <w:szCs w:val="3"/>
                <w:color w:val="auto"/>
              </w:rPr>
            </w:pPr>
          </w:p>
        </w:tc>
        <w:tc>
          <w:tcPr>
            <w:tcW w:w="880" w:type="dxa"/>
            <w:vAlign w:val="bottom"/>
          </w:tcPr>
          <w:p>
            <w:pPr>
              <w:spacing w:after="0"/>
              <w:rPr>
                <w:sz w:val="3"/>
                <w:szCs w:val="3"/>
                <w:color w:val="auto"/>
              </w:rPr>
            </w:pPr>
          </w:p>
        </w:tc>
      </w:tr>
      <w:tr>
        <w:trPr>
          <w:trHeight w:val="243"/>
        </w:trPr>
        <w:tc>
          <w:tcPr>
            <w:tcW w:w="5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expense</w:t>
            </w:r>
          </w:p>
        </w:tc>
        <w:tc>
          <w:tcPr>
            <w:tcW w:w="860" w:type="dxa"/>
            <w:vAlign w:val="bottom"/>
            <w:shd w:val="clear" w:color="auto" w:fill="CCEEFF"/>
          </w:tcPr>
          <w:p>
            <w:pPr>
              <w:jc w:val="right"/>
              <w:ind w:right="682"/>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848</w:t>
            </w:r>
          </w:p>
        </w:tc>
        <w:tc>
          <w:tcPr>
            <w:tcW w:w="960" w:type="dxa"/>
            <w:vAlign w:val="bottom"/>
            <w:shd w:val="clear" w:color="auto" w:fill="CCEEFF"/>
          </w:tcPr>
          <w:p>
            <w:pPr>
              <w:jc w:val="right"/>
              <w:ind w:right="679"/>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843</w:t>
            </w:r>
          </w:p>
        </w:tc>
        <w:tc>
          <w:tcPr>
            <w:tcW w:w="560" w:type="dxa"/>
            <w:vAlign w:val="bottom"/>
            <w:gridSpan w:val="2"/>
            <w:shd w:val="clear" w:color="auto" w:fill="CFF0FC"/>
          </w:tcPr>
          <w:p>
            <w:pPr>
              <w:jc w:val="right"/>
              <w:ind w:right="340"/>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ind w:right="24"/>
              <w:spacing w:after="0"/>
              <w:rPr>
                <w:sz w:val="20"/>
                <w:szCs w:val="20"/>
                <w:color w:val="auto"/>
              </w:rPr>
            </w:pPr>
            <w:r>
              <w:rPr>
                <w:rFonts w:ascii="Arial" w:cs="Arial" w:eastAsia="Arial" w:hAnsi="Arial"/>
                <w:sz w:val="18"/>
                <w:szCs w:val="18"/>
                <w:color w:val="auto"/>
              </w:rPr>
              <w:t>2,539</w:t>
            </w:r>
          </w:p>
        </w:tc>
        <w:tc>
          <w:tcPr>
            <w:tcW w:w="520" w:type="dxa"/>
            <w:vAlign w:val="bottom"/>
            <w:shd w:val="clear" w:color="auto" w:fill="CFF0FC"/>
          </w:tcPr>
          <w:p>
            <w:pPr>
              <w:jc w:val="right"/>
              <w:ind w:right="250"/>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2,525</w:t>
            </w:r>
          </w:p>
        </w:tc>
      </w:tr>
      <w:tr>
        <w:trPr>
          <w:trHeight w:val="27"/>
        </w:trPr>
        <w:tc>
          <w:tcPr>
            <w:tcW w:w="566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100" w:type="dxa"/>
            <w:vAlign w:val="bottom"/>
            <w:shd w:val="clear" w:color="auto" w:fill="CFF0FC"/>
          </w:tcPr>
          <w:p>
            <w:pPr>
              <w:spacing w:after="0"/>
              <w:rPr>
                <w:sz w:val="2"/>
                <w:szCs w:val="2"/>
                <w:color w:val="auto"/>
              </w:rPr>
            </w:pPr>
          </w:p>
        </w:tc>
        <w:tc>
          <w:tcPr>
            <w:tcW w:w="460" w:type="dxa"/>
            <w:vAlign w:val="bottom"/>
            <w:shd w:val="clear" w:color="auto" w:fill="CFF0FC"/>
          </w:tcPr>
          <w:p>
            <w:pPr>
              <w:spacing w:after="0"/>
              <w:rPr>
                <w:sz w:val="2"/>
                <w:szCs w:val="2"/>
                <w:color w:val="auto"/>
              </w:rPr>
            </w:pPr>
          </w:p>
        </w:tc>
        <w:tc>
          <w:tcPr>
            <w:tcW w:w="900" w:type="dxa"/>
            <w:vAlign w:val="bottom"/>
            <w:shd w:val="clear" w:color="auto" w:fill="CFF0FC"/>
          </w:tcPr>
          <w:p>
            <w:pPr>
              <w:spacing w:after="0"/>
              <w:rPr>
                <w:sz w:val="2"/>
                <w:szCs w:val="2"/>
                <w:color w:val="auto"/>
              </w:rPr>
            </w:pPr>
          </w:p>
        </w:tc>
        <w:tc>
          <w:tcPr>
            <w:tcW w:w="520" w:type="dxa"/>
            <w:vAlign w:val="bottom"/>
            <w:shd w:val="clear" w:color="auto" w:fill="CFF0FC"/>
          </w:tcPr>
          <w:p>
            <w:pPr>
              <w:spacing w:after="0"/>
              <w:rPr>
                <w:sz w:val="2"/>
                <w:szCs w:val="2"/>
                <w:color w:val="auto"/>
              </w:rPr>
            </w:pPr>
          </w:p>
        </w:tc>
        <w:tc>
          <w:tcPr>
            <w:tcW w:w="880" w:type="dxa"/>
            <w:vAlign w:val="bottom"/>
            <w:shd w:val="clear" w:color="auto" w:fill="CFF0FC"/>
          </w:tcPr>
          <w:p>
            <w:pPr>
              <w:spacing w:after="0"/>
              <w:rPr>
                <w:sz w:val="2"/>
                <w:szCs w:val="2"/>
                <w:color w:val="auto"/>
              </w:rPr>
            </w:pPr>
          </w:p>
        </w:tc>
      </w:tr>
    </w:tbl>
    <w:p>
      <w:pPr>
        <w:spacing w:after="0" w:line="6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table sets forth our consolidated statements of operations data expressed as a percentage of revenue for the periods indicated:</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49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200" w:type="dxa"/>
            <w:vAlign w:val="bottom"/>
            <w:gridSpan w:val="4"/>
          </w:tcPr>
          <w:p>
            <w:pPr>
              <w:jc w:val="right"/>
              <w:ind w:right="812"/>
              <w:spacing w:after="0"/>
              <w:rPr>
                <w:sz w:val="20"/>
                <w:szCs w:val="20"/>
                <w:color w:val="auto"/>
              </w:rPr>
            </w:pPr>
            <w:r>
              <w:rPr>
                <w:rFonts w:ascii="Arial" w:cs="Arial" w:eastAsia="Arial" w:hAnsi="Arial"/>
                <w:sz w:val="14"/>
                <w:szCs w:val="14"/>
                <w:b w:val="1"/>
                <w:bCs w:val="1"/>
                <w:color w:val="auto"/>
                <w:w w:val="92"/>
              </w:rPr>
              <w:t>Three Months Ended</w:t>
            </w:r>
          </w:p>
        </w:tc>
        <w:tc>
          <w:tcPr>
            <w:tcW w:w="100" w:type="dxa"/>
            <w:vAlign w:val="bottom"/>
          </w:tcPr>
          <w:p>
            <w:pPr>
              <w:spacing w:after="0"/>
              <w:rPr>
                <w:sz w:val="15"/>
                <w:szCs w:val="15"/>
                <w:color w:val="auto"/>
              </w:rPr>
            </w:pPr>
          </w:p>
        </w:tc>
        <w:tc>
          <w:tcPr>
            <w:tcW w:w="2160" w:type="dxa"/>
            <w:vAlign w:val="bottom"/>
            <w:gridSpan w:val="3"/>
          </w:tcPr>
          <w:p>
            <w:pPr>
              <w:ind w:left="900"/>
              <w:spacing w:after="0"/>
              <w:rPr>
                <w:sz w:val="20"/>
                <w:szCs w:val="20"/>
                <w:color w:val="auto"/>
              </w:rPr>
            </w:pPr>
            <w:r>
              <w:rPr>
                <w:rFonts w:ascii="Arial" w:cs="Arial" w:eastAsia="Arial" w:hAnsi="Arial"/>
                <w:sz w:val="14"/>
                <w:szCs w:val="14"/>
                <w:b w:val="1"/>
                <w:bCs w:val="1"/>
                <w:color w:val="auto"/>
                <w:w w:val="94"/>
              </w:rPr>
              <w:t>Nine Months Ended</w:t>
            </w:r>
          </w:p>
        </w:tc>
        <w:tc>
          <w:tcPr>
            <w:tcW w:w="920" w:type="dxa"/>
            <w:vAlign w:val="bottom"/>
          </w:tcPr>
          <w:p>
            <w:pPr>
              <w:spacing w:after="0"/>
              <w:rPr>
                <w:sz w:val="15"/>
                <w:szCs w:val="15"/>
                <w:color w:val="auto"/>
              </w:rPr>
            </w:pPr>
          </w:p>
        </w:tc>
      </w:tr>
      <w:tr>
        <w:trPr>
          <w:trHeight w:val="186"/>
        </w:trPr>
        <w:tc>
          <w:tcPr>
            <w:tcW w:w="49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140" w:type="dxa"/>
            <w:vAlign w:val="bottom"/>
            <w:gridSpan w:val="3"/>
          </w:tcPr>
          <w:p>
            <w:pPr>
              <w:ind w:left="220"/>
              <w:spacing w:after="0"/>
              <w:rPr>
                <w:sz w:val="20"/>
                <w:szCs w:val="20"/>
                <w:color w:val="auto"/>
              </w:rPr>
            </w:pPr>
            <w:r>
              <w:rPr>
                <w:rFonts w:ascii="Arial" w:cs="Arial" w:eastAsia="Arial" w:hAnsi="Arial"/>
                <w:sz w:val="14"/>
                <w:szCs w:val="14"/>
                <w:b w:val="1"/>
                <w:bCs w:val="1"/>
                <w:color w:val="auto"/>
                <w:w w:val="93"/>
              </w:rPr>
              <w:t>September 30,</w:t>
            </w: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160" w:type="dxa"/>
            <w:vAlign w:val="bottom"/>
            <w:gridSpan w:val="3"/>
          </w:tcPr>
          <w:p>
            <w:pPr>
              <w:ind w:left="1100"/>
              <w:spacing w:after="0"/>
              <w:rPr>
                <w:sz w:val="20"/>
                <w:szCs w:val="20"/>
                <w:color w:val="auto"/>
              </w:rPr>
            </w:pPr>
            <w:r>
              <w:rPr>
                <w:rFonts w:ascii="Arial" w:cs="Arial" w:eastAsia="Arial" w:hAnsi="Arial"/>
                <w:sz w:val="14"/>
                <w:szCs w:val="14"/>
                <w:b w:val="1"/>
                <w:bCs w:val="1"/>
                <w:color w:val="auto"/>
              </w:rPr>
              <w:t>September 30,</w:t>
            </w:r>
          </w:p>
        </w:tc>
        <w:tc>
          <w:tcPr>
            <w:tcW w:w="920" w:type="dxa"/>
            <w:vAlign w:val="bottom"/>
          </w:tcPr>
          <w:p>
            <w:pPr>
              <w:spacing w:after="0"/>
              <w:rPr>
                <w:sz w:val="16"/>
                <w:szCs w:val="16"/>
                <w:color w:val="auto"/>
              </w:rPr>
            </w:pPr>
          </w:p>
        </w:tc>
      </w:tr>
      <w:tr>
        <w:trPr>
          <w:trHeight w:val="39"/>
        </w:trPr>
        <w:tc>
          <w:tcPr>
            <w:tcW w:w="4940" w:type="dxa"/>
            <w:vAlign w:val="bottom"/>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4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r>
      <w:tr>
        <w:trPr>
          <w:trHeight w:val="184"/>
        </w:trPr>
        <w:tc>
          <w:tcPr>
            <w:tcW w:w="5820" w:type="dxa"/>
            <w:vAlign w:val="bottom"/>
            <w:gridSpan w:val="2"/>
          </w:tcPr>
          <w:p>
            <w:pPr>
              <w:ind w:left="5540"/>
              <w:spacing w:after="0"/>
              <w:rPr>
                <w:sz w:val="20"/>
                <w:szCs w:val="20"/>
                <w:color w:val="auto"/>
              </w:rPr>
            </w:pPr>
            <w:r>
              <w:rPr>
                <w:rFonts w:ascii="Arial" w:cs="Arial" w:eastAsia="Arial" w:hAnsi="Arial"/>
                <w:sz w:val="14"/>
                <w:szCs w:val="14"/>
                <w:b w:val="1"/>
                <w:bCs w:val="1"/>
                <w:color w:val="auto"/>
                <w:w w:val="83"/>
              </w:rPr>
              <w:t>2023</w:t>
            </w: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60" w:type="dxa"/>
            <w:vAlign w:val="bottom"/>
          </w:tcPr>
          <w:p>
            <w:pPr>
              <w:jc w:val="right"/>
              <w:ind w:right="512"/>
              <w:spacing w:after="0"/>
              <w:rPr>
                <w:sz w:val="20"/>
                <w:szCs w:val="20"/>
                <w:color w:val="auto"/>
              </w:rPr>
            </w:pPr>
            <w:r>
              <w:rPr>
                <w:rFonts w:ascii="Arial" w:cs="Arial" w:eastAsia="Arial" w:hAnsi="Arial"/>
                <w:sz w:val="14"/>
                <w:szCs w:val="14"/>
                <w:b w:val="1"/>
                <w:bCs w:val="1"/>
                <w:color w:val="auto"/>
              </w:rPr>
              <w:t>2022</w:t>
            </w:r>
          </w:p>
        </w:tc>
        <w:tc>
          <w:tcPr>
            <w:tcW w:w="1580" w:type="dxa"/>
            <w:vAlign w:val="bottom"/>
            <w:gridSpan w:val="2"/>
          </w:tcPr>
          <w:p>
            <w:pPr>
              <w:jc w:val="right"/>
              <w:ind w:right="517"/>
              <w:spacing w:after="0"/>
              <w:rPr>
                <w:sz w:val="20"/>
                <w:szCs w:val="20"/>
                <w:color w:val="auto"/>
              </w:rPr>
            </w:pPr>
            <w:r>
              <w:rPr>
                <w:rFonts w:ascii="Arial" w:cs="Arial" w:eastAsia="Arial" w:hAnsi="Arial"/>
                <w:sz w:val="14"/>
                <w:szCs w:val="14"/>
                <w:b w:val="1"/>
                <w:bCs w:val="1"/>
                <w:color w:val="auto"/>
              </w:rPr>
              <w:t>2023</w:t>
            </w: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920" w:type="dxa"/>
            <w:vAlign w:val="bottom"/>
          </w:tcPr>
          <w:p>
            <w:pPr>
              <w:jc w:val="right"/>
              <w:ind w:right="511"/>
              <w:spacing w:after="0"/>
              <w:rPr>
                <w:sz w:val="20"/>
                <w:szCs w:val="20"/>
                <w:color w:val="auto"/>
              </w:rPr>
            </w:pPr>
            <w:r>
              <w:rPr>
                <w:rFonts w:ascii="Arial" w:cs="Arial" w:eastAsia="Arial" w:hAnsi="Arial"/>
                <w:sz w:val="14"/>
                <w:szCs w:val="14"/>
                <w:b w:val="1"/>
                <w:bCs w:val="1"/>
                <w:color w:val="auto"/>
                <w:w w:val="96"/>
              </w:rPr>
              <w:t>2022</w:t>
            </w:r>
          </w:p>
        </w:tc>
      </w:tr>
      <w:tr>
        <w:trPr>
          <w:trHeight w:val="39"/>
        </w:trPr>
        <w:tc>
          <w:tcPr>
            <w:tcW w:w="4940" w:type="dxa"/>
            <w:vAlign w:val="bottom"/>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3320" w:type="dxa"/>
            <w:vAlign w:val="bottom"/>
            <w:tcBorders>
              <w:bottom w:val="single" w:sz="8" w:color="auto"/>
            </w:tcBorders>
            <w:gridSpan w:val="5"/>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r>
      <w:tr>
        <w:trPr>
          <w:trHeight w:val="250"/>
        </w:trPr>
        <w:tc>
          <w:tcPr>
            <w:tcW w:w="49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3320" w:type="dxa"/>
            <w:vAlign w:val="bottom"/>
            <w:gridSpan w:val="5"/>
          </w:tcPr>
          <w:p>
            <w:pPr>
              <w:ind w:left="40"/>
              <w:spacing w:after="0"/>
              <w:rPr>
                <w:sz w:val="20"/>
                <w:szCs w:val="20"/>
                <w:color w:val="auto"/>
              </w:rPr>
            </w:pPr>
            <w:r>
              <w:rPr>
                <w:rFonts w:ascii="Arial" w:cs="Arial" w:eastAsia="Arial" w:hAnsi="Arial"/>
                <w:sz w:val="14"/>
                <w:szCs w:val="14"/>
                <w:b w:val="1"/>
                <w:bCs w:val="1"/>
                <w:color w:val="auto"/>
              </w:rPr>
              <w:t>(as a percentage of total revenue</w:t>
            </w:r>
            <w:r>
              <w:rPr>
                <w:rFonts w:ascii="Arial" w:cs="Arial" w:eastAsia="Arial" w:hAnsi="Arial"/>
                <w:sz w:val="21"/>
                <w:szCs w:val="21"/>
                <w:b w:val="1"/>
                <w:bCs w:val="1"/>
                <w:color w:val="auto"/>
                <w:vertAlign w:val="superscript"/>
              </w:rPr>
              <w:t>(1)</w:t>
            </w:r>
            <w:r>
              <w:rPr>
                <w:rFonts w:ascii="Arial" w:cs="Arial" w:eastAsia="Arial" w:hAnsi="Arial"/>
                <w:sz w:val="14"/>
                <w:szCs w:val="14"/>
                <w:b w:val="1"/>
                <w:bCs w:val="1"/>
                <w:color w:val="auto"/>
              </w:rPr>
              <w:t>)</w:t>
            </w:r>
          </w:p>
        </w:tc>
        <w:tc>
          <w:tcPr>
            <w:tcW w:w="920" w:type="dxa"/>
            <w:vAlign w:val="bottom"/>
          </w:tcPr>
          <w:p>
            <w:pPr>
              <w:spacing w:after="0"/>
              <w:rPr>
                <w:sz w:val="21"/>
                <w:szCs w:val="21"/>
                <w:color w:val="auto"/>
              </w:rPr>
            </w:pPr>
          </w:p>
        </w:tc>
      </w:tr>
      <w:tr>
        <w:trPr>
          <w:trHeight w:val="250"/>
        </w:trPr>
        <w:tc>
          <w:tcPr>
            <w:tcW w:w="58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1580" w:type="dxa"/>
            <w:vAlign w:val="bottom"/>
            <w:tcBorders>
              <w:bottom w:val="single" w:sz="8" w:color="CFF0FC"/>
            </w:tcBorders>
            <w:gridSpan w:val="2"/>
            <w:shd w:val="clear" w:color="auto" w:fill="CFF0FC"/>
          </w:tcPr>
          <w:p>
            <w:pPr>
              <w:jc w:val="right"/>
              <w:spacing w:after="0"/>
              <w:rPr>
                <w:sz w:val="20"/>
                <w:szCs w:val="20"/>
                <w:color w:val="auto"/>
              </w:rPr>
            </w:pPr>
            <w:r>
              <w:rPr>
                <w:rFonts w:ascii="Arial" w:cs="Arial" w:eastAsia="Arial" w:hAnsi="Arial"/>
                <w:sz w:val="18"/>
                <w:szCs w:val="18"/>
                <w:color w:val="auto"/>
              </w:rPr>
              <w:t>100 %</w:t>
            </w:r>
          </w:p>
        </w:tc>
        <w:tc>
          <w:tcPr>
            <w:tcW w:w="120" w:type="dxa"/>
            <w:vAlign w:val="bottom"/>
            <w:tcBorders>
              <w:bottom w:val="single" w:sz="8" w:color="CFF0FC"/>
            </w:tcBorders>
            <w:shd w:val="clear" w:color="auto" w:fill="CFF0FC"/>
          </w:tcPr>
          <w:p>
            <w:pPr>
              <w:spacing w:after="0"/>
              <w:rPr>
                <w:sz w:val="21"/>
                <w:szCs w:val="21"/>
                <w:color w:val="auto"/>
              </w:rPr>
            </w:pPr>
          </w:p>
        </w:tc>
        <w:tc>
          <w:tcPr>
            <w:tcW w:w="560" w:type="dxa"/>
            <w:vAlign w:val="bottom"/>
            <w:tcBorders>
              <w:bottom w:val="single" w:sz="8" w:color="CFF0FC"/>
            </w:tcBorders>
            <w:shd w:val="clear" w:color="auto" w:fill="CFF0FC"/>
          </w:tcPr>
          <w:p>
            <w:pPr>
              <w:spacing w:after="0"/>
              <w:rPr>
                <w:sz w:val="21"/>
                <w:szCs w:val="21"/>
                <w:color w:val="auto"/>
              </w:rPr>
            </w:pPr>
          </w:p>
        </w:tc>
        <w:tc>
          <w:tcPr>
            <w:tcW w:w="9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100 %</w:t>
            </w:r>
          </w:p>
        </w:tc>
      </w:tr>
      <w:tr>
        <w:trPr>
          <w:trHeight w:val="243"/>
        </w:trPr>
        <w:tc>
          <w:tcPr>
            <w:tcW w:w="5820" w:type="dxa"/>
            <w:vAlign w:val="bottom"/>
            <w:gridSpan w:val="2"/>
          </w:tcPr>
          <w:p>
            <w:pPr>
              <w:ind w:left="20"/>
              <w:spacing w:after="0"/>
              <w:rPr>
                <w:sz w:val="20"/>
                <w:szCs w:val="20"/>
                <w:color w:val="auto"/>
              </w:rPr>
            </w:pPr>
            <w:r>
              <w:rPr>
                <w:rFonts w:ascii="Arial" w:cs="Arial" w:eastAsia="Arial" w:hAnsi="Arial"/>
                <w:sz w:val="18"/>
                <w:szCs w:val="18"/>
                <w:color w:val="auto"/>
              </w:rPr>
              <w:t>Cost of revenue</w:t>
            </w:r>
          </w:p>
        </w:tc>
        <w:tc>
          <w:tcPr>
            <w:tcW w:w="600" w:type="dxa"/>
            <w:vAlign w:val="bottom"/>
          </w:tcPr>
          <w:p>
            <w:pPr>
              <w:jc w:val="right"/>
              <w:ind w:right="132"/>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60" w:type="dxa"/>
            <w:vAlign w:val="bottom"/>
          </w:tcPr>
          <w:p>
            <w:pPr>
              <w:jc w:val="right"/>
              <w:ind w:right="132"/>
              <w:spacing w:after="0"/>
              <w:rPr>
                <w:sz w:val="20"/>
                <w:szCs w:val="20"/>
                <w:color w:val="auto"/>
              </w:rPr>
            </w:pPr>
            <w:r>
              <w:rPr>
                <w:rFonts w:ascii="Arial" w:cs="Arial" w:eastAsia="Arial" w:hAnsi="Arial"/>
                <w:sz w:val="18"/>
                <w:szCs w:val="18"/>
                <w:color w:val="auto"/>
              </w:rPr>
              <w:t>21</w:t>
            </w:r>
          </w:p>
        </w:tc>
        <w:tc>
          <w:tcPr>
            <w:tcW w:w="1580" w:type="dxa"/>
            <w:vAlign w:val="bottom"/>
            <w:gridSpan w:val="2"/>
          </w:tcPr>
          <w:p>
            <w:pPr>
              <w:jc w:val="right"/>
              <w:ind w:right="137"/>
              <w:spacing w:after="0"/>
              <w:rPr>
                <w:sz w:val="20"/>
                <w:szCs w:val="20"/>
                <w:color w:val="auto"/>
              </w:rPr>
            </w:pPr>
            <w:r>
              <w:rPr>
                <w:rFonts w:ascii="Arial" w:cs="Arial" w:eastAsia="Arial" w:hAnsi="Arial"/>
                <w:sz w:val="18"/>
                <w:szCs w:val="18"/>
                <w:color w:val="auto"/>
              </w:rPr>
              <w:t>20</w:t>
            </w:r>
          </w:p>
        </w:tc>
        <w:tc>
          <w:tcPr>
            <w:tcW w:w="1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20" w:type="dxa"/>
            <w:vAlign w:val="bottom"/>
          </w:tcPr>
          <w:p>
            <w:pPr>
              <w:jc w:val="right"/>
              <w:ind w:right="131"/>
              <w:spacing w:after="0"/>
              <w:rPr>
                <w:sz w:val="20"/>
                <w:szCs w:val="20"/>
                <w:color w:val="auto"/>
              </w:rPr>
            </w:pPr>
            <w:r>
              <w:rPr>
                <w:rFonts w:ascii="Arial" w:cs="Arial" w:eastAsia="Arial" w:hAnsi="Arial"/>
                <w:sz w:val="18"/>
                <w:szCs w:val="18"/>
                <w:color w:val="auto"/>
              </w:rPr>
              <w:t>21</w:t>
            </w:r>
          </w:p>
        </w:tc>
      </w:tr>
      <w:tr>
        <w:trPr>
          <w:trHeight w:val="27"/>
        </w:trPr>
        <w:tc>
          <w:tcPr>
            <w:tcW w:w="494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Borders>
              <w:bottom w:val="single" w:sz="8" w:color="CFF0FC"/>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43"/>
        </w:trPr>
        <w:tc>
          <w:tcPr>
            <w:tcW w:w="58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Gross profit</w:t>
            </w:r>
          </w:p>
        </w:tc>
        <w:tc>
          <w:tcPr>
            <w:tcW w:w="60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color w:val="auto"/>
              </w:rPr>
              <w:t>81</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color w:val="auto"/>
              </w:rPr>
              <w:t>79</w:t>
            </w:r>
          </w:p>
        </w:tc>
        <w:tc>
          <w:tcPr>
            <w:tcW w:w="1580" w:type="dxa"/>
            <w:vAlign w:val="bottom"/>
            <w:tcBorders>
              <w:bottom w:val="single" w:sz="8" w:color="CFF0FC"/>
            </w:tcBorders>
            <w:gridSpan w:val="2"/>
            <w:shd w:val="clear" w:color="auto" w:fill="CFF0FC"/>
          </w:tcPr>
          <w:p>
            <w:pPr>
              <w:jc w:val="right"/>
              <w:ind w:right="137"/>
              <w:spacing w:after="0"/>
              <w:rPr>
                <w:sz w:val="20"/>
                <w:szCs w:val="20"/>
                <w:color w:val="auto"/>
              </w:rPr>
            </w:pPr>
            <w:r>
              <w:rPr>
                <w:rFonts w:ascii="Arial" w:cs="Arial" w:eastAsia="Arial" w:hAnsi="Arial"/>
                <w:sz w:val="18"/>
                <w:szCs w:val="18"/>
                <w:color w:val="auto"/>
              </w:rPr>
              <w:t>80</w:t>
            </w:r>
          </w:p>
        </w:tc>
        <w:tc>
          <w:tcPr>
            <w:tcW w:w="120" w:type="dxa"/>
            <w:vAlign w:val="bottom"/>
            <w:tcBorders>
              <w:bottom w:val="single" w:sz="8" w:color="CFF0FC"/>
            </w:tcBorders>
            <w:shd w:val="clear" w:color="auto" w:fill="CFF0FC"/>
          </w:tcPr>
          <w:p>
            <w:pPr>
              <w:spacing w:after="0"/>
              <w:rPr>
                <w:sz w:val="21"/>
                <w:szCs w:val="21"/>
                <w:color w:val="auto"/>
              </w:rPr>
            </w:pPr>
          </w:p>
        </w:tc>
        <w:tc>
          <w:tcPr>
            <w:tcW w:w="560" w:type="dxa"/>
            <w:vAlign w:val="bottom"/>
            <w:tcBorders>
              <w:bottom w:val="single" w:sz="8" w:color="CFF0FC"/>
            </w:tcBorders>
            <w:shd w:val="clear" w:color="auto" w:fill="CFF0FC"/>
          </w:tcPr>
          <w:p>
            <w:pPr>
              <w:spacing w:after="0"/>
              <w:rPr>
                <w:sz w:val="21"/>
                <w:szCs w:val="21"/>
                <w:color w:val="auto"/>
              </w:rPr>
            </w:pPr>
          </w:p>
        </w:tc>
        <w:tc>
          <w:tcPr>
            <w:tcW w:w="920" w:type="dxa"/>
            <w:vAlign w:val="bottom"/>
            <w:tcBorders>
              <w:bottom w:val="single" w:sz="8" w:color="CFF0FC"/>
            </w:tcBorders>
            <w:shd w:val="clear" w:color="auto" w:fill="CFF0FC"/>
          </w:tcPr>
          <w:p>
            <w:pPr>
              <w:jc w:val="right"/>
              <w:ind w:right="131"/>
              <w:spacing w:after="0"/>
              <w:rPr>
                <w:sz w:val="20"/>
                <w:szCs w:val="20"/>
                <w:color w:val="auto"/>
              </w:rPr>
            </w:pPr>
            <w:r>
              <w:rPr>
                <w:rFonts w:ascii="Arial" w:cs="Arial" w:eastAsia="Arial" w:hAnsi="Arial"/>
                <w:sz w:val="18"/>
                <w:szCs w:val="18"/>
                <w:color w:val="auto"/>
              </w:rPr>
              <w:t>79</w:t>
            </w:r>
          </w:p>
        </w:tc>
      </w:tr>
      <w:tr>
        <w:trPr>
          <w:trHeight w:val="243"/>
        </w:trPr>
        <w:tc>
          <w:tcPr>
            <w:tcW w:w="5820" w:type="dxa"/>
            <w:vAlign w:val="bottom"/>
            <w:gridSpan w:val="2"/>
          </w:tcPr>
          <w:p>
            <w:pPr>
              <w:ind w:left="20"/>
              <w:spacing w:after="0"/>
              <w:rPr>
                <w:sz w:val="20"/>
                <w:szCs w:val="20"/>
                <w:color w:val="auto"/>
              </w:rPr>
            </w:pPr>
            <w:r>
              <w:rPr>
                <w:rFonts w:ascii="Arial" w:cs="Arial" w:eastAsia="Arial" w:hAnsi="Arial"/>
                <w:sz w:val="18"/>
                <w:szCs w:val="18"/>
                <w:color w:val="auto"/>
              </w:rPr>
              <w:t>Operating expenses</w:t>
            </w:r>
          </w:p>
        </w:tc>
        <w:tc>
          <w:tcPr>
            <w:tcW w:w="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20" w:type="dxa"/>
            <w:vAlign w:val="bottom"/>
          </w:tcPr>
          <w:p>
            <w:pPr>
              <w:spacing w:after="0"/>
              <w:rPr>
                <w:sz w:val="21"/>
                <w:szCs w:val="21"/>
                <w:color w:val="auto"/>
              </w:rPr>
            </w:pPr>
          </w:p>
        </w:tc>
      </w:tr>
      <w:tr>
        <w:trPr>
          <w:trHeight w:val="27"/>
        </w:trPr>
        <w:tc>
          <w:tcPr>
            <w:tcW w:w="4940" w:type="dxa"/>
            <w:vAlign w:val="bottom"/>
          </w:tcPr>
          <w:p>
            <w:pPr>
              <w:spacing w:after="0"/>
              <w:rPr>
                <w:sz w:val="2"/>
                <w:szCs w:val="2"/>
                <w:color w:val="auto"/>
              </w:rPr>
            </w:pPr>
          </w:p>
        </w:tc>
        <w:tc>
          <w:tcPr>
            <w:tcW w:w="8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582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8"/>
                <w:szCs w:val="18"/>
                <w:color w:val="auto"/>
              </w:rPr>
              <w:t>Research and development</w:t>
            </w:r>
          </w:p>
        </w:tc>
        <w:tc>
          <w:tcPr>
            <w:tcW w:w="60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color w:val="auto"/>
              </w:rPr>
              <w:t>44</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color w:val="auto"/>
              </w:rPr>
              <w:t>47</w:t>
            </w:r>
          </w:p>
        </w:tc>
        <w:tc>
          <w:tcPr>
            <w:tcW w:w="1580" w:type="dxa"/>
            <w:vAlign w:val="bottom"/>
            <w:tcBorders>
              <w:bottom w:val="single" w:sz="8" w:color="CFF0FC"/>
            </w:tcBorders>
            <w:gridSpan w:val="2"/>
            <w:shd w:val="clear" w:color="auto" w:fill="CFF0FC"/>
          </w:tcPr>
          <w:p>
            <w:pPr>
              <w:jc w:val="right"/>
              <w:ind w:right="137"/>
              <w:spacing w:after="0"/>
              <w:rPr>
                <w:sz w:val="20"/>
                <w:szCs w:val="20"/>
                <w:color w:val="auto"/>
              </w:rPr>
            </w:pPr>
            <w:r>
              <w:rPr>
                <w:rFonts w:ascii="Arial" w:cs="Arial" w:eastAsia="Arial" w:hAnsi="Arial"/>
                <w:sz w:val="18"/>
                <w:szCs w:val="18"/>
                <w:color w:val="auto"/>
              </w:rPr>
              <w:t>46</w:t>
            </w:r>
          </w:p>
        </w:tc>
        <w:tc>
          <w:tcPr>
            <w:tcW w:w="120" w:type="dxa"/>
            <w:vAlign w:val="bottom"/>
            <w:tcBorders>
              <w:bottom w:val="single" w:sz="8" w:color="CFF0FC"/>
            </w:tcBorders>
            <w:shd w:val="clear" w:color="auto" w:fill="CFF0FC"/>
          </w:tcPr>
          <w:p>
            <w:pPr>
              <w:spacing w:after="0"/>
              <w:rPr>
                <w:sz w:val="21"/>
                <w:szCs w:val="21"/>
                <w:color w:val="auto"/>
              </w:rPr>
            </w:pPr>
          </w:p>
        </w:tc>
        <w:tc>
          <w:tcPr>
            <w:tcW w:w="560" w:type="dxa"/>
            <w:vAlign w:val="bottom"/>
            <w:tcBorders>
              <w:bottom w:val="single" w:sz="8" w:color="CFF0FC"/>
            </w:tcBorders>
            <w:shd w:val="clear" w:color="auto" w:fill="CFF0FC"/>
          </w:tcPr>
          <w:p>
            <w:pPr>
              <w:spacing w:after="0"/>
              <w:rPr>
                <w:sz w:val="21"/>
                <w:szCs w:val="21"/>
                <w:color w:val="auto"/>
              </w:rPr>
            </w:pPr>
          </w:p>
        </w:tc>
        <w:tc>
          <w:tcPr>
            <w:tcW w:w="920" w:type="dxa"/>
            <w:vAlign w:val="bottom"/>
            <w:tcBorders>
              <w:bottom w:val="single" w:sz="8" w:color="CFF0FC"/>
            </w:tcBorders>
            <w:shd w:val="clear" w:color="auto" w:fill="CFF0FC"/>
          </w:tcPr>
          <w:p>
            <w:pPr>
              <w:jc w:val="right"/>
              <w:ind w:right="131"/>
              <w:spacing w:after="0"/>
              <w:rPr>
                <w:sz w:val="20"/>
                <w:szCs w:val="20"/>
                <w:color w:val="auto"/>
              </w:rPr>
            </w:pPr>
            <w:r>
              <w:rPr>
                <w:rFonts w:ascii="Arial" w:cs="Arial" w:eastAsia="Arial" w:hAnsi="Arial"/>
                <w:sz w:val="18"/>
                <w:szCs w:val="18"/>
                <w:color w:val="auto"/>
              </w:rPr>
              <w:t>44</w:t>
            </w:r>
          </w:p>
        </w:tc>
      </w:tr>
      <w:tr>
        <w:trPr>
          <w:trHeight w:val="243"/>
        </w:trPr>
        <w:tc>
          <w:tcPr>
            <w:tcW w:w="5820" w:type="dxa"/>
            <w:vAlign w:val="bottom"/>
            <w:gridSpan w:val="2"/>
          </w:tcPr>
          <w:p>
            <w:pPr>
              <w:ind w:left="220"/>
              <w:spacing w:after="0"/>
              <w:rPr>
                <w:sz w:val="20"/>
                <w:szCs w:val="20"/>
                <w:color w:val="auto"/>
              </w:rPr>
            </w:pPr>
            <w:r>
              <w:rPr>
                <w:rFonts w:ascii="Arial" w:cs="Arial" w:eastAsia="Arial" w:hAnsi="Arial"/>
                <w:sz w:val="18"/>
                <w:szCs w:val="18"/>
                <w:color w:val="auto"/>
              </w:rPr>
              <w:t>Sales and marketing</w:t>
            </w:r>
          </w:p>
        </w:tc>
        <w:tc>
          <w:tcPr>
            <w:tcW w:w="600" w:type="dxa"/>
            <w:vAlign w:val="bottom"/>
          </w:tcPr>
          <w:p>
            <w:pPr>
              <w:jc w:val="right"/>
              <w:ind w:right="132"/>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60" w:type="dxa"/>
            <w:vAlign w:val="bottom"/>
          </w:tcPr>
          <w:p>
            <w:pPr>
              <w:jc w:val="right"/>
              <w:ind w:right="132"/>
              <w:spacing w:after="0"/>
              <w:rPr>
                <w:sz w:val="20"/>
                <w:szCs w:val="20"/>
                <w:color w:val="auto"/>
              </w:rPr>
            </w:pPr>
            <w:r>
              <w:rPr>
                <w:rFonts w:ascii="Arial" w:cs="Arial" w:eastAsia="Arial" w:hAnsi="Arial"/>
                <w:sz w:val="18"/>
                <w:szCs w:val="18"/>
                <w:color w:val="auto"/>
              </w:rPr>
              <w:t>30</w:t>
            </w:r>
          </w:p>
        </w:tc>
        <w:tc>
          <w:tcPr>
            <w:tcW w:w="1580" w:type="dxa"/>
            <w:vAlign w:val="bottom"/>
            <w:gridSpan w:val="2"/>
          </w:tcPr>
          <w:p>
            <w:pPr>
              <w:jc w:val="right"/>
              <w:ind w:right="137"/>
              <w:spacing w:after="0"/>
              <w:rPr>
                <w:sz w:val="20"/>
                <w:szCs w:val="20"/>
                <w:color w:val="auto"/>
              </w:rPr>
            </w:pPr>
            <w:r>
              <w:rPr>
                <w:rFonts w:ascii="Arial" w:cs="Arial" w:eastAsia="Arial" w:hAnsi="Arial"/>
                <w:sz w:val="18"/>
                <w:szCs w:val="18"/>
                <w:color w:val="auto"/>
              </w:rPr>
              <w:t>29</w:t>
            </w:r>
          </w:p>
        </w:tc>
        <w:tc>
          <w:tcPr>
            <w:tcW w:w="1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20" w:type="dxa"/>
            <w:vAlign w:val="bottom"/>
          </w:tcPr>
          <w:p>
            <w:pPr>
              <w:jc w:val="right"/>
              <w:ind w:right="131"/>
              <w:spacing w:after="0"/>
              <w:rPr>
                <w:sz w:val="20"/>
                <w:szCs w:val="20"/>
                <w:color w:val="auto"/>
              </w:rPr>
            </w:pPr>
            <w:r>
              <w:rPr>
                <w:rFonts w:ascii="Arial" w:cs="Arial" w:eastAsia="Arial" w:hAnsi="Arial"/>
                <w:sz w:val="18"/>
                <w:szCs w:val="18"/>
                <w:color w:val="auto"/>
              </w:rPr>
              <w:t>29</w:t>
            </w:r>
          </w:p>
        </w:tc>
      </w:tr>
      <w:tr>
        <w:trPr>
          <w:trHeight w:val="27"/>
        </w:trPr>
        <w:tc>
          <w:tcPr>
            <w:tcW w:w="4940" w:type="dxa"/>
            <w:vAlign w:val="bottom"/>
          </w:tcPr>
          <w:p>
            <w:pPr>
              <w:spacing w:after="0"/>
              <w:rPr>
                <w:sz w:val="2"/>
                <w:szCs w:val="2"/>
                <w:color w:val="auto"/>
              </w:rPr>
            </w:pPr>
          </w:p>
        </w:tc>
        <w:tc>
          <w:tcPr>
            <w:tcW w:w="8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0"/>
        </w:trPr>
        <w:tc>
          <w:tcPr>
            <w:tcW w:w="49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General and administrative</w:t>
            </w:r>
          </w:p>
        </w:tc>
        <w:tc>
          <w:tcPr>
            <w:tcW w:w="88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color w:val="auto"/>
              </w:rPr>
              <w:t>9</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color w:val="auto"/>
              </w:rPr>
              <w:t>9</w:t>
            </w:r>
          </w:p>
        </w:tc>
        <w:tc>
          <w:tcPr>
            <w:tcW w:w="1580" w:type="dxa"/>
            <w:vAlign w:val="bottom"/>
            <w:tcBorders>
              <w:bottom w:val="single" w:sz="8" w:color="CFF0FC"/>
            </w:tcBorders>
            <w:gridSpan w:val="2"/>
            <w:shd w:val="clear" w:color="auto" w:fill="CFF0FC"/>
          </w:tcPr>
          <w:p>
            <w:pPr>
              <w:jc w:val="right"/>
              <w:ind w:right="137"/>
              <w:spacing w:after="0"/>
              <w:rPr>
                <w:sz w:val="20"/>
                <w:szCs w:val="20"/>
                <w:color w:val="auto"/>
              </w:rPr>
            </w:pPr>
            <w:r>
              <w:rPr>
                <w:rFonts w:ascii="Arial" w:cs="Arial" w:eastAsia="Arial" w:hAnsi="Arial"/>
                <w:sz w:val="18"/>
                <w:szCs w:val="18"/>
                <w:color w:val="auto"/>
              </w:rPr>
              <w:t>9</w:t>
            </w:r>
          </w:p>
        </w:tc>
        <w:tc>
          <w:tcPr>
            <w:tcW w:w="120" w:type="dxa"/>
            <w:vAlign w:val="bottom"/>
            <w:tcBorders>
              <w:bottom w:val="single" w:sz="8" w:color="CFF0FC"/>
            </w:tcBorders>
            <w:shd w:val="clear" w:color="auto" w:fill="CFF0FC"/>
          </w:tcPr>
          <w:p>
            <w:pPr>
              <w:spacing w:after="0"/>
              <w:rPr>
                <w:sz w:val="23"/>
                <w:szCs w:val="23"/>
                <w:color w:val="auto"/>
              </w:rPr>
            </w:pPr>
          </w:p>
        </w:tc>
        <w:tc>
          <w:tcPr>
            <w:tcW w:w="560" w:type="dxa"/>
            <w:vAlign w:val="bottom"/>
            <w:tcBorders>
              <w:bottom w:val="single" w:sz="8" w:color="CFF0FC"/>
            </w:tcBorders>
            <w:shd w:val="clear" w:color="auto" w:fill="CFF0FC"/>
          </w:tcPr>
          <w:p>
            <w:pPr>
              <w:spacing w:after="0"/>
              <w:rPr>
                <w:sz w:val="23"/>
                <w:szCs w:val="23"/>
                <w:color w:val="auto"/>
              </w:rPr>
            </w:pPr>
          </w:p>
        </w:tc>
        <w:tc>
          <w:tcPr>
            <w:tcW w:w="920" w:type="dxa"/>
            <w:vAlign w:val="bottom"/>
            <w:tcBorders>
              <w:bottom w:val="single" w:sz="8" w:color="CFF0FC"/>
            </w:tcBorders>
            <w:shd w:val="clear" w:color="auto" w:fill="CFF0FC"/>
          </w:tcPr>
          <w:p>
            <w:pPr>
              <w:jc w:val="right"/>
              <w:ind w:right="131"/>
              <w:spacing w:after="0"/>
              <w:rPr>
                <w:sz w:val="20"/>
                <w:szCs w:val="20"/>
                <w:color w:val="auto"/>
              </w:rPr>
            </w:pPr>
            <w:r>
              <w:rPr>
                <w:rFonts w:ascii="Arial" w:cs="Arial" w:eastAsia="Arial" w:hAnsi="Arial"/>
                <w:sz w:val="18"/>
                <w:szCs w:val="18"/>
                <w:color w:val="auto"/>
              </w:rPr>
              <w:t>8</w:t>
            </w:r>
          </w:p>
        </w:tc>
      </w:tr>
      <w:tr>
        <w:trPr>
          <w:trHeight w:val="237"/>
        </w:trPr>
        <w:tc>
          <w:tcPr>
            <w:tcW w:w="4940" w:type="dxa"/>
            <w:vAlign w:val="bottom"/>
          </w:tcPr>
          <w:p>
            <w:pPr>
              <w:ind w:left="480"/>
              <w:spacing w:after="0"/>
              <w:rPr>
                <w:sz w:val="20"/>
                <w:szCs w:val="20"/>
                <w:color w:val="auto"/>
              </w:rPr>
            </w:pPr>
            <w:r>
              <w:rPr>
                <w:rFonts w:ascii="Arial" w:cs="Arial" w:eastAsia="Arial" w:hAnsi="Arial"/>
                <w:sz w:val="18"/>
                <w:szCs w:val="18"/>
                <w:color w:val="auto"/>
              </w:rPr>
              <w:t>Total operating expenses</w:t>
            </w:r>
          </w:p>
        </w:tc>
        <w:tc>
          <w:tcPr>
            <w:tcW w:w="880" w:type="dxa"/>
            <w:vAlign w:val="bottom"/>
            <w:tcBorders>
              <w:top w:val="single" w:sz="8" w:color="auto"/>
            </w:tcBorders>
          </w:tcPr>
          <w:p>
            <w:pPr>
              <w:spacing w:after="0"/>
              <w:rPr>
                <w:sz w:val="20"/>
                <w:szCs w:val="20"/>
                <w:color w:val="auto"/>
              </w:rPr>
            </w:pPr>
          </w:p>
        </w:tc>
        <w:tc>
          <w:tcPr>
            <w:tcW w:w="600" w:type="dxa"/>
            <w:vAlign w:val="bottom"/>
            <w:tcBorders>
              <w:top w:val="single" w:sz="8" w:color="auto"/>
            </w:tcBorders>
          </w:tcPr>
          <w:p>
            <w:pPr>
              <w:jc w:val="right"/>
              <w:ind w:right="132"/>
              <w:spacing w:after="0"/>
              <w:rPr>
                <w:sz w:val="20"/>
                <w:szCs w:val="20"/>
                <w:color w:val="auto"/>
              </w:rPr>
            </w:pPr>
            <w:r>
              <w:rPr>
                <w:rFonts w:ascii="Arial" w:cs="Arial" w:eastAsia="Arial" w:hAnsi="Arial"/>
                <w:sz w:val="18"/>
                <w:szCs w:val="18"/>
                <w:color w:val="auto"/>
              </w:rPr>
              <w:t>82</w:t>
            </w:r>
          </w:p>
        </w:tc>
        <w:tc>
          <w:tcPr>
            <w:tcW w:w="10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32"/>
              <w:spacing w:after="0"/>
              <w:rPr>
                <w:sz w:val="20"/>
                <w:szCs w:val="20"/>
                <w:color w:val="auto"/>
              </w:rPr>
            </w:pPr>
            <w:r>
              <w:rPr>
                <w:rFonts w:ascii="Arial" w:cs="Arial" w:eastAsia="Arial" w:hAnsi="Arial"/>
                <w:sz w:val="18"/>
                <w:szCs w:val="18"/>
                <w:color w:val="auto"/>
              </w:rPr>
              <w:t>86</w:t>
            </w:r>
          </w:p>
        </w:tc>
        <w:tc>
          <w:tcPr>
            <w:tcW w:w="100" w:type="dxa"/>
            <w:vAlign w:val="bottom"/>
          </w:tcPr>
          <w:p>
            <w:pPr>
              <w:spacing w:after="0"/>
              <w:rPr>
                <w:sz w:val="20"/>
                <w:szCs w:val="20"/>
                <w:color w:val="auto"/>
              </w:rPr>
            </w:pPr>
          </w:p>
        </w:tc>
        <w:tc>
          <w:tcPr>
            <w:tcW w:w="1480" w:type="dxa"/>
            <w:vAlign w:val="bottom"/>
            <w:tcBorders>
              <w:top w:val="single" w:sz="8" w:color="auto"/>
            </w:tcBorders>
          </w:tcPr>
          <w:p>
            <w:pPr>
              <w:jc w:val="right"/>
              <w:ind w:right="137"/>
              <w:spacing w:after="0"/>
              <w:rPr>
                <w:sz w:val="20"/>
                <w:szCs w:val="20"/>
                <w:color w:val="auto"/>
              </w:rPr>
            </w:pPr>
            <w:r>
              <w:rPr>
                <w:rFonts w:ascii="Arial" w:cs="Arial" w:eastAsia="Arial" w:hAnsi="Arial"/>
                <w:sz w:val="18"/>
                <w:szCs w:val="18"/>
                <w:color w:val="auto"/>
              </w:rPr>
              <w:t>84</w:t>
            </w:r>
          </w:p>
        </w:tc>
        <w:tc>
          <w:tcPr>
            <w:tcW w:w="120" w:type="dxa"/>
            <w:vAlign w:val="bottom"/>
          </w:tcPr>
          <w:p>
            <w:pPr>
              <w:spacing w:after="0"/>
              <w:rPr>
                <w:sz w:val="20"/>
                <w:szCs w:val="20"/>
                <w:color w:val="auto"/>
              </w:rPr>
            </w:pPr>
          </w:p>
        </w:tc>
        <w:tc>
          <w:tcPr>
            <w:tcW w:w="56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131"/>
              <w:spacing w:after="0"/>
              <w:rPr>
                <w:sz w:val="20"/>
                <w:szCs w:val="20"/>
                <w:color w:val="auto"/>
              </w:rPr>
            </w:pPr>
            <w:r>
              <w:rPr>
                <w:rFonts w:ascii="Arial" w:cs="Arial" w:eastAsia="Arial" w:hAnsi="Arial"/>
                <w:sz w:val="18"/>
                <w:szCs w:val="18"/>
                <w:color w:val="auto"/>
              </w:rPr>
              <w:t>81</w:t>
            </w:r>
          </w:p>
        </w:tc>
      </w:tr>
      <w:tr>
        <w:trPr>
          <w:trHeight w:val="27"/>
        </w:trPr>
        <w:tc>
          <w:tcPr>
            <w:tcW w:w="494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Borders>
              <w:bottom w:val="single" w:sz="8" w:color="CFF0FC"/>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43"/>
        </w:trPr>
        <w:tc>
          <w:tcPr>
            <w:tcW w:w="58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Operating loss</w:t>
            </w:r>
          </w:p>
        </w:tc>
        <w:tc>
          <w:tcPr>
            <w:tcW w:w="6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8"/>
                <w:szCs w:val="18"/>
                <w:color w:val="auto"/>
              </w:rPr>
              <w:t>(7)</w:t>
            </w:r>
          </w:p>
        </w:tc>
        <w:tc>
          <w:tcPr>
            <w:tcW w:w="1580" w:type="dxa"/>
            <w:vAlign w:val="bottom"/>
            <w:tcBorders>
              <w:bottom w:val="single" w:sz="8" w:color="CFF0FC"/>
            </w:tcBorders>
            <w:gridSpan w:val="2"/>
            <w:shd w:val="clear" w:color="auto" w:fill="CFF0FC"/>
          </w:tcPr>
          <w:p>
            <w:pPr>
              <w:ind w:left="1200"/>
              <w:spacing w:after="0"/>
              <w:rPr>
                <w:sz w:val="20"/>
                <w:szCs w:val="20"/>
                <w:color w:val="auto"/>
              </w:rPr>
            </w:pPr>
            <w:r>
              <w:rPr>
                <w:rFonts w:ascii="Arial" w:cs="Arial" w:eastAsia="Arial" w:hAnsi="Arial"/>
                <w:sz w:val="18"/>
                <w:szCs w:val="18"/>
                <w:color w:val="auto"/>
              </w:rPr>
              <w:t>(4)</w:t>
            </w:r>
          </w:p>
        </w:tc>
        <w:tc>
          <w:tcPr>
            <w:tcW w:w="120" w:type="dxa"/>
            <w:vAlign w:val="bottom"/>
            <w:tcBorders>
              <w:bottom w:val="single" w:sz="8" w:color="CFF0FC"/>
            </w:tcBorders>
            <w:shd w:val="clear" w:color="auto" w:fill="CFF0FC"/>
          </w:tcPr>
          <w:p>
            <w:pPr>
              <w:spacing w:after="0"/>
              <w:rPr>
                <w:sz w:val="21"/>
                <w:szCs w:val="21"/>
                <w:color w:val="auto"/>
              </w:rPr>
            </w:pPr>
          </w:p>
        </w:tc>
        <w:tc>
          <w:tcPr>
            <w:tcW w:w="560" w:type="dxa"/>
            <w:vAlign w:val="bottom"/>
            <w:tcBorders>
              <w:bottom w:val="single" w:sz="8" w:color="CFF0FC"/>
            </w:tcBorders>
            <w:shd w:val="clear" w:color="auto" w:fill="CFF0FC"/>
          </w:tcPr>
          <w:p>
            <w:pPr>
              <w:spacing w:after="0"/>
              <w:rPr>
                <w:sz w:val="21"/>
                <w:szCs w:val="21"/>
                <w:color w:val="auto"/>
              </w:rPr>
            </w:pPr>
          </w:p>
        </w:tc>
        <w:tc>
          <w:tcPr>
            <w:tcW w:w="920" w:type="dxa"/>
            <w:vAlign w:val="bottom"/>
            <w:tcBorders>
              <w:bottom w:val="single" w:sz="8" w:color="CFF0FC"/>
            </w:tcBorders>
            <w:shd w:val="clear" w:color="auto" w:fill="CFF0FC"/>
          </w:tcPr>
          <w:p>
            <w:pPr>
              <w:ind w:left="540"/>
              <w:spacing w:after="0"/>
              <w:rPr>
                <w:sz w:val="20"/>
                <w:szCs w:val="20"/>
                <w:color w:val="auto"/>
              </w:rPr>
            </w:pPr>
            <w:r>
              <w:rPr>
                <w:rFonts w:ascii="Arial" w:cs="Arial" w:eastAsia="Arial" w:hAnsi="Arial"/>
                <w:sz w:val="18"/>
                <w:szCs w:val="18"/>
                <w:color w:val="auto"/>
              </w:rPr>
              <w:t>(2)</w:t>
            </w:r>
          </w:p>
        </w:tc>
      </w:tr>
      <w:tr>
        <w:trPr>
          <w:trHeight w:val="243"/>
        </w:trPr>
        <w:tc>
          <w:tcPr>
            <w:tcW w:w="5820" w:type="dxa"/>
            <w:vAlign w:val="bottom"/>
            <w:gridSpan w:val="2"/>
          </w:tcPr>
          <w:p>
            <w:pPr>
              <w:ind w:left="20"/>
              <w:spacing w:after="0"/>
              <w:rPr>
                <w:sz w:val="20"/>
                <w:szCs w:val="20"/>
                <w:color w:val="auto"/>
              </w:rPr>
            </w:pPr>
            <w:r>
              <w:rPr>
                <w:rFonts w:ascii="Arial" w:cs="Arial" w:eastAsia="Arial" w:hAnsi="Arial"/>
                <w:sz w:val="18"/>
                <w:szCs w:val="18"/>
                <w:color w:val="auto"/>
              </w:rPr>
              <w:t>Other income (loss):</w:t>
            </w:r>
          </w:p>
        </w:tc>
        <w:tc>
          <w:tcPr>
            <w:tcW w:w="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20" w:type="dxa"/>
            <w:vAlign w:val="bottom"/>
          </w:tcPr>
          <w:p>
            <w:pPr>
              <w:spacing w:after="0"/>
              <w:rPr>
                <w:sz w:val="21"/>
                <w:szCs w:val="21"/>
                <w:color w:val="auto"/>
              </w:rPr>
            </w:pPr>
          </w:p>
        </w:tc>
      </w:tr>
      <w:tr>
        <w:trPr>
          <w:trHeight w:val="27"/>
        </w:trPr>
        <w:tc>
          <w:tcPr>
            <w:tcW w:w="4940" w:type="dxa"/>
            <w:vAlign w:val="bottom"/>
          </w:tcPr>
          <w:p>
            <w:pPr>
              <w:spacing w:after="0"/>
              <w:rPr>
                <w:sz w:val="2"/>
                <w:szCs w:val="2"/>
                <w:color w:val="auto"/>
              </w:rPr>
            </w:pPr>
          </w:p>
        </w:tc>
        <w:tc>
          <w:tcPr>
            <w:tcW w:w="8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582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8"/>
                <w:szCs w:val="18"/>
                <w:color w:val="auto"/>
              </w:rPr>
              <w:t>Interest expense</w:t>
            </w:r>
          </w:p>
        </w:tc>
        <w:tc>
          <w:tcPr>
            <w:tcW w:w="60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color w:val="auto"/>
              </w:rPr>
              <w:t>0</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8"/>
                <w:szCs w:val="18"/>
                <w:color w:val="auto"/>
              </w:rPr>
              <w:t>(1)</w:t>
            </w:r>
          </w:p>
        </w:tc>
        <w:tc>
          <w:tcPr>
            <w:tcW w:w="1580" w:type="dxa"/>
            <w:vAlign w:val="bottom"/>
            <w:tcBorders>
              <w:bottom w:val="single" w:sz="8" w:color="CFF0FC"/>
            </w:tcBorders>
            <w:gridSpan w:val="2"/>
            <w:shd w:val="clear" w:color="auto" w:fill="CFF0FC"/>
          </w:tcPr>
          <w:p>
            <w:pPr>
              <w:jc w:val="right"/>
              <w:ind w:right="137"/>
              <w:spacing w:after="0"/>
              <w:rPr>
                <w:sz w:val="20"/>
                <w:szCs w:val="20"/>
                <w:color w:val="auto"/>
              </w:rPr>
            </w:pPr>
            <w:r>
              <w:rPr>
                <w:rFonts w:ascii="Arial" w:cs="Arial" w:eastAsia="Arial" w:hAnsi="Arial"/>
                <w:sz w:val="18"/>
                <w:szCs w:val="18"/>
                <w:color w:val="auto"/>
              </w:rPr>
              <w:t>0</w:t>
            </w:r>
          </w:p>
        </w:tc>
        <w:tc>
          <w:tcPr>
            <w:tcW w:w="120" w:type="dxa"/>
            <w:vAlign w:val="bottom"/>
            <w:tcBorders>
              <w:bottom w:val="single" w:sz="8" w:color="CFF0FC"/>
            </w:tcBorders>
            <w:shd w:val="clear" w:color="auto" w:fill="CFF0FC"/>
          </w:tcPr>
          <w:p>
            <w:pPr>
              <w:spacing w:after="0"/>
              <w:rPr>
                <w:sz w:val="21"/>
                <w:szCs w:val="21"/>
                <w:color w:val="auto"/>
              </w:rPr>
            </w:pPr>
          </w:p>
        </w:tc>
        <w:tc>
          <w:tcPr>
            <w:tcW w:w="560" w:type="dxa"/>
            <w:vAlign w:val="bottom"/>
            <w:tcBorders>
              <w:bottom w:val="single" w:sz="8" w:color="CFF0FC"/>
            </w:tcBorders>
            <w:shd w:val="clear" w:color="auto" w:fill="CFF0FC"/>
          </w:tcPr>
          <w:p>
            <w:pPr>
              <w:spacing w:after="0"/>
              <w:rPr>
                <w:sz w:val="21"/>
                <w:szCs w:val="21"/>
                <w:color w:val="auto"/>
              </w:rPr>
            </w:pPr>
          </w:p>
        </w:tc>
        <w:tc>
          <w:tcPr>
            <w:tcW w:w="920" w:type="dxa"/>
            <w:vAlign w:val="bottom"/>
            <w:tcBorders>
              <w:bottom w:val="single" w:sz="8" w:color="CFF0FC"/>
            </w:tcBorders>
            <w:shd w:val="clear" w:color="auto" w:fill="CFF0FC"/>
          </w:tcPr>
          <w:p>
            <w:pPr>
              <w:ind w:left="540"/>
              <w:spacing w:after="0"/>
              <w:rPr>
                <w:sz w:val="20"/>
                <w:szCs w:val="20"/>
                <w:color w:val="auto"/>
              </w:rPr>
            </w:pPr>
            <w:r>
              <w:rPr>
                <w:rFonts w:ascii="Arial" w:cs="Arial" w:eastAsia="Arial" w:hAnsi="Arial"/>
                <w:sz w:val="18"/>
                <w:szCs w:val="18"/>
                <w:color w:val="auto"/>
              </w:rPr>
              <w:t>(1)</w:t>
            </w:r>
          </w:p>
        </w:tc>
      </w:tr>
      <w:tr>
        <w:trPr>
          <w:trHeight w:val="243"/>
        </w:trPr>
        <w:tc>
          <w:tcPr>
            <w:tcW w:w="5820" w:type="dxa"/>
            <w:vAlign w:val="bottom"/>
            <w:gridSpan w:val="2"/>
          </w:tcPr>
          <w:p>
            <w:pPr>
              <w:ind w:left="220"/>
              <w:spacing w:after="0"/>
              <w:rPr>
                <w:sz w:val="20"/>
                <w:szCs w:val="20"/>
                <w:color w:val="auto"/>
              </w:rPr>
            </w:pPr>
            <w:r>
              <w:rPr>
                <w:rFonts w:ascii="Arial" w:cs="Arial" w:eastAsia="Arial" w:hAnsi="Arial"/>
                <w:sz w:val="18"/>
                <w:szCs w:val="18"/>
                <w:color w:val="auto"/>
              </w:rPr>
              <w:t>Interest income and other income, net</w:t>
            </w:r>
          </w:p>
        </w:tc>
        <w:tc>
          <w:tcPr>
            <w:tcW w:w="600" w:type="dxa"/>
            <w:vAlign w:val="bottom"/>
          </w:tcPr>
          <w:p>
            <w:pPr>
              <w:jc w:val="right"/>
              <w:ind w:right="132"/>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60" w:type="dxa"/>
            <w:vAlign w:val="bottom"/>
          </w:tcPr>
          <w:p>
            <w:pPr>
              <w:jc w:val="right"/>
              <w:ind w:right="132"/>
              <w:spacing w:after="0"/>
              <w:rPr>
                <w:sz w:val="20"/>
                <w:szCs w:val="20"/>
                <w:color w:val="auto"/>
              </w:rPr>
            </w:pPr>
            <w:r>
              <w:rPr>
                <w:rFonts w:ascii="Arial" w:cs="Arial" w:eastAsia="Arial" w:hAnsi="Arial"/>
                <w:sz w:val="18"/>
                <w:szCs w:val="18"/>
                <w:color w:val="auto"/>
              </w:rPr>
              <w:t>3</w:t>
            </w:r>
          </w:p>
        </w:tc>
        <w:tc>
          <w:tcPr>
            <w:tcW w:w="1580" w:type="dxa"/>
            <w:vAlign w:val="bottom"/>
            <w:gridSpan w:val="2"/>
          </w:tcPr>
          <w:p>
            <w:pPr>
              <w:jc w:val="right"/>
              <w:ind w:right="137"/>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20" w:type="dxa"/>
            <w:vAlign w:val="bottom"/>
          </w:tcPr>
          <w:p>
            <w:pPr>
              <w:jc w:val="right"/>
              <w:ind w:right="131"/>
              <w:spacing w:after="0"/>
              <w:rPr>
                <w:sz w:val="20"/>
                <w:szCs w:val="20"/>
                <w:color w:val="auto"/>
              </w:rPr>
            </w:pPr>
            <w:r>
              <w:rPr>
                <w:rFonts w:ascii="Arial" w:cs="Arial" w:eastAsia="Arial" w:hAnsi="Arial"/>
                <w:sz w:val="18"/>
                <w:szCs w:val="18"/>
                <w:color w:val="auto"/>
              </w:rPr>
              <w:t>2</w:t>
            </w:r>
          </w:p>
        </w:tc>
      </w:tr>
      <w:tr>
        <w:trPr>
          <w:trHeight w:val="27"/>
        </w:trPr>
        <w:tc>
          <w:tcPr>
            <w:tcW w:w="494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Borders>
              <w:bottom w:val="single" w:sz="8" w:color="CFF0FC"/>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63"/>
        </w:trPr>
        <w:tc>
          <w:tcPr>
            <w:tcW w:w="494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Other income, net</w:t>
            </w:r>
          </w:p>
        </w:tc>
        <w:tc>
          <w:tcPr>
            <w:tcW w:w="88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color w:val="auto"/>
              </w:rPr>
              <w:t>2</w:t>
            </w:r>
          </w:p>
        </w:tc>
        <w:tc>
          <w:tcPr>
            <w:tcW w:w="1580" w:type="dxa"/>
            <w:vAlign w:val="bottom"/>
            <w:tcBorders>
              <w:bottom w:val="single" w:sz="8" w:color="CFF0FC"/>
            </w:tcBorders>
            <w:gridSpan w:val="2"/>
            <w:shd w:val="clear" w:color="auto" w:fill="CFF0FC"/>
          </w:tcPr>
          <w:p>
            <w:pPr>
              <w:jc w:val="right"/>
              <w:ind w:right="137"/>
              <w:spacing w:after="0"/>
              <w:rPr>
                <w:sz w:val="20"/>
                <w:szCs w:val="20"/>
                <w:color w:val="auto"/>
              </w:rPr>
            </w:pPr>
            <w:r>
              <w:rPr>
                <w:rFonts w:ascii="Arial" w:cs="Arial" w:eastAsia="Arial" w:hAnsi="Arial"/>
                <w:sz w:val="18"/>
                <w:szCs w:val="18"/>
                <w:color w:val="auto"/>
              </w:rPr>
              <w:t>4</w:t>
            </w:r>
          </w:p>
        </w:tc>
        <w:tc>
          <w:tcPr>
            <w:tcW w:w="120" w:type="dxa"/>
            <w:vAlign w:val="bottom"/>
            <w:tcBorders>
              <w:bottom w:val="single" w:sz="8" w:color="CFF0FC"/>
            </w:tcBorders>
            <w:shd w:val="clear" w:color="auto" w:fill="CFF0FC"/>
          </w:tcPr>
          <w:p>
            <w:pPr>
              <w:spacing w:after="0"/>
              <w:rPr>
                <w:sz w:val="22"/>
                <w:szCs w:val="22"/>
                <w:color w:val="auto"/>
              </w:rPr>
            </w:pPr>
          </w:p>
        </w:tc>
        <w:tc>
          <w:tcPr>
            <w:tcW w:w="560" w:type="dxa"/>
            <w:vAlign w:val="bottom"/>
            <w:tcBorders>
              <w:bottom w:val="single" w:sz="8" w:color="CFF0FC"/>
            </w:tcBorders>
            <w:shd w:val="clear" w:color="auto" w:fill="CFF0FC"/>
          </w:tcPr>
          <w:p>
            <w:pPr>
              <w:spacing w:after="0"/>
              <w:rPr>
                <w:sz w:val="22"/>
                <w:szCs w:val="22"/>
                <w:color w:val="auto"/>
              </w:rPr>
            </w:pPr>
          </w:p>
        </w:tc>
        <w:tc>
          <w:tcPr>
            <w:tcW w:w="920" w:type="dxa"/>
            <w:vAlign w:val="bottom"/>
            <w:tcBorders>
              <w:bottom w:val="single" w:sz="8" w:color="CFF0FC"/>
            </w:tcBorders>
            <w:shd w:val="clear" w:color="auto" w:fill="CFF0FC"/>
          </w:tcPr>
          <w:p>
            <w:pPr>
              <w:jc w:val="right"/>
              <w:ind w:right="131"/>
              <w:spacing w:after="0"/>
              <w:rPr>
                <w:sz w:val="20"/>
                <w:szCs w:val="20"/>
                <w:color w:val="auto"/>
              </w:rPr>
            </w:pPr>
            <w:r>
              <w:rPr>
                <w:rFonts w:ascii="Arial" w:cs="Arial" w:eastAsia="Arial" w:hAnsi="Arial"/>
                <w:sz w:val="18"/>
                <w:szCs w:val="18"/>
                <w:color w:val="auto"/>
              </w:rPr>
              <w:t>1</w:t>
            </w:r>
          </w:p>
        </w:tc>
      </w:tr>
      <w:tr>
        <w:trPr>
          <w:trHeight w:val="236"/>
        </w:trPr>
        <w:tc>
          <w:tcPr>
            <w:tcW w:w="4940" w:type="dxa"/>
            <w:vAlign w:val="bottom"/>
          </w:tcPr>
          <w:p>
            <w:pPr>
              <w:ind w:left="20"/>
              <w:spacing w:after="0"/>
              <w:rPr>
                <w:sz w:val="20"/>
                <w:szCs w:val="20"/>
                <w:color w:val="auto"/>
              </w:rPr>
            </w:pPr>
            <w:r>
              <w:rPr>
                <w:rFonts w:ascii="Arial" w:cs="Arial" w:eastAsia="Arial" w:hAnsi="Arial"/>
                <w:sz w:val="18"/>
                <w:szCs w:val="18"/>
                <w:color w:val="auto"/>
              </w:rPr>
              <w:t>Income (loss) before provision for income taxes</w:t>
            </w:r>
          </w:p>
        </w:tc>
        <w:tc>
          <w:tcPr>
            <w:tcW w:w="880" w:type="dxa"/>
            <w:vAlign w:val="bottom"/>
            <w:tcBorders>
              <w:top w:val="single" w:sz="8" w:color="auto"/>
            </w:tcBorders>
          </w:tcPr>
          <w:p>
            <w:pPr>
              <w:spacing w:after="0"/>
              <w:rPr>
                <w:sz w:val="20"/>
                <w:szCs w:val="20"/>
                <w:color w:val="auto"/>
              </w:rPr>
            </w:pPr>
          </w:p>
        </w:tc>
        <w:tc>
          <w:tcPr>
            <w:tcW w:w="600" w:type="dxa"/>
            <w:vAlign w:val="bottom"/>
            <w:tcBorders>
              <w:top w:val="single" w:sz="8" w:color="auto"/>
            </w:tcBorders>
          </w:tcPr>
          <w:p>
            <w:pPr>
              <w:jc w:val="right"/>
              <w:ind w:right="132"/>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ind w:left="660"/>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0"/>
                <w:szCs w:val="20"/>
                <w:color w:val="auto"/>
              </w:rPr>
            </w:pPr>
          </w:p>
        </w:tc>
        <w:tc>
          <w:tcPr>
            <w:tcW w:w="1480" w:type="dxa"/>
            <w:vAlign w:val="bottom"/>
            <w:tcBorders>
              <w:top w:val="single" w:sz="8" w:color="auto"/>
            </w:tcBorders>
          </w:tcPr>
          <w:p>
            <w:pPr>
              <w:jc w:val="right"/>
              <w:ind w:right="137"/>
              <w:spacing w:after="0"/>
              <w:rPr>
                <w:sz w:val="20"/>
                <w:szCs w:val="20"/>
                <w:color w:val="auto"/>
              </w:rPr>
            </w:pPr>
            <w:r>
              <w:rPr>
                <w:rFonts w:ascii="Arial" w:cs="Arial" w:eastAsia="Arial" w:hAnsi="Arial"/>
                <w:sz w:val="18"/>
                <w:szCs w:val="18"/>
                <w:color w:val="auto"/>
              </w:rPr>
              <w:t>0</w:t>
            </w:r>
          </w:p>
        </w:tc>
        <w:tc>
          <w:tcPr>
            <w:tcW w:w="120" w:type="dxa"/>
            <w:vAlign w:val="bottom"/>
          </w:tcPr>
          <w:p>
            <w:pPr>
              <w:spacing w:after="0"/>
              <w:rPr>
                <w:sz w:val="20"/>
                <w:szCs w:val="20"/>
                <w:color w:val="auto"/>
              </w:rPr>
            </w:pPr>
          </w:p>
        </w:tc>
        <w:tc>
          <w:tcPr>
            <w:tcW w:w="56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ind w:left="540"/>
              <w:spacing w:after="0"/>
              <w:rPr>
                <w:sz w:val="20"/>
                <w:szCs w:val="20"/>
                <w:color w:val="auto"/>
              </w:rPr>
            </w:pPr>
            <w:r>
              <w:rPr>
                <w:rFonts w:ascii="Arial" w:cs="Arial" w:eastAsia="Arial" w:hAnsi="Arial"/>
                <w:sz w:val="18"/>
                <w:szCs w:val="18"/>
                <w:color w:val="auto"/>
              </w:rPr>
              <w:t>(1)</w:t>
            </w:r>
          </w:p>
        </w:tc>
      </w:tr>
      <w:tr>
        <w:trPr>
          <w:trHeight w:val="27"/>
        </w:trPr>
        <w:tc>
          <w:tcPr>
            <w:tcW w:w="4940" w:type="dxa"/>
            <w:vAlign w:val="bottom"/>
          </w:tcPr>
          <w:p>
            <w:pPr>
              <w:spacing w:after="0"/>
              <w:rPr>
                <w:sz w:val="2"/>
                <w:szCs w:val="2"/>
                <w:color w:val="auto"/>
              </w:rPr>
            </w:pPr>
          </w:p>
        </w:tc>
        <w:tc>
          <w:tcPr>
            <w:tcW w:w="8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0"/>
        </w:trPr>
        <w:tc>
          <w:tcPr>
            <w:tcW w:w="4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Provision for income taxes</w:t>
            </w:r>
          </w:p>
        </w:tc>
        <w:tc>
          <w:tcPr>
            <w:tcW w:w="88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color w:val="auto"/>
              </w:rPr>
              <w:t>0</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8"/>
                <w:szCs w:val="18"/>
                <w:color w:val="auto"/>
              </w:rPr>
              <w:t>(1)</w:t>
            </w:r>
          </w:p>
        </w:tc>
        <w:tc>
          <w:tcPr>
            <w:tcW w:w="1580" w:type="dxa"/>
            <w:vAlign w:val="bottom"/>
            <w:tcBorders>
              <w:bottom w:val="single" w:sz="8" w:color="CFF0FC"/>
            </w:tcBorders>
            <w:gridSpan w:val="2"/>
            <w:shd w:val="clear" w:color="auto" w:fill="CFF0FC"/>
          </w:tcPr>
          <w:p>
            <w:pPr>
              <w:ind w:left="1200"/>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FF0FC"/>
            </w:tcBorders>
            <w:shd w:val="clear" w:color="auto" w:fill="CFF0FC"/>
          </w:tcPr>
          <w:p>
            <w:pPr>
              <w:spacing w:after="0"/>
              <w:rPr>
                <w:sz w:val="23"/>
                <w:szCs w:val="23"/>
                <w:color w:val="auto"/>
              </w:rPr>
            </w:pPr>
          </w:p>
        </w:tc>
        <w:tc>
          <w:tcPr>
            <w:tcW w:w="560" w:type="dxa"/>
            <w:vAlign w:val="bottom"/>
            <w:tcBorders>
              <w:bottom w:val="single" w:sz="8" w:color="CFF0FC"/>
            </w:tcBorders>
            <w:shd w:val="clear" w:color="auto" w:fill="CFF0FC"/>
          </w:tcPr>
          <w:p>
            <w:pPr>
              <w:spacing w:after="0"/>
              <w:rPr>
                <w:sz w:val="23"/>
                <w:szCs w:val="23"/>
                <w:color w:val="auto"/>
              </w:rPr>
            </w:pPr>
          </w:p>
        </w:tc>
        <w:tc>
          <w:tcPr>
            <w:tcW w:w="920" w:type="dxa"/>
            <w:vAlign w:val="bottom"/>
            <w:tcBorders>
              <w:bottom w:val="single" w:sz="8" w:color="CFF0FC"/>
            </w:tcBorders>
            <w:shd w:val="clear" w:color="auto" w:fill="CFF0FC"/>
          </w:tcPr>
          <w:p>
            <w:pPr>
              <w:ind w:left="540"/>
              <w:spacing w:after="0"/>
              <w:rPr>
                <w:sz w:val="20"/>
                <w:szCs w:val="20"/>
                <w:color w:val="auto"/>
              </w:rPr>
            </w:pPr>
            <w:r>
              <w:rPr>
                <w:rFonts w:ascii="Arial" w:cs="Arial" w:eastAsia="Arial" w:hAnsi="Arial"/>
                <w:sz w:val="18"/>
                <w:szCs w:val="18"/>
                <w:color w:val="auto"/>
              </w:rPr>
              <w:t>(1)</w:t>
            </w:r>
          </w:p>
        </w:tc>
      </w:tr>
      <w:tr>
        <w:trPr>
          <w:trHeight w:val="263"/>
        </w:trPr>
        <w:tc>
          <w:tcPr>
            <w:tcW w:w="4940" w:type="dxa"/>
            <w:vAlign w:val="bottom"/>
          </w:tcPr>
          <w:p>
            <w:pPr>
              <w:ind w:left="20"/>
              <w:spacing w:after="0"/>
              <w:rPr>
                <w:sz w:val="20"/>
                <w:szCs w:val="20"/>
                <w:color w:val="auto"/>
              </w:rPr>
            </w:pPr>
            <w:r>
              <w:rPr>
                <w:rFonts w:ascii="Arial" w:cs="Arial" w:eastAsia="Arial" w:hAnsi="Arial"/>
                <w:sz w:val="18"/>
                <w:szCs w:val="18"/>
                <w:color w:val="auto"/>
              </w:rPr>
              <w:t>Net income (loss)</w:t>
            </w:r>
          </w:p>
        </w:tc>
        <w:tc>
          <w:tcPr>
            <w:tcW w:w="880" w:type="dxa"/>
            <w:vAlign w:val="bottom"/>
            <w:tcBorders>
              <w:top w:val="single" w:sz="8" w:color="auto"/>
              <w:bottom w:val="single" w:sz="8" w:color="auto"/>
            </w:tcBorders>
          </w:tcPr>
          <w:p>
            <w:pPr>
              <w:spacing w:after="0"/>
              <w:rPr>
                <w:sz w:val="22"/>
                <w:szCs w:val="22"/>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4 %</w:t>
            </w:r>
          </w:p>
        </w:tc>
        <w:tc>
          <w:tcPr>
            <w:tcW w:w="100" w:type="dxa"/>
            <w:vAlign w:val="bottom"/>
          </w:tcPr>
          <w:p>
            <w:pPr>
              <w:spacing w:after="0"/>
              <w:rPr>
                <w:sz w:val="22"/>
                <w:szCs w:val="22"/>
                <w:color w:val="auto"/>
              </w:rPr>
            </w:pPr>
          </w:p>
        </w:tc>
        <w:tc>
          <w:tcPr>
            <w:tcW w:w="440" w:type="dxa"/>
            <w:vAlign w:val="bottom"/>
            <w:tcBorders>
              <w:top w:val="single" w:sz="8" w:color="auto"/>
              <w:bottom w:val="single" w:sz="8" w:color="auto"/>
            </w:tcBorders>
          </w:tcPr>
          <w:p>
            <w:pPr>
              <w:spacing w:after="0"/>
              <w:rPr>
                <w:sz w:val="22"/>
                <w:szCs w:val="22"/>
                <w:color w:val="auto"/>
              </w:rPr>
            </w:pPr>
          </w:p>
        </w:tc>
        <w:tc>
          <w:tcPr>
            <w:tcW w:w="1060" w:type="dxa"/>
            <w:vAlign w:val="bottom"/>
            <w:tcBorders>
              <w:top w:val="single" w:sz="8" w:color="auto"/>
              <w:bottom w:val="single" w:sz="8" w:color="auto"/>
            </w:tcBorders>
          </w:tcPr>
          <w:p>
            <w:pPr>
              <w:ind w:left="660"/>
              <w:spacing w:after="0"/>
              <w:rPr>
                <w:sz w:val="20"/>
                <w:szCs w:val="20"/>
                <w:color w:val="auto"/>
              </w:rPr>
            </w:pPr>
            <w:r>
              <w:rPr>
                <w:rFonts w:ascii="Arial" w:cs="Arial" w:eastAsia="Arial" w:hAnsi="Arial"/>
                <w:sz w:val="18"/>
                <w:szCs w:val="18"/>
                <w:color w:val="auto"/>
                <w:w w:val="99"/>
              </w:rPr>
              <w:t>(6)%</w:t>
            </w:r>
          </w:p>
        </w:tc>
        <w:tc>
          <w:tcPr>
            <w:tcW w:w="100" w:type="dxa"/>
            <w:vAlign w:val="bottom"/>
          </w:tcPr>
          <w:p>
            <w:pPr>
              <w:spacing w:after="0"/>
              <w:rPr>
                <w:sz w:val="22"/>
                <w:szCs w:val="22"/>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0 %</w:t>
            </w:r>
          </w:p>
        </w:tc>
        <w:tc>
          <w:tcPr>
            <w:tcW w:w="120" w:type="dxa"/>
            <w:vAlign w:val="bottom"/>
          </w:tcPr>
          <w:p>
            <w:pPr>
              <w:spacing w:after="0"/>
              <w:rPr>
                <w:sz w:val="22"/>
                <w:szCs w:val="22"/>
                <w:color w:val="auto"/>
              </w:rPr>
            </w:pPr>
          </w:p>
        </w:tc>
        <w:tc>
          <w:tcPr>
            <w:tcW w:w="560" w:type="dxa"/>
            <w:vAlign w:val="bottom"/>
            <w:tcBorders>
              <w:top w:val="single" w:sz="8" w:color="auto"/>
              <w:bottom w:val="single" w:sz="8" w:color="auto"/>
            </w:tcBorders>
          </w:tcPr>
          <w:p>
            <w:pPr>
              <w:spacing w:after="0"/>
              <w:rPr>
                <w:sz w:val="22"/>
                <w:szCs w:val="22"/>
                <w:color w:val="auto"/>
              </w:rPr>
            </w:pPr>
          </w:p>
        </w:tc>
        <w:tc>
          <w:tcPr>
            <w:tcW w:w="920" w:type="dxa"/>
            <w:vAlign w:val="bottom"/>
            <w:tcBorders>
              <w:top w:val="single" w:sz="8" w:color="auto"/>
              <w:bottom w:val="single" w:sz="8" w:color="auto"/>
            </w:tcBorders>
          </w:tcPr>
          <w:p>
            <w:pPr>
              <w:ind w:left="540"/>
              <w:spacing w:after="0"/>
              <w:rPr>
                <w:sz w:val="20"/>
                <w:szCs w:val="20"/>
                <w:color w:val="auto"/>
              </w:rPr>
            </w:pPr>
            <w:r>
              <w:rPr>
                <w:rFonts w:ascii="Arial" w:cs="Arial" w:eastAsia="Arial" w:hAnsi="Arial"/>
                <w:sz w:val="18"/>
                <w:szCs w:val="18"/>
                <w:color w:val="auto"/>
                <w:w w:val="94"/>
              </w:rPr>
              <w:t>(2)%</w:t>
            </w:r>
          </w:p>
        </w:tc>
      </w:tr>
      <w:tr>
        <w:trPr>
          <w:trHeight w:val="21"/>
        </w:trPr>
        <w:tc>
          <w:tcPr>
            <w:tcW w:w="494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76" w:lineRule="exact"/>
        <w:rPr>
          <w:sz w:val="20"/>
          <w:szCs w:val="20"/>
          <w:color w:val="auto"/>
        </w:rPr>
      </w:pPr>
    </w:p>
    <w:p>
      <w:pPr>
        <w:ind w:left="320" w:hanging="312"/>
        <w:spacing w:after="0"/>
        <w:tabs>
          <w:tab w:leader="none" w:pos="320" w:val="left"/>
        </w:tabs>
        <w:numPr>
          <w:ilvl w:val="0"/>
          <w:numId w:val="9"/>
        </w:numPr>
        <w:rPr>
          <w:rFonts w:ascii="Arial" w:cs="Arial" w:eastAsia="Arial" w:hAnsi="Arial"/>
          <w:sz w:val="14"/>
          <w:szCs w:val="14"/>
          <w:color w:val="auto"/>
        </w:rPr>
      </w:pPr>
      <w:r>
        <w:rPr>
          <w:rFonts w:ascii="Arial" w:cs="Arial" w:eastAsia="Arial" w:hAnsi="Arial"/>
          <w:sz w:val="14"/>
          <w:szCs w:val="14"/>
          <w:color w:val="auto"/>
        </w:rPr>
        <w:t>Certain items may not total due to rounding.</w:t>
      </w:r>
    </w:p>
    <w:p>
      <w:pPr>
        <w:sectPr>
          <w:pgSz w:w="11900" w:h="16838" w:orient="portrait"/>
          <w:cols w:equalWidth="0" w:num="1">
            <w:col w:w="11240"/>
          </w:cols>
          <w:pgMar w:left="320" w:top="1093" w:right="339" w:bottom="1440" w:gutter="0" w:footer="0" w:header="0"/>
        </w:sectPr>
      </w:pP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type w:val="continuous"/>
        </w:sectPr>
      </w:pPr>
    </w:p>
    <w:bookmarkStart w:id="30" w:name="page31"/>
    <w:bookmarkEnd w:id="30"/>
    <w:p>
      <w:pPr>
        <w:spacing w:after="0"/>
        <w:rPr>
          <w:sz w:val="20"/>
          <w:szCs w:val="20"/>
          <w:color w:val="auto"/>
        </w:rPr>
      </w:pPr>
      <w:r>
        <w:rPr>
          <w:rFonts w:ascii="Arial" w:cs="Arial" w:eastAsia="Arial" w:hAnsi="Arial"/>
          <w:sz w:val="18"/>
          <w:szCs w:val="18"/>
          <w:b w:val="1"/>
          <w:bCs w:val="1"/>
          <w:color w:val="auto"/>
        </w:rPr>
        <w:t>Comparison of the Three Months Ended September 30, 2023 and 2022</w:t>
      </w:r>
    </w:p>
    <w:p>
      <w:pPr>
        <w:spacing w:after="0" w:line="229"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Revenue</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5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520" w:type="dxa"/>
            <w:vAlign w:val="bottom"/>
            <w:gridSpan w:val="4"/>
          </w:tcPr>
          <w:p>
            <w:pPr>
              <w:jc w:val="center"/>
              <w:ind w:right="420"/>
              <w:spacing w:after="0"/>
              <w:rPr>
                <w:sz w:val="20"/>
                <w:szCs w:val="20"/>
                <w:color w:val="auto"/>
              </w:rPr>
            </w:pPr>
            <w:r>
              <w:rPr>
                <w:rFonts w:ascii="Arial" w:cs="Arial" w:eastAsia="Arial" w:hAnsi="Arial"/>
                <w:sz w:val="14"/>
                <w:szCs w:val="14"/>
                <w:b w:val="1"/>
                <w:bCs w:val="1"/>
                <w:color w:val="auto"/>
                <w:w w:val="93"/>
              </w:rPr>
              <w:t>Three Months Ended</w:t>
            </w:r>
          </w:p>
        </w:tc>
        <w:tc>
          <w:tcPr>
            <w:tcW w:w="2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55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560" w:type="dxa"/>
            <w:vAlign w:val="bottom"/>
            <w:gridSpan w:val="2"/>
          </w:tcPr>
          <w:p>
            <w:pPr>
              <w:jc w:val="center"/>
              <w:ind w:left="484"/>
              <w:spacing w:after="0"/>
              <w:rPr>
                <w:sz w:val="20"/>
                <w:szCs w:val="20"/>
                <w:color w:val="auto"/>
              </w:rPr>
            </w:pPr>
            <w:r>
              <w:rPr>
                <w:rFonts w:ascii="Arial" w:cs="Arial" w:eastAsia="Arial" w:hAnsi="Arial"/>
                <w:sz w:val="14"/>
                <w:szCs w:val="14"/>
                <w:b w:val="1"/>
                <w:bCs w:val="1"/>
                <w:color w:val="auto"/>
                <w:w w:val="91"/>
              </w:rPr>
              <w:t>September 30,</w:t>
            </w: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3"/>
        </w:trPr>
        <w:tc>
          <w:tcPr>
            <w:tcW w:w="5520" w:type="dxa"/>
            <w:vAlign w:val="bottom"/>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16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Change</w:t>
            </w:r>
          </w:p>
        </w:tc>
        <w:tc>
          <w:tcPr>
            <w:tcW w:w="1460" w:type="dxa"/>
            <w:vAlign w:val="bottom"/>
            <w:vMerge w:val="restart"/>
          </w:tcPr>
          <w:p>
            <w:pPr>
              <w:jc w:val="right"/>
              <w:ind w:right="319"/>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84"/>
        </w:trPr>
        <w:tc>
          <w:tcPr>
            <w:tcW w:w="55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tcPr>
          <w:p>
            <w:pPr>
              <w:jc w:val="right"/>
              <w:ind w:right="464"/>
              <w:spacing w:after="0"/>
              <w:rPr>
                <w:sz w:val="20"/>
                <w:szCs w:val="20"/>
                <w:color w:val="auto"/>
              </w:rPr>
            </w:pPr>
            <w:r>
              <w:rPr>
                <w:rFonts w:ascii="Arial" w:cs="Arial" w:eastAsia="Arial" w:hAnsi="Arial"/>
                <w:sz w:val="14"/>
                <w:szCs w:val="14"/>
                <w:b w:val="1"/>
                <w:bCs w:val="1"/>
                <w:color w:val="auto"/>
              </w:rPr>
              <w:t>2023</w:t>
            </w:r>
          </w:p>
        </w:tc>
        <w:tc>
          <w:tcPr>
            <w:tcW w:w="540" w:type="dxa"/>
            <w:vAlign w:val="bottom"/>
          </w:tcPr>
          <w:p>
            <w:pPr>
              <w:spacing w:after="0"/>
              <w:rPr>
                <w:sz w:val="16"/>
                <w:szCs w:val="16"/>
                <w:color w:val="auto"/>
              </w:rPr>
            </w:pPr>
          </w:p>
        </w:tc>
        <w:tc>
          <w:tcPr>
            <w:tcW w:w="860" w:type="dxa"/>
            <w:vAlign w:val="bottom"/>
          </w:tcPr>
          <w:p>
            <w:pPr>
              <w:jc w:val="right"/>
              <w:ind w:right="439"/>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60" w:type="dxa"/>
            <w:vAlign w:val="bottom"/>
            <w:gridSpan w:val="2"/>
            <w:vMerge w:val="continue"/>
          </w:tcPr>
          <w:p>
            <w:pPr>
              <w:spacing w:after="0"/>
              <w:rPr>
                <w:sz w:val="16"/>
                <w:szCs w:val="16"/>
                <w:color w:val="auto"/>
              </w:rPr>
            </w:pPr>
          </w:p>
        </w:tc>
        <w:tc>
          <w:tcPr>
            <w:tcW w:w="14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9"/>
        </w:trPr>
        <w:tc>
          <w:tcPr>
            <w:tcW w:w="5520" w:type="dxa"/>
            <w:vAlign w:val="bottom"/>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2420" w:type="dxa"/>
            <w:vAlign w:val="bottom"/>
            <w:tcBorders>
              <w:bottom w:val="single" w:sz="8" w:color="auto"/>
            </w:tcBorders>
            <w:gridSpan w:val="3"/>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4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4"/>
        </w:trPr>
        <w:tc>
          <w:tcPr>
            <w:tcW w:w="55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520" w:type="dxa"/>
            <w:vAlign w:val="bottom"/>
            <w:gridSpan w:val="4"/>
          </w:tcPr>
          <w:p>
            <w:pPr>
              <w:jc w:val="center"/>
              <w:ind w:right="420"/>
              <w:spacing w:after="0"/>
              <w:rPr>
                <w:sz w:val="20"/>
                <w:szCs w:val="20"/>
                <w:color w:val="auto"/>
              </w:rPr>
            </w:pPr>
            <w:r>
              <w:rPr>
                <w:rFonts w:ascii="Arial" w:cs="Arial" w:eastAsia="Arial" w:hAnsi="Arial"/>
                <w:sz w:val="14"/>
                <w:szCs w:val="14"/>
                <w:b w:val="1"/>
                <w:bCs w:val="1"/>
                <w:color w:val="auto"/>
                <w:w w:val="91"/>
              </w:rPr>
              <w:t>(dollars in thousands)</w:t>
            </w:r>
          </w:p>
        </w:tc>
        <w:tc>
          <w:tcPr>
            <w:tcW w:w="2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9"/>
        </w:trPr>
        <w:tc>
          <w:tcPr>
            <w:tcW w:w="552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540" w:type="dxa"/>
            <w:vAlign w:val="bottom"/>
          </w:tcPr>
          <w:p>
            <w:pPr>
              <w:spacing w:after="0"/>
              <w:rPr>
                <w:sz w:val="3"/>
                <w:szCs w:val="3"/>
                <w:color w:val="auto"/>
              </w:rPr>
            </w:pPr>
          </w:p>
        </w:tc>
        <w:tc>
          <w:tcPr>
            <w:tcW w:w="8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43"/>
        </w:trPr>
        <w:tc>
          <w:tcPr>
            <w:tcW w:w="5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ind w:right="24"/>
              <w:spacing w:after="0"/>
              <w:rPr>
                <w:sz w:val="20"/>
                <w:szCs w:val="20"/>
                <w:color w:val="auto"/>
              </w:rPr>
            </w:pPr>
            <w:r>
              <w:rPr>
                <w:rFonts w:ascii="Arial" w:cs="Arial" w:eastAsia="Arial" w:hAnsi="Arial"/>
                <w:sz w:val="18"/>
                <w:szCs w:val="18"/>
                <w:color w:val="auto"/>
              </w:rPr>
              <w:t>547,536</w:t>
            </w:r>
          </w:p>
        </w:tc>
        <w:tc>
          <w:tcPr>
            <w:tcW w:w="5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436,533</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111,003</w:t>
            </w:r>
          </w:p>
        </w:tc>
        <w:tc>
          <w:tcPr>
            <w:tcW w:w="100" w:type="dxa"/>
            <w:vAlign w:val="bottom"/>
            <w:shd w:val="clear" w:color="auto" w:fill="CCEEFF"/>
          </w:tcPr>
          <w:p>
            <w:pPr>
              <w:spacing w:after="0"/>
              <w:rPr>
                <w:sz w:val="21"/>
                <w:szCs w:val="21"/>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25 %</w:t>
            </w:r>
          </w:p>
        </w:tc>
        <w:tc>
          <w:tcPr>
            <w:tcW w:w="0" w:type="dxa"/>
            <w:vAlign w:val="bottom"/>
          </w:tcPr>
          <w:p>
            <w:pPr>
              <w:spacing w:after="0"/>
              <w:rPr>
                <w:sz w:val="1"/>
                <w:szCs w:val="1"/>
                <w:color w:val="auto"/>
              </w:rPr>
            </w:pPr>
          </w:p>
        </w:tc>
      </w:tr>
      <w:tr>
        <w:trPr>
          <w:trHeight w:val="27"/>
        </w:trPr>
        <w:tc>
          <w:tcPr>
            <w:tcW w:w="552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83"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Revenue increased by $111.0 million, or 25%, for the three months ended September 30, 2023 compared to the three months ended September 30, 2022. Approximately 65% of the increase in revenue was attributable to growth from existing customers, and the remaining 35% was attributable to growth from new customers.</w:t>
      </w:r>
    </w:p>
    <w:p>
      <w:pPr>
        <w:spacing w:after="0" w:line="184"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Cost of Revenue and Gross Margin</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53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740" w:type="dxa"/>
            <w:vAlign w:val="bottom"/>
            <w:gridSpan w:val="4"/>
          </w:tcPr>
          <w:p>
            <w:pPr>
              <w:jc w:val="center"/>
              <w:ind w:right="460"/>
              <w:spacing w:after="0"/>
              <w:rPr>
                <w:sz w:val="20"/>
                <w:szCs w:val="20"/>
                <w:color w:val="auto"/>
              </w:rPr>
            </w:pPr>
            <w:r>
              <w:rPr>
                <w:rFonts w:ascii="Arial" w:cs="Arial" w:eastAsia="Arial" w:hAnsi="Arial"/>
                <w:sz w:val="14"/>
                <w:szCs w:val="14"/>
                <w:b w:val="1"/>
                <w:bCs w:val="1"/>
                <w:color w:val="auto"/>
                <w:w w:val="95"/>
              </w:rPr>
              <w:t>Three Months Ended</w:t>
            </w:r>
          </w:p>
        </w:tc>
        <w:tc>
          <w:tcPr>
            <w:tcW w:w="2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53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80" w:type="dxa"/>
            <w:vAlign w:val="bottom"/>
            <w:gridSpan w:val="2"/>
          </w:tcPr>
          <w:p>
            <w:pPr>
              <w:jc w:val="center"/>
              <w:ind w:left="522"/>
              <w:spacing w:after="0"/>
              <w:rPr>
                <w:sz w:val="20"/>
                <w:szCs w:val="20"/>
                <w:color w:val="auto"/>
              </w:rPr>
            </w:pPr>
            <w:r>
              <w:rPr>
                <w:rFonts w:ascii="Arial" w:cs="Arial" w:eastAsia="Arial" w:hAnsi="Arial"/>
                <w:sz w:val="14"/>
                <w:szCs w:val="14"/>
                <w:b w:val="1"/>
                <w:bCs w:val="1"/>
                <w:color w:val="auto"/>
                <w:w w:val="91"/>
              </w:rPr>
              <w:t>September 30,</w:t>
            </w: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9"/>
        </w:trPr>
        <w:tc>
          <w:tcPr>
            <w:tcW w:w="536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240" w:type="dxa"/>
            <w:vAlign w:val="bottom"/>
          </w:tcPr>
          <w:p>
            <w:pPr>
              <w:spacing w:after="0"/>
              <w:rPr>
                <w:sz w:val="3"/>
                <w:szCs w:val="3"/>
                <w:color w:val="auto"/>
              </w:rPr>
            </w:pPr>
          </w:p>
        </w:tc>
        <w:tc>
          <w:tcPr>
            <w:tcW w:w="112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Change</w:t>
            </w:r>
          </w:p>
        </w:tc>
        <w:tc>
          <w:tcPr>
            <w:tcW w:w="1440" w:type="dxa"/>
            <w:vAlign w:val="bottom"/>
            <w:vMerge w:val="restart"/>
          </w:tcPr>
          <w:p>
            <w:pPr>
              <w:jc w:val="right"/>
              <w:ind w:right="299"/>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84"/>
        </w:trPr>
        <w:tc>
          <w:tcPr>
            <w:tcW w:w="53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42"/>
              <w:spacing w:after="0"/>
              <w:rPr>
                <w:sz w:val="20"/>
                <w:szCs w:val="20"/>
                <w:color w:val="auto"/>
              </w:rPr>
            </w:pPr>
            <w:r>
              <w:rPr>
                <w:rFonts w:ascii="Arial" w:cs="Arial" w:eastAsia="Arial" w:hAnsi="Arial"/>
                <w:sz w:val="14"/>
                <w:szCs w:val="14"/>
                <w:b w:val="1"/>
                <w:bCs w:val="1"/>
                <w:color w:val="auto"/>
              </w:rPr>
              <w:t>2023</w:t>
            </w:r>
          </w:p>
        </w:tc>
        <w:tc>
          <w:tcPr>
            <w:tcW w:w="540" w:type="dxa"/>
            <w:vAlign w:val="bottom"/>
          </w:tcPr>
          <w:p>
            <w:pPr>
              <w:spacing w:after="0"/>
              <w:rPr>
                <w:sz w:val="16"/>
                <w:szCs w:val="16"/>
                <w:color w:val="auto"/>
              </w:rPr>
            </w:pPr>
          </w:p>
        </w:tc>
        <w:tc>
          <w:tcPr>
            <w:tcW w:w="940" w:type="dxa"/>
            <w:vAlign w:val="bottom"/>
          </w:tcPr>
          <w:p>
            <w:pPr>
              <w:jc w:val="right"/>
              <w:ind w:right="476"/>
              <w:spacing w:after="0"/>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14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9"/>
        </w:trPr>
        <w:tc>
          <w:tcPr>
            <w:tcW w:w="536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2620" w:type="dxa"/>
            <w:vAlign w:val="bottom"/>
            <w:tcBorders>
              <w:bottom w:val="single" w:sz="8" w:color="auto"/>
            </w:tcBorders>
            <w:gridSpan w:val="3"/>
          </w:tcPr>
          <w:p>
            <w:pPr>
              <w:spacing w:after="0"/>
              <w:rPr>
                <w:sz w:val="3"/>
                <w:szCs w:val="3"/>
                <w:color w:val="auto"/>
              </w:rPr>
            </w:pPr>
          </w:p>
        </w:tc>
        <w:tc>
          <w:tcPr>
            <w:tcW w:w="120" w:type="dxa"/>
            <w:vAlign w:val="bottom"/>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4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4"/>
        </w:trPr>
        <w:tc>
          <w:tcPr>
            <w:tcW w:w="53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740" w:type="dxa"/>
            <w:vAlign w:val="bottom"/>
            <w:gridSpan w:val="4"/>
          </w:tcPr>
          <w:p>
            <w:pPr>
              <w:jc w:val="center"/>
              <w:ind w:right="460"/>
              <w:spacing w:after="0"/>
              <w:rPr>
                <w:sz w:val="20"/>
                <w:szCs w:val="20"/>
                <w:color w:val="auto"/>
              </w:rPr>
            </w:pPr>
            <w:r>
              <w:rPr>
                <w:rFonts w:ascii="Arial" w:cs="Arial" w:eastAsia="Arial" w:hAnsi="Arial"/>
                <w:sz w:val="14"/>
                <w:szCs w:val="14"/>
                <w:b w:val="1"/>
                <w:bCs w:val="1"/>
                <w:color w:val="auto"/>
                <w:w w:val="90"/>
              </w:rPr>
              <w:t>(dollars in thousands)</w:t>
            </w:r>
          </w:p>
        </w:tc>
        <w:tc>
          <w:tcPr>
            <w:tcW w:w="2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9"/>
        </w:trPr>
        <w:tc>
          <w:tcPr>
            <w:tcW w:w="536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540" w:type="dxa"/>
            <w:vAlign w:val="bottom"/>
          </w:tcPr>
          <w:p>
            <w:pPr>
              <w:spacing w:after="0"/>
              <w:rPr>
                <w:sz w:val="3"/>
                <w:szCs w:val="3"/>
                <w:color w:val="auto"/>
              </w:rPr>
            </w:pPr>
          </w:p>
        </w:tc>
        <w:tc>
          <w:tcPr>
            <w:tcW w:w="940" w:type="dxa"/>
            <w:vAlign w:val="bottom"/>
          </w:tcPr>
          <w:p>
            <w:pPr>
              <w:spacing w:after="0"/>
              <w:rPr>
                <w:sz w:val="3"/>
                <w:szCs w:val="3"/>
                <w:color w:val="auto"/>
              </w:rPr>
            </w:pPr>
          </w:p>
        </w:tc>
        <w:tc>
          <w:tcPr>
            <w:tcW w:w="120" w:type="dxa"/>
            <w:vAlign w:val="bottom"/>
          </w:tcPr>
          <w:p>
            <w:pPr>
              <w:spacing w:after="0"/>
              <w:rPr>
                <w:sz w:val="3"/>
                <w:szCs w:val="3"/>
                <w:color w:val="auto"/>
              </w:rPr>
            </w:pPr>
          </w:p>
        </w:tc>
        <w:tc>
          <w:tcPr>
            <w:tcW w:w="24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0"/>
        </w:trPr>
        <w:tc>
          <w:tcPr>
            <w:tcW w:w="5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Cost of revenue</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ind w:right="202"/>
              <w:spacing w:after="0"/>
              <w:rPr>
                <w:sz w:val="20"/>
                <w:szCs w:val="20"/>
                <w:color w:val="auto"/>
              </w:rPr>
            </w:pPr>
            <w:r>
              <w:rPr>
                <w:rFonts w:ascii="Arial" w:cs="Arial" w:eastAsia="Arial" w:hAnsi="Arial"/>
                <w:sz w:val="18"/>
                <w:szCs w:val="18"/>
                <w:color w:val="auto"/>
              </w:rPr>
              <w:t>103,319</w:t>
            </w:r>
          </w:p>
        </w:tc>
        <w:tc>
          <w:tcPr>
            <w:tcW w:w="54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ind w:right="136"/>
              <w:spacing w:after="0"/>
              <w:rPr>
                <w:sz w:val="20"/>
                <w:szCs w:val="20"/>
                <w:color w:val="auto"/>
              </w:rPr>
            </w:pPr>
            <w:r>
              <w:rPr>
                <w:rFonts w:ascii="Arial" w:cs="Arial" w:eastAsia="Arial" w:hAnsi="Arial"/>
                <w:sz w:val="18"/>
                <w:szCs w:val="18"/>
                <w:color w:val="auto"/>
              </w:rPr>
              <w:t>93,599</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9,720</w:t>
            </w: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10 %</w:t>
            </w:r>
          </w:p>
        </w:tc>
        <w:tc>
          <w:tcPr>
            <w:tcW w:w="0" w:type="dxa"/>
            <w:vAlign w:val="bottom"/>
          </w:tcPr>
          <w:p>
            <w:pPr>
              <w:spacing w:after="0"/>
              <w:rPr>
                <w:sz w:val="1"/>
                <w:szCs w:val="1"/>
                <w:color w:val="auto"/>
              </w:rPr>
            </w:pPr>
          </w:p>
        </w:tc>
      </w:tr>
      <w:tr>
        <w:trPr>
          <w:trHeight w:val="243"/>
        </w:trPr>
        <w:tc>
          <w:tcPr>
            <w:tcW w:w="5360" w:type="dxa"/>
            <w:vAlign w:val="bottom"/>
          </w:tcPr>
          <w:p>
            <w:pPr>
              <w:ind w:left="20"/>
              <w:spacing w:after="0"/>
              <w:rPr>
                <w:sz w:val="20"/>
                <w:szCs w:val="20"/>
                <w:color w:val="auto"/>
              </w:rPr>
            </w:pPr>
            <w:r>
              <w:rPr>
                <w:rFonts w:ascii="Arial" w:cs="Arial" w:eastAsia="Arial" w:hAnsi="Arial"/>
                <w:sz w:val="18"/>
                <w:szCs w:val="18"/>
                <w:color w:val="auto"/>
              </w:rPr>
              <w:t>Gross margin</w:t>
            </w:r>
          </w:p>
        </w:tc>
        <w:tc>
          <w:tcPr>
            <w:tcW w:w="340" w:type="dxa"/>
            <w:vAlign w:val="bottom"/>
          </w:tcPr>
          <w:p>
            <w:pPr>
              <w:spacing w:after="0"/>
              <w:rPr>
                <w:sz w:val="21"/>
                <w:szCs w:val="21"/>
                <w:color w:val="auto"/>
              </w:rPr>
            </w:pPr>
          </w:p>
        </w:tc>
        <w:tc>
          <w:tcPr>
            <w:tcW w:w="1140" w:type="dxa"/>
            <w:vAlign w:val="bottom"/>
          </w:tcPr>
          <w:p>
            <w:pPr>
              <w:jc w:val="right"/>
              <w:ind w:right="2"/>
              <w:spacing w:after="0"/>
              <w:rPr>
                <w:sz w:val="20"/>
                <w:szCs w:val="20"/>
                <w:color w:val="auto"/>
              </w:rPr>
            </w:pPr>
            <w:r>
              <w:rPr>
                <w:rFonts w:ascii="Arial" w:cs="Arial" w:eastAsia="Arial" w:hAnsi="Arial"/>
                <w:sz w:val="18"/>
                <w:szCs w:val="18"/>
                <w:color w:val="auto"/>
              </w:rPr>
              <w:t>81 %</w:t>
            </w:r>
          </w:p>
        </w:tc>
        <w:tc>
          <w:tcPr>
            <w:tcW w:w="5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79 %</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323"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Cost of revenue increased by $9.7 million, or 10%, for the three months ended September 30, 2023 compared to the three months ended September 30, 2022. This increase was primarily due to an increase of $4.3 million in third-party cloud infrastructure hosting and software costs and an increase of $2.6 million in personnel and other related costs as a result of increased headcount.</w:t>
      </w:r>
    </w:p>
    <w:p>
      <w:pPr>
        <w:spacing w:after="0" w:line="184"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Our gross margin increased by 2% for the three months ended September 30, 2023 compared to the three months ended September 30, 2022, primarily as the result of revenue growth exceeding the growth of third-party cloud infrastructure provider costs due to cost savings.</w:t>
      </w:r>
    </w:p>
    <w:p>
      <w:pPr>
        <w:spacing w:after="0" w:line="170"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3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760" w:type="dxa"/>
            <w:vAlign w:val="bottom"/>
            <w:gridSpan w:val="4"/>
          </w:tcPr>
          <w:p>
            <w:pPr>
              <w:jc w:val="center"/>
              <w:ind w:right="460"/>
              <w:spacing w:after="0"/>
              <w:rPr>
                <w:sz w:val="20"/>
                <w:szCs w:val="20"/>
                <w:color w:val="auto"/>
              </w:rPr>
            </w:pPr>
            <w:r>
              <w:rPr>
                <w:rFonts w:ascii="Arial" w:cs="Arial" w:eastAsia="Arial" w:hAnsi="Arial"/>
                <w:sz w:val="14"/>
                <w:szCs w:val="14"/>
                <w:b w:val="1"/>
                <w:bCs w:val="1"/>
                <w:color w:val="auto"/>
                <w:w w:val="93"/>
              </w:rPr>
              <w:t>Three Months Ended</w:t>
            </w:r>
          </w:p>
        </w:tc>
        <w:tc>
          <w:tcPr>
            <w:tcW w:w="2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20" w:type="dxa"/>
            <w:vAlign w:val="bottom"/>
          </w:tcPr>
          <w:p>
            <w:pPr>
              <w:spacing w:after="0"/>
              <w:rPr>
                <w:sz w:val="15"/>
                <w:szCs w:val="15"/>
                <w:color w:val="auto"/>
              </w:rPr>
            </w:pPr>
          </w:p>
        </w:tc>
      </w:tr>
      <w:tr>
        <w:trPr>
          <w:trHeight w:val="186"/>
        </w:trPr>
        <w:tc>
          <w:tcPr>
            <w:tcW w:w="53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80" w:type="dxa"/>
            <w:vAlign w:val="bottom"/>
            <w:gridSpan w:val="2"/>
          </w:tcPr>
          <w:p>
            <w:pPr>
              <w:jc w:val="center"/>
              <w:ind w:left="562"/>
              <w:spacing w:after="0"/>
              <w:rPr>
                <w:sz w:val="20"/>
                <w:szCs w:val="20"/>
                <w:color w:val="auto"/>
              </w:rPr>
            </w:pPr>
            <w:r>
              <w:rPr>
                <w:rFonts w:ascii="Arial" w:cs="Arial" w:eastAsia="Arial" w:hAnsi="Arial"/>
                <w:sz w:val="14"/>
                <w:szCs w:val="14"/>
                <w:b w:val="1"/>
                <w:bCs w:val="1"/>
                <w:color w:val="auto"/>
                <w:w w:val="91"/>
              </w:rPr>
              <w:t>September 30,</w:t>
            </w: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tcPr>
          <w:p>
            <w:pPr>
              <w:spacing w:after="0"/>
              <w:rPr>
                <w:sz w:val="16"/>
                <w:szCs w:val="16"/>
                <w:color w:val="auto"/>
              </w:rPr>
            </w:pPr>
          </w:p>
        </w:tc>
      </w:tr>
      <w:tr>
        <w:trPr>
          <w:trHeight w:val="39"/>
        </w:trPr>
        <w:tc>
          <w:tcPr>
            <w:tcW w:w="534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240" w:type="dxa"/>
            <w:vAlign w:val="bottom"/>
          </w:tcPr>
          <w:p>
            <w:pPr>
              <w:spacing w:after="0"/>
              <w:rPr>
                <w:sz w:val="3"/>
                <w:szCs w:val="3"/>
                <w:color w:val="auto"/>
              </w:rPr>
            </w:pPr>
          </w:p>
        </w:tc>
        <w:tc>
          <w:tcPr>
            <w:tcW w:w="1140" w:type="dxa"/>
            <w:vAlign w:val="bottom"/>
            <w:gridSpan w:val="2"/>
          </w:tcPr>
          <w:p>
            <w:pPr>
              <w:spacing w:after="0"/>
              <w:rPr>
                <w:sz w:val="3"/>
                <w:szCs w:val="3"/>
                <w:color w:val="auto"/>
              </w:rPr>
            </w:pPr>
          </w:p>
        </w:tc>
        <w:tc>
          <w:tcPr>
            <w:tcW w:w="1420" w:type="dxa"/>
            <w:vAlign w:val="bottom"/>
          </w:tcPr>
          <w:p>
            <w:pPr>
              <w:spacing w:after="0"/>
              <w:rPr>
                <w:sz w:val="3"/>
                <w:szCs w:val="3"/>
                <w:color w:val="auto"/>
              </w:rPr>
            </w:pPr>
          </w:p>
        </w:tc>
      </w:tr>
      <w:tr>
        <w:trPr>
          <w:trHeight w:val="198"/>
        </w:trPr>
        <w:tc>
          <w:tcPr>
            <w:tcW w:w="53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jc w:val="right"/>
              <w:ind w:right="542"/>
              <w:spacing w:after="0"/>
              <w:rPr>
                <w:sz w:val="20"/>
                <w:szCs w:val="20"/>
                <w:color w:val="auto"/>
              </w:rPr>
            </w:pPr>
            <w:r>
              <w:rPr>
                <w:rFonts w:ascii="Arial" w:cs="Arial" w:eastAsia="Arial" w:hAnsi="Arial"/>
                <w:sz w:val="14"/>
                <w:szCs w:val="14"/>
                <w:b w:val="1"/>
                <w:bCs w:val="1"/>
                <w:color w:val="auto"/>
              </w:rPr>
              <w:t>2023</w:t>
            </w:r>
          </w:p>
        </w:tc>
        <w:tc>
          <w:tcPr>
            <w:tcW w:w="540" w:type="dxa"/>
            <w:vAlign w:val="bottom"/>
          </w:tcPr>
          <w:p>
            <w:pPr>
              <w:spacing w:after="0"/>
              <w:rPr>
                <w:sz w:val="17"/>
                <w:szCs w:val="17"/>
                <w:color w:val="auto"/>
              </w:rPr>
            </w:pPr>
          </w:p>
        </w:tc>
        <w:tc>
          <w:tcPr>
            <w:tcW w:w="960" w:type="dxa"/>
            <w:vAlign w:val="bottom"/>
          </w:tcPr>
          <w:p>
            <w:pPr>
              <w:jc w:val="right"/>
              <w:ind w:right="496"/>
              <w:spacing w:after="0"/>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gridSpan w:val="2"/>
          </w:tcPr>
          <w:p>
            <w:pPr>
              <w:ind w:left="160"/>
              <w:spacing w:after="0"/>
              <w:rPr>
                <w:sz w:val="20"/>
                <w:szCs w:val="20"/>
                <w:color w:val="auto"/>
              </w:rPr>
            </w:pPr>
            <w:r>
              <w:rPr>
                <w:rFonts w:ascii="Arial" w:cs="Arial" w:eastAsia="Arial" w:hAnsi="Arial"/>
                <w:sz w:val="14"/>
                <w:szCs w:val="14"/>
                <w:b w:val="1"/>
                <w:bCs w:val="1"/>
                <w:color w:val="auto"/>
              </w:rPr>
              <w:t>Change</w:t>
            </w:r>
          </w:p>
        </w:tc>
        <w:tc>
          <w:tcPr>
            <w:tcW w:w="1420" w:type="dxa"/>
            <w:vAlign w:val="bottom"/>
          </w:tcPr>
          <w:p>
            <w:pPr>
              <w:jc w:val="right"/>
              <w:ind w:right="299"/>
              <w:spacing w:after="0"/>
              <w:rPr>
                <w:sz w:val="20"/>
                <w:szCs w:val="20"/>
                <w:color w:val="auto"/>
              </w:rPr>
            </w:pPr>
            <w:r>
              <w:rPr>
                <w:rFonts w:ascii="Arial" w:cs="Arial" w:eastAsia="Arial" w:hAnsi="Arial"/>
                <w:sz w:val="14"/>
                <w:szCs w:val="14"/>
                <w:b w:val="1"/>
                <w:bCs w:val="1"/>
                <w:color w:val="auto"/>
              </w:rPr>
              <w:t>% Change</w:t>
            </w:r>
          </w:p>
        </w:tc>
      </w:tr>
      <w:tr>
        <w:trPr>
          <w:trHeight w:val="25"/>
        </w:trPr>
        <w:tc>
          <w:tcPr>
            <w:tcW w:w="53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640" w:type="dxa"/>
            <w:vAlign w:val="bottom"/>
            <w:tcBorders>
              <w:bottom w:val="single" w:sz="8" w:color="auto"/>
            </w:tcBorders>
            <w:gridSpan w:val="3"/>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184"/>
        </w:trPr>
        <w:tc>
          <w:tcPr>
            <w:tcW w:w="53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760" w:type="dxa"/>
            <w:vAlign w:val="bottom"/>
            <w:gridSpan w:val="4"/>
          </w:tcPr>
          <w:p>
            <w:pPr>
              <w:jc w:val="center"/>
              <w:ind w:right="460"/>
              <w:spacing w:after="0"/>
              <w:rPr>
                <w:sz w:val="20"/>
                <w:szCs w:val="20"/>
                <w:color w:val="auto"/>
              </w:rPr>
            </w:pPr>
            <w:r>
              <w:rPr>
                <w:rFonts w:ascii="Arial" w:cs="Arial" w:eastAsia="Arial" w:hAnsi="Arial"/>
                <w:sz w:val="14"/>
                <w:szCs w:val="14"/>
                <w:b w:val="1"/>
                <w:bCs w:val="1"/>
                <w:color w:val="auto"/>
                <w:w w:val="91"/>
              </w:rPr>
              <w:t>(dollars in thousands)</w:t>
            </w:r>
          </w:p>
        </w:tc>
        <w:tc>
          <w:tcPr>
            <w:tcW w:w="2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tcPr>
          <w:p>
            <w:pPr>
              <w:spacing w:after="0"/>
              <w:rPr>
                <w:sz w:val="16"/>
                <w:szCs w:val="16"/>
                <w:color w:val="auto"/>
              </w:rPr>
            </w:pPr>
          </w:p>
        </w:tc>
      </w:tr>
      <w:tr>
        <w:trPr>
          <w:trHeight w:val="39"/>
        </w:trPr>
        <w:tc>
          <w:tcPr>
            <w:tcW w:w="534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540" w:type="dxa"/>
            <w:vAlign w:val="bottom"/>
          </w:tcPr>
          <w:p>
            <w:pPr>
              <w:spacing w:after="0"/>
              <w:rPr>
                <w:sz w:val="3"/>
                <w:szCs w:val="3"/>
                <w:color w:val="auto"/>
              </w:rPr>
            </w:pPr>
          </w:p>
        </w:tc>
        <w:tc>
          <w:tcPr>
            <w:tcW w:w="960" w:type="dxa"/>
            <w:vAlign w:val="bottom"/>
          </w:tcPr>
          <w:p>
            <w:pPr>
              <w:spacing w:after="0"/>
              <w:rPr>
                <w:sz w:val="3"/>
                <w:szCs w:val="3"/>
                <w:color w:val="auto"/>
              </w:rPr>
            </w:pPr>
          </w:p>
        </w:tc>
        <w:tc>
          <w:tcPr>
            <w:tcW w:w="120" w:type="dxa"/>
            <w:vAlign w:val="bottom"/>
          </w:tcPr>
          <w:p>
            <w:pPr>
              <w:spacing w:after="0"/>
              <w:rPr>
                <w:sz w:val="3"/>
                <w:szCs w:val="3"/>
                <w:color w:val="auto"/>
              </w:rPr>
            </w:pPr>
          </w:p>
        </w:tc>
        <w:tc>
          <w:tcPr>
            <w:tcW w:w="2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20" w:type="dxa"/>
            <w:vAlign w:val="bottom"/>
          </w:tcPr>
          <w:p>
            <w:pPr>
              <w:spacing w:after="0"/>
              <w:rPr>
                <w:sz w:val="3"/>
                <w:szCs w:val="3"/>
                <w:color w:val="auto"/>
              </w:rPr>
            </w:pPr>
          </w:p>
        </w:tc>
      </w:tr>
      <w:tr>
        <w:trPr>
          <w:trHeight w:val="250"/>
        </w:trPr>
        <w:tc>
          <w:tcPr>
            <w:tcW w:w="5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Research and development</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ind w:right="102"/>
              <w:spacing w:after="0"/>
              <w:rPr>
                <w:sz w:val="20"/>
                <w:szCs w:val="20"/>
                <w:color w:val="auto"/>
              </w:rPr>
            </w:pPr>
            <w:r>
              <w:rPr>
                <w:rFonts w:ascii="Arial" w:cs="Arial" w:eastAsia="Arial" w:hAnsi="Arial"/>
                <w:sz w:val="18"/>
                <w:szCs w:val="18"/>
                <w:color w:val="auto"/>
              </w:rPr>
              <w:t>240,225</w:t>
            </w:r>
          </w:p>
        </w:tc>
        <w:tc>
          <w:tcPr>
            <w:tcW w:w="54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205,388</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34,837</w:t>
            </w:r>
          </w:p>
        </w:tc>
        <w:tc>
          <w:tcPr>
            <w:tcW w:w="1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17 %</w:t>
            </w:r>
          </w:p>
        </w:tc>
      </w:tr>
      <w:tr>
        <w:trPr>
          <w:trHeight w:val="243"/>
        </w:trPr>
        <w:tc>
          <w:tcPr>
            <w:tcW w:w="5340" w:type="dxa"/>
            <w:vAlign w:val="bottom"/>
          </w:tcPr>
          <w:p>
            <w:pPr>
              <w:ind w:left="20"/>
              <w:spacing w:after="0"/>
              <w:rPr>
                <w:sz w:val="20"/>
                <w:szCs w:val="20"/>
                <w:color w:val="auto"/>
              </w:rPr>
            </w:pPr>
            <w:r>
              <w:rPr>
                <w:rFonts w:ascii="Arial" w:cs="Arial" w:eastAsia="Arial" w:hAnsi="Arial"/>
                <w:sz w:val="18"/>
                <w:szCs w:val="18"/>
                <w:color w:val="auto"/>
              </w:rPr>
              <w:t>Percentage of revenue</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44 %</w:t>
            </w:r>
          </w:p>
        </w:tc>
        <w:tc>
          <w:tcPr>
            <w:tcW w:w="54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47 %</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20" w:type="dxa"/>
            <w:vAlign w:val="bottom"/>
          </w:tcPr>
          <w:p>
            <w:pPr>
              <w:spacing w:after="0"/>
              <w:rPr>
                <w:sz w:val="21"/>
                <w:szCs w:val="21"/>
                <w:color w:val="auto"/>
              </w:rPr>
            </w:pPr>
          </w:p>
        </w:tc>
      </w:tr>
    </w:tbl>
    <w:p>
      <w:pPr>
        <w:spacing w:after="0" w:line="323" w:lineRule="exact"/>
        <w:rPr>
          <w:sz w:val="20"/>
          <w:szCs w:val="20"/>
          <w:color w:val="auto"/>
        </w:rPr>
      </w:pPr>
    </w:p>
    <w:p>
      <w:pPr>
        <w:jc w:val="both"/>
        <w:ind w:firstLine="486"/>
        <w:spacing w:after="0" w:line="311" w:lineRule="auto"/>
        <w:rPr>
          <w:sz w:val="20"/>
          <w:szCs w:val="20"/>
          <w:color w:val="auto"/>
        </w:rPr>
      </w:pPr>
      <w:r>
        <w:rPr>
          <w:rFonts w:ascii="Arial" w:cs="Arial" w:eastAsia="Arial" w:hAnsi="Arial"/>
          <w:sz w:val="16"/>
          <w:szCs w:val="16"/>
          <w:color w:val="auto"/>
        </w:rPr>
        <w:t>Research and development expense increased by $34.8 million, or 17%, for the three months ended September 30, 2023 compared to the three months ended September 30, 2022. This increase was primarily due to an increase of $36.1 million in personnel and other related costs for our engineering, product and design teams as a result of increased headcount and was offset by a decrease of $1.8 million in cloud infrastructure-related investments.</w:t>
      </w:r>
    </w:p>
    <w:p>
      <w:pPr>
        <w:spacing w:after="0" w:line="149"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Sales and Marketing</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3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760" w:type="dxa"/>
            <w:vAlign w:val="bottom"/>
            <w:gridSpan w:val="4"/>
          </w:tcPr>
          <w:p>
            <w:pPr>
              <w:jc w:val="center"/>
              <w:ind w:right="460"/>
              <w:spacing w:after="0"/>
              <w:rPr>
                <w:sz w:val="20"/>
                <w:szCs w:val="20"/>
                <w:color w:val="auto"/>
              </w:rPr>
            </w:pPr>
            <w:r>
              <w:rPr>
                <w:rFonts w:ascii="Arial" w:cs="Arial" w:eastAsia="Arial" w:hAnsi="Arial"/>
                <w:sz w:val="14"/>
                <w:szCs w:val="14"/>
                <w:b w:val="1"/>
                <w:bCs w:val="1"/>
                <w:color w:val="auto"/>
                <w:w w:val="93"/>
              </w:rPr>
              <w:t>Three Months Ended</w:t>
            </w:r>
          </w:p>
        </w:tc>
        <w:tc>
          <w:tcPr>
            <w:tcW w:w="2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53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680" w:type="dxa"/>
            <w:vAlign w:val="bottom"/>
            <w:gridSpan w:val="2"/>
          </w:tcPr>
          <w:p>
            <w:pPr>
              <w:jc w:val="center"/>
              <w:ind w:left="522"/>
              <w:spacing w:after="0"/>
              <w:rPr>
                <w:sz w:val="20"/>
                <w:szCs w:val="20"/>
                <w:color w:val="auto"/>
              </w:rPr>
            </w:pPr>
            <w:r>
              <w:rPr>
                <w:rFonts w:ascii="Arial" w:cs="Arial" w:eastAsia="Arial" w:hAnsi="Arial"/>
                <w:sz w:val="14"/>
                <w:szCs w:val="14"/>
                <w:b w:val="1"/>
                <w:bCs w:val="1"/>
                <w:color w:val="auto"/>
                <w:w w:val="91"/>
              </w:rPr>
              <w:t>September 30,</w:t>
            </w: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3"/>
        </w:trPr>
        <w:tc>
          <w:tcPr>
            <w:tcW w:w="5320" w:type="dxa"/>
            <w:vAlign w:val="bottom"/>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14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Change</w:t>
            </w:r>
          </w:p>
        </w:tc>
        <w:tc>
          <w:tcPr>
            <w:tcW w:w="1420" w:type="dxa"/>
            <w:vAlign w:val="bottom"/>
            <w:vMerge w:val="restart"/>
          </w:tcPr>
          <w:p>
            <w:pPr>
              <w:jc w:val="right"/>
              <w:ind w:right="299"/>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84"/>
        </w:trPr>
        <w:tc>
          <w:tcPr>
            <w:tcW w:w="53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40" w:type="dxa"/>
            <w:vAlign w:val="bottom"/>
          </w:tcPr>
          <w:p>
            <w:pPr>
              <w:jc w:val="right"/>
              <w:ind w:right="542"/>
              <w:spacing w:after="0"/>
              <w:rPr>
                <w:sz w:val="20"/>
                <w:szCs w:val="20"/>
                <w:color w:val="auto"/>
              </w:rPr>
            </w:pPr>
            <w:r>
              <w:rPr>
                <w:rFonts w:ascii="Arial" w:cs="Arial" w:eastAsia="Arial" w:hAnsi="Arial"/>
                <w:sz w:val="14"/>
                <w:szCs w:val="14"/>
                <w:b w:val="1"/>
                <w:bCs w:val="1"/>
                <w:color w:val="auto"/>
              </w:rPr>
              <w:t>2023</w:t>
            </w:r>
          </w:p>
        </w:tc>
        <w:tc>
          <w:tcPr>
            <w:tcW w:w="540" w:type="dxa"/>
            <w:vAlign w:val="bottom"/>
          </w:tcPr>
          <w:p>
            <w:pPr>
              <w:spacing w:after="0"/>
              <w:rPr>
                <w:sz w:val="16"/>
                <w:szCs w:val="16"/>
                <w:color w:val="auto"/>
              </w:rPr>
            </w:pPr>
          </w:p>
        </w:tc>
        <w:tc>
          <w:tcPr>
            <w:tcW w:w="960" w:type="dxa"/>
            <w:vAlign w:val="bottom"/>
          </w:tcPr>
          <w:p>
            <w:pPr>
              <w:jc w:val="right"/>
              <w:ind w:right="496"/>
              <w:spacing w:after="0"/>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gridSpan w:val="2"/>
            <w:vMerge w:val="continue"/>
          </w:tcPr>
          <w:p>
            <w:pPr>
              <w:spacing w:after="0"/>
              <w:rPr>
                <w:sz w:val="16"/>
                <w:szCs w:val="16"/>
                <w:color w:val="auto"/>
              </w:rPr>
            </w:pPr>
          </w:p>
        </w:tc>
        <w:tc>
          <w:tcPr>
            <w:tcW w:w="14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9"/>
        </w:trPr>
        <w:tc>
          <w:tcPr>
            <w:tcW w:w="5320" w:type="dxa"/>
            <w:vAlign w:val="bottom"/>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2640" w:type="dxa"/>
            <w:vAlign w:val="bottom"/>
            <w:tcBorders>
              <w:bottom w:val="single" w:sz="8" w:color="auto"/>
            </w:tcBorders>
            <w:gridSpan w:val="3"/>
          </w:tcPr>
          <w:p>
            <w:pPr>
              <w:spacing w:after="0"/>
              <w:rPr>
                <w:sz w:val="3"/>
                <w:szCs w:val="3"/>
                <w:color w:val="auto"/>
              </w:rPr>
            </w:pPr>
          </w:p>
        </w:tc>
        <w:tc>
          <w:tcPr>
            <w:tcW w:w="120" w:type="dxa"/>
            <w:vAlign w:val="bottom"/>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4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4"/>
        </w:trPr>
        <w:tc>
          <w:tcPr>
            <w:tcW w:w="53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760" w:type="dxa"/>
            <w:vAlign w:val="bottom"/>
            <w:gridSpan w:val="4"/>
          </w:tcPr>
          <w:p>
            <w:pPr>
              <w:jc w:val="center"/>
              <w:ind w:right="460"/>
              <w:spacing w:after="0"/>
              <w:rPr>
                <w:sz w:val="20"/>
                <w:szCs w:val="20"/>
                <w:color w:val="auto"/>
              </w:rPr>
            </w:pPr>
            <w:r>
              <w:rPr>
                <w:rFonts w:ascii="Arial" w:cs="Arial" w:eastAsia="Arial" w:hAnsi="Arial"/>
                <w:sz w:val="14"/>
                <w:szCs w:val="14"/>
                <w:b w:val="1"/>
                <w:bCs w:val="1"/>
                <w:color w:val="auto"/>
                <w:w w:val="91"/>
              </w:rPr>
              <w:t>(dollars in thousands)</w:t>
            </w:r>
          </w:p>
        </w:tc>
        <w:tc>
          <w:tcPr>
            <w:tcW w:w="2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9"/>
        </w:trPr>
        <w:tc>
          <w:tcPr>
            <w:tcW w:w="5320" w:type="dxa"/>
            <w:vAlign w:val="bottom"/>
          </w:tcPr>
          <w:p>
            <w:pPr>
              <w:spacing w:after="0"/>
              <w:rPr>
                <w:sz w:val="3"/>
                <w:szCs w:val="3"/>
                <w:color w:val="auto"/>
              </w:rPr>
            </w:pPr>
          </w:p>
        </w:tc>
        <w:tc>
          <w:tcPr>
            <w:tcW w:w="3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540" w:type="dxa"/>
            <w:vAlign w:val="bottom"/>
          </w:tcPr>
          <w:p>
            <w:pPr>
              <w:spacing w:after="0"/>
              <w:rPr>
                <w:sz w:val="3"/>
                <w:szCs w:val="3"/>
                <w:color w:val="auto"/>
              </w:rPr>
            </w:pPr>
          </w:p>
        </w:tc>
        <w:tc>
          <w:tcPr>
            <w:tcW w:w="960" w:type="dxa"/>
            <w:vAlign w:val="bottom"/>
          </w:tcPr>
          <w:p>
            <w:pPr>
              <w:spacing w:after="0"/>
              <w:rPr>
                <w:sz w:val="3"/>
                <w:szCs w:val="3"/>
                <w:color w:val="auto"/>
              </w:rPr>
            </w:pPr>
          </w:p>
        </w:tc>
        <w:tc>
          <w:tcPr>
            <w:tcW w:w="120" w:type="dxa"/>
            <w:vAlign w:val="bottom"/>
          </w:tcPr>
          <w:p>
            <w:pPr>
              <w:spacing w:after="0"/>
              <w:rPr>
                <w:sz w:val="3"/>
                <w:szCs w:val="3"/>
                <w:color w:val="auto"/>
              </w:rPr>
            </w:pPr>
          </w:p>
        </w:tc>
        <w:tc>
          <w:tcPr>
            <w:tcW w:w="2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0"/>
        </w:trPr>
        <w:tc>
          <w:tcPr>
            <w:tcW w:w="5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Sales and marketing</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2"/>
              <w:spacing w:after="0"/>
              <w:rPr>
                <w:sz w:val="20"/>
                <w:szCs w:val="20"/>
                <w:color w:val="auto"/>
              </w:rPr>
            </w:pPr>
            <w:r>
              <w:rPr>
                <w:rFonts w:ascii="Arial" w:cs="Arial" w:eastAsia="Arial" w:hAnsi="Arial"/>
                <w:sz w:val="18"/>
                <w:szCs w:val="18"/>
                <w:color w:val="auto"/>
              </w:rPr>
              <w:t>156,870</w:t>
            </w:r>
          </w:p>
        </w:tc>
        <w:tc>
          <w:tcPr>
            <w:tcW w:w="54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129,493</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27,377</w:t>
            </w:r>
          </w:p>
        </w:tc>
        <w:tc>
          <w:tcPr>
            <w:tcW w:w="1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21 %</w:t>
            </w:r>
          </w:p>
        </w:tc>
        <w:tc>
          <w:tcPr>
            <w:tcW w:w="0" w:type="dxa"/>
            <w:vAlign w:val="bottom"/>
          </w:tcPr>
          <w:p>
            <w:pPr>
              <w:spacing w:after="0"/>
              <w:rPr>
                <w:sz w:val="1"/>
                <w:szCs w:val="1"/>
                <w:color w:val="auto"/>
              </w:rPr>
            </w:pPr>
          </w:p>
        </w:tc>
      </w:tr>
      <w:tr>
        <w:trPr>
          <w:trHeight w:val="243"/>
        </w:trPr>
        <w:tc>
          <w:tcPr>
            <w:tcW w:w="5320" w:type="dxa"/>
            <w:vAlign w:val="bottom"/>
          </w:tcPr>
          <w:p>
            <w:pPr>
              <w:ind w:left="20"/>
              <w:spacing w:after="0"/>
              <w:rPr>
                <w:sz w:val="20"/>
                <w:szCs w:val="20"/>
                <w:color w:val="auto"/>
              </w:rPr>
            </w:pPr>
            <w:r>
              <w:rPr>
                <w:rFonts w:ascii="Arial" w:cs="Arial" w:eastAsia="Arial" w:hAnsi="Arial"/>
                <w:sz w:val="18"/>
                <w:szCs w:val="18"/>
                <w:color w:val="auto"/>
              </w:rPr>
              <w:t>Percentage of revenue</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29 %</w:t>
            </w:r>
          </w:p>
        </w:tc>
        <w:tc>
          <w:tcPr>
            <w:tcW w:w="54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30 %</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310"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Sales and marketing expense increased by $27.4 million, or 21%, for the three months ended September 30, 2023 compared to the three months ended September 30, 2022. This increase was primarily due to an increase of $22.2 million in personnel and other related costs for our sales and marketing organization as a result of increased headcount and increased</w:t>
      </w:r>
    </w:p>
    <w:p>
      <w:pPr>
        <w:sectPr>
          <w:pgSz w:w="11900" w:h="16838" w:orient="portrait"/>
          <w:cols w:equalWidth="0" w:num="1">
            <w:col w:w="11240"/>
          </w:cols>
          <w:pgMar w:left="320" w:top="1309" w:right="339" w:bottom="1440" w:gutter="0" w:footer="0" w:header="0"/>
        </w:sectPr>
      </w:pP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type w:val="continuous"/>
        </w:sectPr>
      </w:pPr>
    </w:p>
    <w:bookmarkStart w:id="31" w:name="page32"/>
    <w:bookmarkEnd w:id="31"/>
    <w:p>
      <w:pPr>
        <w:spacing w:after="0"/>
        <w:rPr>
          <w:sz w:val="20"/>
          <w:szCs w:val="20"/>
          <w:color w:val="auto"/>
        </w:rPr>
      </w:pPr>
      <w:r>
        <w:rPr>
          <w:rFonts w:ascii="Arial" w:cs="Arial" w:eastAsia="Arial" w:hAnsi="Arial"/>
          <w:sz w:val="18"/>
          <w:szCs w:val="18"/>
          <w:color w:val="auto"/>
        </w:rPr>
        <w:t>variable compensation for our sales personnel and an increase of $4.8 million in advertising, sales, marketing and promotional activities.</w:t>
      </w:r>
    </w:p>
    <w:p>
      <w:pPr>
        <w:spacing w:after="0" w:line="225"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General and Administrative</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3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740" w:type="dxa"/>
            <w:vAlign w:val="bottom"/>
            <w:gridSpan w:val="4"/>
          </w:tcPr>
          <w:p>
            <w:pPr>
              <w:ind w:left="480"/>
              <w:spacing w:after="0"/>
              <w:rPr>
                <w:sz w:val="20"/>
                <w:szCs w:val="20"/>
                <w:color w:val="auto"/>
              </w:rPr>
            </w:pPr>
            <w:r>
              <w:rPr>
                <w:rFonts w:ascii="Arial" w:cs="Arial" w:eastAsia="Arial" w:hAnsi="Arial"/>
                <w:sz w:val="14"/>
                <w:szCs w:val="14"/>
                <w:b w:val="1"/>
                <w:bCs w:val="1"/>
                <w:color w:val="auto"/>
              </w:rPr>
              <w:t>Three Months Ended</w:t>
            </w:r>
          </w:p>
        </w:tc>
        <w:tc>
          <w:tcPr>
            <w:tcW w:w="2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53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80" w:type="dxa"/>
            <w:vAlign w:val="bottom"/>
            <w:gridSpan w:val="2"/>
          </w:tcPr>
          <w:p>
            <w:pPr>
              <w:ind w:left="700"/>
              <w:spacing w:after="0"/>
              <w:rPr>
                <w:sz w:val="20"/>
                <w:szCs w:val="20"/>
                <w:color w:val="auto"/>
              </w:rPr>
            </w:pPr>
            <w:r>
              <w:rPr>
                <w:rFonts w:ascii="Arial" w:cs="Arial" w:eastAsia="Arial" w:hAnsi="Arial"/>
                <w:sz w:val="14"/>
                <w:szCs w:val="14"/>
                <w:b w:val="1"/>
                <w:bCs w:val="1"/>
                <w:color w:val="auto"/>
              </w:rPr>
              <w:t>September 30,</w:t>
            </w: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3"/>
        </w:trPr>
        <w:tc>
          <w:tcPr>
            <w:tcW w:w="5360" w:type="dxa"/>
            <w:vAlign w:val="bottom"/>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14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Change</w:t>
            </w:r>
          </w:p>
        </w:tc>
        <w:tc>
          <w:tcPr>
            <w:tcW w:w="1420" w:type="dxa"/>
            <w:vAlign w:val="bottom"/>
            <w:vMerge w:val="restart"/>
          </w:tcPr>
          <w:p>
            <w:pPr>
              <w:jc w:val="right"/>
              <w:ind w:right="299"/>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84"/>
        </w:trPr>
        <w:tc>
          <w:tcPr>
            <w:tcW w:w="53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ind w:left="220"/>
              <w:spacing w:after="0"/>
              <w:rPr>
                <w:sz w:val="20"/>
                <w:szCs w:val="20"/>
                <w:color w:val="auto"/>
              </w:rPr>
            </w:pPr>
            <w:r>
              <w:rPr>
                <w:rFonts w:ascii="Arial" w:cs="Arial" w:eastAsia="Arial" w:hAnsi="Arial"/>
                <w:sz w:val="14"/>
                <w:szCs w:val="14"/>
                <w:b w:val="1"/>
                <w:bCs w:val="1"/>
                <w:color w:val="auto"/>
              </w:rPr>
              <w:t>2023</w:t>
            </w:r>
          </w:p>
        </w:tc>
        <w:tc>
          <w:tcPr>
            <w:tcW w:w="540" w:type="dxa"/>
            <w:vAlign w:val="bottom"/>
          </w:tcPr>
          <w:p>
            <w:pPr>
              <w:spacing w:after="0"/>
              <w:rPr>
                <w:sz w:val="16"/>
                <w:szCs w:val="16"/>
                <w:color w:val="auto"/>
              </w:rPr>
            </w:pPr>
          </w:p>
        </w:tc>
        <w:tc>
          <w:tcPr>
            <w:tcW w:w="940" w:type="dxa"/>
            <w:vAlign w:val="bottom"/>
          </w:tcPr>
          <w:p>
            <w:pPr>
              <w:jc w:val="right"/>
              <w:ind w:right="476"/>
              <w:spacing w:after="0"/>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gridSpan w:val="2"/>
            <w:vMerge w:val="continue"/>
          </w:tcPr>
          <w:p>
            <w:pPr>
              <w:spacing w:after="0"/>
              <w:rPr>
                <w:sz w:val="16"/>
                <w:szCs w:val="16"/>
                <w:color w:val="auto"/>
              </w:rPr>
            </w:pPr>
          </w:p>
        </w:tc>
        <w:tc>
          <w:tcPr>
            <w:tcW w:w="14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9"/>
        </w:trPr>
        <w:tc>
          <w:tcPr>
            <w:tcW w:w="536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2620" w:type="dxa"/>
            <w:vAlign w:val="bottom"/>
            <w:tcBorders>
              <w:bottom w:val="single" w:sz="8" w:color="auto"/>
            </w:tcBorders>
            <w:gridSpan w:val="3"/>
          </w:tcPr>
          <w:p>
            <w:pPr>
              <w:spacing w:after="0"/>
              <w:rPr>
                <w:sz w:val="3"/>
                <w:szCs w:val="3"/>
                <w:color w:val="auto"/>
              </w:rPr>
            </w:pPr>
          </w:p>
        </w:tc>
        <w:tc>
          <w:tcPr>
            <w:tcW w:w="120" w:type="dxa"/>
            <w:vAlign w:val="bottom"/>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4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4"/>
        </w:trPr>
        <w:tc>
          <w:tcPr>
            <w:tcW w:w="53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740" w:type="dxa"/>
            <w:vAlign w:val="bottom"/>
            <w:gridSpan w:val="4"/>
          </w:tcPr>
          <w:p>
            <w:pPr>
              <w:ind w:left="480"/>
              <w:spacing w:after="0"/>
              <w:rPr>
                <w:sz w:val="20"/>
                <w:szCs w:val="20"/>
                <w:color w:val="auto"/>
              </w:rPr>
            </w:pPr>
            <w:r>
              <w:rPr>
                <w:rFonts w:ascii="Arial" w:cs="Arial" w:eastAsia="Arial" w:hAnsi="Arial"/>
                <w:sz w:val="14"/>
                <w:szCs w:val="14"/>
                <w:b w:val="1"/>
                <w:bCs w:val="1"/>
                <w:color w:val="auto"/>
              </w:rPr>
              <w:t>(dollars in thousands)</w:t>
            </w:r>
          </w:p>
        </w:tc>
        <w:tc>
          <w:tcPr>
            <w:tcW w:w="2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9"/>
        </w:trPr>
        <w:tc>
          <w:tcPr>
            <w:tcW w:w="536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540" w:type="dxa"/>
            <w:vAlign w:val="bottom"/>
          </w:tcPr>
          <w:p>
            <w:pPr>
              <w:spacing w:after="0"/>
              <w:rPr>
                <w:sz w:val="3"/>
                <w:szCs w:val="3"/>
                <w:color w:val="auto"/>
              </w:rPr>
            </w:pPr>
          </w:p>
        </w:tc>
        <w:tc>
          <w:tcPr>
            <w:tcW w:w="940" w:type="dxa"/>
            <w:vAlign w:val="bottom"/>
          </w:tcPr>
          <w:p>
            <w:pPr>
              <w:spacing w:after="0"/>
              <w:rPr>
                <w:sz w:val="3"/>
                <w:szCs w:val="3"/>
                <w:color w:val="auto"/>
              </w:rPr>
            </w:pPr>
          </w:p>
        </w:tc>
        <w:tc>
          <w:tcPr>
            <w:tcW w:w="120" w:type="dxa"/>
            <w:vAlign w:val="bottom"/>
          </w:tcPr>
          <w:p>
            <w:pPr>
              <w:spacing w:after="0"/>
              <w:rPr>
                <w:sz w:val="3"/>
                <w:szCs w:val="3"/>
                <w:color w:val="auto"/>
              </w:rPr>
            </w:pPr>
          </w:p>
        </w:tc>
        <w:tc>
          <w:tcPr>
            <w:tcW w:w="2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0"/>
        </w:trPr>
        <w:tc>
          <w:tcPr>
            <w:tcW w:w="5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General and administrative</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51,352</w:t>
            </w:r>
          </w:p>
        </w:tc>
        <w:tc>
          <w:tcPr>
            <w:tcW w:w="54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39,395</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11,957</w:t>
            </w:r>
          </w:p>
        </w:tc>
        <w:tc>
          <w:tcPr>
            <w:tcW w:w="1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30 %</w:t>
            </w:r>
          </w:p>
        </w:tc>
        <w:tc>
          <w:tcPr>
            <w:tcW w:w="0" w:type="dxa"/>
            <w:vAlign w:val="bottom"/>
          </w:tcPr>
          <w:p>
            <w:pPr>
              <w:spacing w:after="0"/>
              <w:rPr>
                <w:sz w:val="1"/>
                <w:szCs w:val="1"/>
                <w:color w:val="auto"/>
              </w:rPr>
            </w:pPr>
          </w:p>
        </w:tc>
      </w:tr>
      <w:tr>
        <w:trPr>
          <w:trHeight w:val="243"/>
        </w:trPr>
        <w:tc>
          <w:tcPr>
            <w:tcW w:w="5360" w:type="dxa"/>
            <w:vAlign w:val="bottom"/>
          </w:tcPr>
          <w:p>
            <w:pPr>
              <w:ind w:left="20"/>
              <w:spacing w:after="0"/>
              <w:rPr>
                <w:sz w:val="20"/>
                <w:szCs w:val="20"/>
                <w:color w:val="auto"/>
              </w:rPr>
            </w:pPr>
            <w:r>
              <w:rPr>
                <w:rFonts w:ascii="Arial" w:cs="Arial" w:eastAsia="Arial" w:hAnsi="Arial"/>
                <w:sz w:val="18"/>
                <w:szCs w:val="18"/>
                <w:color w:val="auto"/>
              </w:rPr>
              <w:t>Percentage of revenue</w:t>
            </w:r>
          </w:p>
        </w:tc>
        <w:tc>
          <w:tcPr>
            <w:tcW w:w="340" w:type="dxa"/>
            <w:vAlign w:val="bottom"/>
          </w:tcPr>
          <w:p>
            <w:pPr>
              <w:spacing w:after="0"/>
              <w:rPr>
                <w:sz w:val="21"/>
                <w:szCs w:val="21"/>
                <w:color w:val="auto"/>
              </w:rPr>
            </w:pPr>
          </w:p>
        </w:tc>
        <w:tc>
          <w:tcPr>
            <w:tcW w:w="1140" w:type="dxa"/>
            <w:vAlign w:val="bottom"/>
          </w:tcPr>
          <w:p>
            <w:pPr>
              <w:ind w:left="780"/>
              <w:spacing w:after="0"/>
              <w:rPr>
                <w:sz w:val="20"/>
                <w:szCs w:val="20"/>
                <w:color w:val="auto"/>
              </w:rPr>
            </w:pPr>
            <w:r>
              <w:rPr>
                <w:rFonts w:ascii="Arial" w:cs="Arial" w:eastAsia="Arial" w:hAnsi="Arial"/>
                <w:sz w:val="18"/>
                <w:szCs w:val="18"/>
                <w:color w:val="auto"/>
              </w:rPr>
              <w:t>9 %</w:t>
            </w:r>
          </w:p>
        </w:tc>
        <w:tc>
          <w:tcPr>
            <w:tcW w:w="5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9 %</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310"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General and administrative expense increased by $12.0 million, or 30%, for the three months ended September 30, 2023 compared to the three months ended September 30, 2022. This increase was primarily due to an increase in legal expenses, professional services, personnel and other related costs as a result of increased headcount.</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Other Income, Net</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53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720" w:type="dxa"/>
            <w:vAlign w:val="bottom"/>
            <w:gridSpan w:val="4"/>
          </w:tcPr>
          <w:p>
            <w:pPr>
              <w:jc w:val="center"/>
              <w:ind w:right="460"/>
              <w:spacing w:after="0"/>
              <w:rPr>
                <w:sz w:val="20"/>
                <w:szCs w:val="20"/>
                <w:color w:val="auto"/>
              </w:rPr>
            </w:pPr>
            <w:r>
              <w:rPr>
                <w:rFonts w:ascii="Arial" w:cs="Arial" w:eastAsia="Arial" w:hAnsi="Arial"/>
                <w:sz w:val="14"/>
                <w:szCs w:val="14"/>
                <w:b w:val="1"/>
                <w:bCs w:val="1"/>
                <w:color w:val="auto"/>
                <w:w w:val="93"/>
              </w:rPr>
              <w:t>Three Months Ended</w:t>
            </w:r>
          </w:p>
        </w:tc>
        <w:tc>
          <w:tcPr>
            <w:tcW w:w="2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53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60" w:type="dxa"/>
            <w:vAlign w:val="bottom"/>
            <w:gridSpan w:val="2"/>
          </w:tcPr>
          <w:p>
            <w:pPr>
              <w:jc w:val="center"/>
              <w:ind w:left="542"/>
              <w:spacing w:after="0"/>
              <w:rPr>
                <w:sz w:val="20"/>
                <w:szCs w:val="20"/>
                <w:color w:val="auto"/>
              </w:rPr>
            </w:pPr>
            <w:r>
              <w:rPr>
                <w:rFonts w:ascii="Arial" w:cs="Arial" w:eastAsia="Arial" w:hAnsi="Arial"/>
                <w:sz w:val="14"/>
                <w:szCs w:val="14"/>
                <w:b w:val="1"/>
                <w:bCs w:val="1"/>
                <w:color w:val="auto"/>
                <w:w w:val="91"/>
              </w:rPr>
              <w:t>September 30,</w:t>
            </w: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9"/>
        </w:trPr>
        <w:tc>
          <w:tcPr>
            <w:tcW w:w="536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112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Change</w:t>
            </w:r>
          </w:p>
        </w:tc>
        <w:tc>
          <w:tcPr>
            <w:tcW w:w="1440" w:type="dxa"/>
            <w:vAlign w:val="bottom"/>
            <w:vMerge w:val="restart"/>
          </w:tcPr>
          <w:p>
            <w:pPr>
              <w:jc w:val="right"/>
              <w:ind w:right="299"/>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84"/>
        </w:trPr>
        <w:tc>
          <w:tcPr>
            <w:tcW w:w="53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42"/>
              <w:spacing w:after="0"/>
              <w:rPr>
                <w:sz w:val="20"/>
                <w:szCs w:val="20"/>
                <w:color w:val="auto"/>
              </w:rPr>
            </w:pPr>
            <w:r>
              <w:rPr>
                <w:rFonts w:ascii="Arial" w:cs="Arial" w:eastAsia="Arial" w:hAnsi="Arial"/>
                <w:sz w:val="14"/>
                <w:szCs w:val="14"/>
                <w:b w:val="1"/>
                <w:bCs w:val="1"/>
                <w:color w:val="auto"/>
              </w:rPr>
              <w:t>2023</w:t>
            </w:r>
          </w:p>
        </w:tc>
        <w:tc>
          <w:tcPr>
            <w:tcW w:w="520" w:type="dxa"/>
            <w:vAlign w:val="bottom"/>
          </w:tcPr>
          <w:p>
            <w:pPr>
              <w:spacing w:after="0"/>
              <w:rPr>
                <w:sz w:val="16"/>
                <w:szCs w:val="16"/>
                <w:color w:val="auto"/>
              </w:rPr>
            </w:pPr>
          </w:p>
        </w:tc>
        <w:tc>
          <w:tcPr>
            <w:tcW w:w="960" w:type="dxa"/>
            <w:vAlign w:val="bottom"/>
          </w:tcPr>
          <w:p>
            <w:pPr>
              <w:jc w:val="right"/>
              <w:ind w:right="496"/>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14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9"/>
        </w:trPr>
        <w:tc>
          <w:tcPr>
            <w:tcW w:w="536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2620" w:type="dxa"/>
            <w:vAlign w:val="bottom"/>
            <w:tcBorders>
              <w:bottom w:val="single" w:sz="8" w:color="auto"/>
            </w:tcBorders>
            <w:gridSpan w:val="3"/>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4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4"/>
        </w:trPr>
        <w:tc>
          <w:tcPr>
            <w:tcW w:w="53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720" w:type="dxa"/>
            <w:vAlign w:val="bottom"/>
            <w:gridSpan w:val="4"/>
          </w:tcPr>
          <w:p>
            <w:pPr>
              <w:jc w:val="center"/>
              <w:ind w:right="460"/>
              <w:spacing w:after="0"/>
              <w:rPr>
                <w:sz w:val="20"/>
                <w:szCs w:val="20"/>
                <w:color w:val="auto"/>
              </w:rPr>
            </w:pPr>
            <w:r>
              <w:rPr>
                <w:rFonts w:ascii="Arial" w:cs="Arial" w:eastAsia="Arial" w:hAnsi="Arial"/>
                <w:sz w:val="14"/>
                <w:szCs w:val="14"/>
                <w:b w:val="1"/>
                <w:bCs w:val="1"/>
                <w:color w:val="auto"/>
                <w:w w:val="91"/>
              </w:rPr>
              <w:t>(dollars in thousands)</w:t>
            </w:r>
          </w:p>
        </w:tc>
        <w:tc>
          <w:tcPr>
            <w:tcW w:w="2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9"/>
        </w:trPr>
        <w:tc>
          <w:tcPr>
            <w:tcW w:w="536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520" w:type="dxa"/>
            <w:vAlign w:val="bottom"/>
          </w:tcPr>
          <w:p>
            <w:pPr>
              <w:spacing w:after="0"/>
              <w:rPr>
                <w:sz w:val="3"/>
                <w:szCs w:val="3"/>
                <w:color w:val="auto"/>
              </w:rPr>
            </w:pPr>
          </w:p>
        </w:tc>
        <w:tc>
          <w:tcPr>
            <w:tcW w:w="9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0"/>
        </w:trPr>
        <w:tc>
          <w:tcPr>
            <w:tcW w:w="5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income, net</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ind w:right="202"/>
              <w:spacing w:after="0"/>
              <w:rPr>
                <w:sz w:val="20"/>
                <w:szCs w:val="20"/>
                <w:color w:val="auto"/>
              </w:rPr>
            </w:pPr>
            <w:r>
              <w:rPr>
                <w:rFonts w:ascii="Arial" w:cs="Arial" w:eastAsia="Arial" w:hAnsi="Arial"/>
                <w:sz w:val="18"/>
                <w:szCs w:val="18"/>
                <w:color w:val="auto"/>
              </w:rPr>
              <w:t>28,530</w:t>
            </w:r>
          </w:p>
        </w:tc>
        <w:tc>
          <w:tcPr>
            <w:tcW w:w="52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136"/>
              <w:spacing w:after="0"/>
              <w:rPr>
                <w:sz w:val="20"/>
                <w:szCs w:val="20"/>
                <w:color w:val="auto"/>
              </w:rPr>
            </w:pPr>
            <w:r>
              <w:rPr>
                <w:rFonts w:ascii="Arial" w:cs="Arial" w:eastAsia="Arial" w:hAnsi="Arial"/>
                <w:sz w:val="18"/>
                <w:szCs w:val="18"/>
                <w:color w:val="auto"/>
              </w:rPr>
              <w:t>8,283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20,247</w:t>
            </w: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244 %</w:t>
            </w:r>
          </w:p>
        </w:tc>
        <w:tc>
          <w:tcPr>
            <w:tcW w:w="0" w:type="dxa"/>
            <w:vAlign w:val="bottom"/>
          </w:tcPr>
          <w:p>
            <w:pPr>
              <w:spacing w:after="0"/>
              <w:rPr>
                <w:sz w:val="1"/>
                <w:szCs w:val="1"/>
                <w:color w:val="auto"/>
              </w:rPr>
            </w:pPr>
          </w:p>
        </w:tc>
      </w:tr>
      <w:tr>
        <w:trPr>
          <w:trHeight w:val="243"/>
        </w:trPr>
        <w:tc>
          <w:tcPr>
            <w:tcW w:w="5360" w:type="dxa"/>
            <w:vAlign w:val="bottom"/>
          </w:tcPr>
          <w:p>
            <w:pPr>
              <w:ind w:left="20"/>
              <w:spacing w:after="0"/>
              <w:rPr>
                <w:sz w:val="20"/>
                <w:szCs w:val="20"/>
                <w:color w:val="auto"/>
              </w:rPr>
            </w:pPr>
            <w:r>
              <w:rPr>
                <w:rFonts w:ascii="Arial" w:cs="Arial" w:eastAsia="Arial" w:hAnsi="Arial"/>
                <w:sz w:val="18"/>
                <w:szCs w:val="18"/>
                <w:color w:val="auto"/>
              </w:rPr>
              <w:t>Percentage of revenue</w:t>
            </w:r>
          </w:p>
        </w:tc>
        <w:tc>
          <w:tcPr>
            <w:tcW w:w="340" w:type="dxa"/>
            <w:vAlign w:val="bottom"/>
          </w:tcPr>
          <w:p>
            <w:pPr>
              <w:spacing w:after="0"/>
              <w:rPr>
                <w:sz w:val="21"/>
                <w:szCs w:val="21"/>
                <w:color w:val="auto"/>
              </w:rPr>
            </w:pPr>
          </w:p>
        </w:tc>
        <w:tc>
          <w:tcPr>
            <w:tcW w:w="1140" w:type="dxa"/>
            <w:vAlign w:val="bottom"/>
          </w:tcPr>
          <w:p>
            <w:pPr>
              <w:jc w:val="right"/>
              <w:ind w:right="2"/>
              <w:spacing w:after="0"/>
              <w:rPr>
                <w:sz w:val="20"/>
                <w:szCs w:val="20"/>
                <w:color w:val="auto"/>
              </w:rPr>
            </w:pPr>
            <w:r>
              <w:rPr>
                <w:rFonts w:ascii="Arial" w:cs="Arial" w:eastAsia="Arial" w:hAnsi="Arial"/>
                <w:sz w:val="18"/>
                <w:szCs w:val="18"/>
                <w:color w:val="auto"/>
              </w:rPr>
              <w:t>5 %</w:t>
            </w:r>
          </w:p>
        </w:tc>
        <w:tc>
          <w:tcPr>
            <w:tcW w:w="5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2 %</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323"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Other income, net increased by $20.2 million, or 244%, for the three months ended September 30, 2023 compared to the three months ended September 30, 2022. This increase was primarily driven by an increase of $19.7 million in interest income, mainly due to income earned from investments in marketable securities.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Comparison of the Nine Months Ended September 30, 2023 and 2022</w:t>
      </w:r>
    </w:p>
    <w:p>
      <w:pPr>
        <w:spacing w:after="0" w:line="229"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Revenue</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5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520" w:type="dxa"/>
            <w:vAlign w:val="bottom"/>
            <w:gridSpan w:val="4"/>
          </w:tcPr>
          <w:p>
            <w:pPr>
              <w:jc w:val="center"/>
              <w:ind w:right="440"/>
              <w:spacing w:after="0"/>
              <w:rPr>
                <w:sz w:val="20"/>
                <w:szCs w:val="20"/>
                <w:color w:val="auto"/>
              </w:rPr>
            </w:pPr>
            <w:r>
              <w:rPr>
                <w:rFonts w:ascii="Arial" w:cs="Arial" w:eastAsia="Arial" w:hAnsi="Arial"/>
                <w:sz w:val="14"/>
                <w:szCs w:val="14"/>
                <w:b w:val="1"/>
                <w:bCs w:val="1"/>
                <w:color w:val="auto"/>
                <w:w w:val="94"/>
              </w:rPr>
              <w:t>Nine Months Ended</w:t>
            </w:r>
          </w:p>
        </w:tc>
        <w:tc>
          <w:tcPr>
            <w:tcW w:w="2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55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560" w:type="dxa"/>
            <w:vAlign w:val="bottom"/>
            <w:gridSpan w:val="2"/>
          </w:tcPr>
          <w:p>
            <w:pPr>
              <w:jc w:val="center"/>
              <w:ind w:left="484"/>
              <w:spacing w:after="0"/>
              <w:rPr>
                <w:sz w:val="20"/>
                <w:szCs w:val="20"/>
                <w:color w:val="auto"/>
              </w:rPr>
            </w:pPr>
            <w:r>
              <w:rPr>
                <w:rFonts w:ascii="Arial" w:cs="Arial" w:eastAsia="Arial" w:hAnsi="Arial"/>
                <w:sz w:val="14"/>
                <w:szCs w:val="14"/>
                <w:b w:val="1"/>
                <w:bCs w:val="1"/>
                <w:color w:val="auto"/>
                <w:w w:val="91"/>
              </w:rPr>
              <w:t>September 30,</w:t>
            </w: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9"/>
        </w:trPr>
        <w:tc>
          <w:tcPr>
            <w:tcW w:w="5520" w:type="dxa"/>
            <w:vAlign w:val="bottom"/>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116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Change</w:t>
            </w:r>
          </w:p>
        </w:tc>
        <w:tc>
          <w:tcPr>
            <w:tcW w:w="1460" w:type="dxa"/>
            <w:vAlign w:val="bottom"/>
            <w:vMerge w:val="restart"/>
          </w:tcPr>
          <w:p>
            <w:pPr>
              <w:jc w:val="right"/>
              <w:ind w:right="319"/>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84"/>
        </w:trPr>
        <w:tc>
          <w:tcPr>
            <w:tcW w:w="55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tcPr>
          <w:p>
            <w:pPr>
              <w:ind w:left="200"/>
              <w:spacing w:after="0"/>
              <w:rPr>
                <w:sz w:val="20"/>
                <w:szCs w:val="20"/>
                <w:color w:val="auto"/>
              </w:rPr>
            </w:pPr>
            <w:r>
              <w:rPr>
                <w:rFonts w:ascii="Arial" w:cs="Arial" w:eastAsia="Arial" w:hAnsi="Arial"/>
                <w:sz w:val="14"/>
                <w:szCs w:val="14"/>
                <w:b w:val="1"/>
                <w:bCs w:val="1"/>
                <w:color w:val="auto"/>
              </w:rPr>
              <w:t>2023</w:t>
            </w:r>
          </w:p>
        </w:tc>
        <w:tc>
          <w:tcPr>
            <w:tcW w:w="540" w:type="dxa"/>
            <w:vAlign w:val="bottom"/>
          </w:tcPr>
          <w:p>
            <w:pPr>
              <w:spacing w:after="0"/>
              <w:rPr>
                <w:sz w:val="16"/>
                <w:szCs w:val="16"/>
                <w:color w:val="auto"/>
              </w:rPr>
            </w:pPr>
          </w:p>
        </w:tc>
        <w:tc>
          <w:tcPr>
            <w:tcW w:w="860" w:type="dxa"/>
            <w:vAlign w:val="bottom"/>
          </w:tcPr>
          <w:p>
            <w:pPr>
              <w:ind w:left="60"/>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60" w:type="dxa"/>
            <w:vAlign w:val="bottom"/>
            <w:gridSpan w:val="2"/>
            <w:vMerge w:val="continue"/>
          </w:tcPr>
          <w:p>
            <w:pPr>
              <w:spacing w:after="0"/>
              <w:rPr>
                <w:sz w:val="16"/>
                <w:szCs w:val="16"/>
                <w:color w:val="auto"/>
              </w:rPr>
            </w:pPr>
          </w:p>
        </w:tc>
        <w:tc>
          <w:tcPr>
            <w:tcW w:w="14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9"/>
        </w:trPr>
        <w:tc>
          <w:tcPr>
            <w:tcW w:w="5520" w:type="dxa"/>
            <w:vAlign w:val="bottom"/>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2420" w:type="dxa"/>
            <w:vAlign w:val="bottom"/>
            <w:tcBorders>
              <w:bottom w:val="single" w:sz="8" w:color="auto"/>
            </w:tcBorders>
            <w:gridSpan w:val="3"/>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4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4"/>
        </w:trPr>
        <w:tc>
          <w:tcPr>
            <w:tcW w:w="55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520" w:type="dxa"/>
            <w:vAlign w:val="bottom"/>
            <w:gridSpan w:val="4"/>
          </w:tcPr>
          <w:p>
            <w:pPr>
              <w:jc w:val="center"/>
              <w:ind w:right="420"/>
              <w:spacing w:after="0"/>
              <w:rPr>
                <w:sz w:val="20"/>
                <w:szCs w:val="20"/>
                <w:color w:val="auto"/>
              </w:rPr>
            </w:pPr>
            <w:r>
              <w:rPr>
                <w:rFonts w:ascii="Arial" w:cs="Arial" w:eastAsia="Arial" w:hAnsi="Arial"/>
                <w:sz w:val="14"/>
                <w:szCs w:val="14"/>
                <w:b w:val="1"/>
                <w:bCs w:val="1"/>
                <w:color w:val="auto"/>
                <w:w w:val="91"/>
              </w:rPr>
              <w:t>(dollars in thousands)</w:t>
            </w:r>
          </w:p>
        </w:tc>
        <w:tc>
          <w:tcPr>
            <w:tcW w:w="2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9"/>
        </w:trPr>
        <w:tc>
          <w:tcPr>
            <w:tcW w:w="552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540" w:type="dxa"/>
            <w:vAlign w:val="bottom"/>
          </w:tcPr>
          <w:p>
            <w:pPr>
              <w:spacing w:after="0"/>
              <w:rPr>
                <w:sz w:val="3"/>
                <w:szCs w:val="3"/>
                <w:color w:val="auto"/>
              </w:rPr>
            </w:pPr>
          </w:p>
        </w:tc>
        <w:tc>
          <w:tcPr>
            <w:tcW w:w="8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43"/>
        </w:trPr>
        <w:tc>
          <w:tcPr>
            <w:tcW w:w="5520" w:type="dxa"/>
            <w:vAlign w:val="bottom"/>
            <w:shd w:val="clear" w:color="auto" w:fill="CFF0FC"/>
          </w:tcPr>
          <w:p>
            <w:pPr>
              <w:ind w:left="20"/>
              <w:spacing w:after="0"/>
              <w:rPr>
                <w:sz w:val="20"/>
                <w:szCs w:val="20"/>
                <w:color w:val="auto"/>
              </w:rPr>
            </w:pPr>
            <w:r>
              <w:rPr>
                <w:rFonts w:ascii="Arial" w:cs="Arial" w:eastAsia="Arial" w:hAnsi="Arial"/>
                <w:sz w:val="18"/>
                <w:szCs w:val="18"/>
                <w:color w:val="auto"/>
              </w:rPr>
              <w:t>Revenue</w:t>
            </w:r>
          </w:p>
        </w:tc>
        <w:tc>
          <w:tcPr>
            <w:tcW w:w="32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FF0FC"/>
          </w:tcPr>
          <w:p>
            <w:pPr>
              <w:ind w:left="200"/>
              <w:spacing w:after="0"/>
              <w:rPr>
                <w:sz w:val="20"/>
                <w:szCs w:val="20"/>
                <w:color w:val="auto"/>
              </w:rPr>
            </w:pPr>
            <w:r>
              <w:rPr>
                <w:rFonts w:ascii="Arial" w:cs="Arial" w:eastAsia="Arial" w:hAnsi="Arial"/>
                <w:sz w:val="18"/>
                <w:szCs w:val="18"/>
                <w:color w:val="auto"/>
                <w:w w:val="99"/>
              </w:rPr>
              <w:t>1,538,710</w:t>
            </w:r>
          </w:p>
        </w:tc>
        <w:tc>
          <w:tcPr>
            <w:tcW w:w="540" w:type="dxa"/>
            <w:vAlign w:val="bottom"/>
            <w:shd w:val="clear" w:color="auto" w:fill="CFF0FC"/>
          </w:tcPr>
          <w:p>
            <w:pPr>
              <w:jc w:val="right"/>
              <w:ind w:right="250"/>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ind w:left="60"/>
              <w:spacing w:after="0"/>
              <w:rPr>
                <w:sz w:val="20"/>
                <w:szCs w:val="20"/>
                <w:color w:val="auto"/>
              </w:rPr>
            </w:pPr>
            <w:r>
              <w:rPr>
                <w:rFonts w:ascii="Arial" w:cs="Arial" w:eastAsia="Arial" w:hAnsi="Arial"/>
                <w:sz w:val="18"/>
                <w:szCs w:val="18"/>
                <w:color w:val="auto"/>
                <w:w w:val="97"/>
              </w:rPr>
              <w:t>1,205,701</w:t>
            </w:r>
          </w:p>
        </w:tc>
        <w:tc>
          <w:tcPr>
            <w:tcW w:w="100" w:type="dxa"/>
            <w:vAlign w:val="bottom"/>
            <w:shd w:val="clear" w:color="auto" w:fill="CFF0FC"/>
          </w:tcPr>
          <w:p>
            <w:pPr>
              <w:spacing w:after="0"/>
              <w:rPr>
                <w:sz w:val="21"/>
                <w:szCs w:val="21"/>
                <w:color w:val="auto"/>
              </w:rPr>
            </w:pPr>
          </w:p>
        </w:tc>
        <w:tc>
          <w:tcPr>
            <w:tcW w:w="26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333,009</w:t>
            </w:r>
          </w:p>
        </w:tc>
        <w:tc>
          <w:tcPr>
            <w:tcW w:w="100" w:type="dxa"/>
            <w:vAlign w:val="bottom"/>
            <w:shd w:val="clear" w:color="auto" w:fill="CFF0FC"/>
          </w:tcPr>
          <w:p>
            <w:pPr>
              <w:spacing w:after="0"/>
              <w:rPr>
                <w:sz w:val="21"/>
                <w:szCs w:val="21"/>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28 %</w:t>
            </w:r>
          </w:p>
        </w:tc>
        <w:tc>
          <w:tcPr>
            <w:tcW w:w="0" w:type="dxa"/>
            <w:vAlign w:val="bottom"/>
          </w:tcPr>
          <w:p>
            <w:pPr>
              <w:spacing w:after="0"/>
              <w:rPr>
                <w:sz w:val="1"/>
                <w:szCs w:val="1"/>
                <w:color w:val="auto"/>
              </w:rPr>
            </w:pPr>
          </w:p>
        </w:tc>
      </w:tr>
      <w:tr>
        <w:trPr>
          <w:trHeight w:val="27"/>
        </w:trPr>
        <w:tc>
          <w:tcPr>
            <w:tcW w:w="5520" w:type="dxa"/>
            <w:vAlign w:val="bottom"/>
            <w:shd w:val="clear" w:color="auto" w:fill="CFF0FC"/>
          </w:tcPr>
          <w:p>
            <w:pPr>
              <w:spacing w:after="0"/>
              <w:rPr>
                <w:sz w:val="2"/>
                <w:szCs w:val="2"/>
                <w:color w:val="auto"/>
              </w:rPr>
            </w:pPr>
          </w:p>
        </w:tc>
        <w:tc>
          <w:tcPr>
            <w:tcW w:w="320" w:type="dxa"/>
            <w:vAlign w:val="bottom"/>
            <w:shd w:val="clear" w:color="auto" w:fill="CFF0FC"/>
          </w:tcPr>
          <w:p>
            <w:pPr>
              <w:spacing w:after="0"/>
              <w:rPr>
                <w:sz w:val="2"/>
                <w:szCs w:val="2"/>
                <w:color w:val="auto"/>
              </w:rPr>
            </w:pPr>
          </w:p>
        </w:tc>
        <w:tc>
          <w:tcPr>
            <w:tcW w:w="1020" w:type="dxa"/>
            <w:vAlign w:val="bottom"/>
            <w:shd w:val="clear" w:color="auto" w:fill="CFF0FC"/>
          </w:tcPr>
          <w:p>
            <w:pPr>
              <w:spacing w:after="0"/>
              <w:rPr>
                <w:sz w:val="2"/>
                <w:szCs w:val="2"/>
                <w:color w:val="auto"/>
              </w:rPr>
            </w:pPr>
          </w:p>
        </w:tc>
        <w:tc>
          <w:tcPr>
            <w:tcW w:w="540" w:type="dxa"/>
            <w:vAlign w:val="bottom"/>
            <w:shd w:val="clear" w:color="auto" w:fill="CFF0FC"/>
          </w:tcPr>
          <w:p>
            <w:pPr>
              <w:spacing w:after="0"/>
              <w:rPr>
                <w:sz w:val="2"/>
                <w:szCs w:val="2"/>
                <w:color w:val="auto"/>
              </w:rPr>
            </w:pPr>
          </w:p>
        </w:tc>
        <w:tc>
          <w:tcPr>
            <w:tcW w:w="860" w:type="dxa"/>
            <w:vAlign w:val="bottom"/>
            <w:shd w:val="clear" w:color="auto" w:fill="CFF0FC"/>
          </w:tcPr>
          <w:p>
            <w:pPr>
              <w:spacing w:after="0"/>
              <w:rPr>
                <w:sz w:val="2"/>
                <w:szCs w:val="2"/>
                <w:color w:val="auto"/>
              </w:rPr>
            </w:pPr>
          </w:p>
        </w:tc>
        <w:tc>
          <w:tcPr>
            <w:tcW w:w="100" w:type="dxa"/>
            <w:vAlign w:val="bottom"/>
            <w:shd w:val="clear" w:color="auto" w:fill="CFF0FC"/>
          </w:tcPr>
          <w:p>
            <w:pPr>
              <w:spacing w:after="0"/>
              <w:rPr>
                <w:sz w:val="2"/>
                <w:szCs w:val="2"/>
                <w:color w:val="auto"/>
              </w:rPr>
            </w:pPr>
          </w:p>
        </w:tc>
        <w:tc>
          <w:tcPr>
            <w:tcW w:w="260" w:type="dxa"/>
            <w:vAlign w:val="bottom"/>
            <w:shd w:val="clear" w:color="auto" w:fill="CFF0FC"/>
          </w:tcPr>
          <w:p>
            <w:pPr>
              <w:spacing w:after="0"/>
              <w:rPr>
                <w:sz w:val="2"/>
                <w:szCs w:val="2"/>
                <w:color w:val="auto"/>
              </w:rPr>
            </w:pPr>
          </w:p>
        </w:tc>
        <w:tc>
          <w:tcPr>
            <w:tcW w:w="1060" w:type="dxa"/>
            <w:vAlign w:val="bottom"/>
            <w:shd w:val="clear" w:color="auto" w:fill="CFF0FC"/>
          </w:tcPr>
          <w:p>
            <w:pPr>
              <w:spacing w:after="0"/>
              <w:rPr>
                <w:sz w:val="2"/>
                <w:szCs w:val="2"/>
                <w:color w:val="auto"/>
              </w:rPr>
            </w:pPr>
          </w:p>
        </w:tc>
        <w:tc>
          <w:tcPr>
            <w:tcW w:w="100" w:type="dxa"/>
            <w:vAlign w:val="bottom"/>
            <w:shd w:val="clear" w:color="auto" w:fill="CFF0FC"/>
          </w:tcPr>
          <w:p>
            <w:pPr>
              <w:spacing w:after="0"/>
              <w:rPr>
                <w:sz w:val="2"/>
                <w:szCs w:val="2"/>
                <w:color w:val="auto"/>
              </w:rPr>
            </w:pPr>
          </w:p>
        </w:tc>
        <w:tc>
          <w:tcPr>
            <w:tcW w:w="1460" w:type="dxa"/>
            <w:vAlign w:val="bottom"/>
            <w:shd w:val="clear" w:color="auto" w:fill="CFF0FC"/>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96"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Revenue increased by $333.0 million, or 28%, in the nine months ended September 30, 2023 compared to the nine months ended September 30, 2022. Approximately 65% of the increase in revenue was attributable to growth from existing customers, and the remaining 35% was attributable to growth from new customers.</w:t>
      </w:r>
    </w:p>
    <w:p>
      <w:pPr>
        <w:spacing w:after="0" w:line="184"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Cost of Revenue and Gross Margin</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3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760" w:type="dxa"/>
            <w:vAlign w:val="bottom"/>
            <w:gridSpan w:val="2"/>
          </w:tcPr>
          <w:p>
            <w:pPr>
              <w:jc w:val="center"/>
              <w:ind w:left="422"/>
              <w:spacing w:after="0"/>
              <w:rPr>
                <w:sz w:val="20"/>
                <w:szCs w:val="20"/>
                <w:color w:val="auto"/>
              </w:rPr>
            </w:pPr>
            <w:r>
              <w:rPr>
                <w:rFonts w:ascii="Arial" w:cs="Arial" w:eastAsia="Arial" w:hAnsi="Arial"/>
                <w:sz w:val="14"/>
                <w:szCs w:val="14"/>
                <w:b w:val="1"/>
                <w:bCs w:val="1"/>
                <w:color w:val="auto"/>
                <w:w w:val="93"/>
              </w:rPr>
              <w:t>Nine Months Ended</w:t>
            </w: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53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760" w:type="dxa"/>
            <w:vAlign w:val="bottom"/>
            <w:gridSpan w:val="2"/>
          </w:tcPr>
          <w:p>
            <w:pPr>
              <w:jc w:val="center"/>
              <w:ind w:left="442"/>
              <w:spacing w:after="0"/>
              <w:rPr>
                <w:sz w:val="20"/>
                <w:szCs w:val="20"/>
                <w:color w:val="auto"/>
              </w:rPr>
            </w:pPr>
            <w:r>
              <w:rPr>
                <w:rFonts w:ascii="Arial" w:cs="Arial" w:eastAsia="Arial" w:hAnsi="Arial"/>
                <w:sz w:val="14"/>
                <w:szCs w:val="14"/>
                <w:b w:val="1"/>
                <w:bCs w:val="1"/>
                <w:color w:val="auto"/>
                <w:w w:val="91"/>
              </w:rPr>
              <w:t>September 30,</w:t>
            </w: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3"/>
        </w:trPr>
        <w:tc>
          <w:tcPr>
            <w:tcW w:w="5320" w:type="dxa"/>
            <w:vAlign w:val="bottom"/>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14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Change</w:t>
            </w:r>
          </w:p>
        </w:tc>
        <w:tc>
          <w:tcPr>
            <w:tcW w:w="1420" w:type="dxa"/>
            <w:vAlign w:val="bottom"/>
            <w:vMerge w:val="restart"/>
          </w:tcPr>
          <w:p>
            <w:pPr>
              <w:jc w:val="right"/>
              <w:ind w:right="299"/>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84"/>
        </w:trPr>
        <w:tc>
          <w:tcPr>
            <w:tcW w:w="53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40" w:type="dxa"/>
            <w:vAlign w:val="bottom"/>
          </w:tcPr>
          <w:p>
            <w:pPr>
              <w:jc w:val="right"/>
              <w:ind w:right="542"/>
              <w:spacing w:after="0"/>
              <w:rPr>
                <w:sz w:val="20"/>
                <w:szCs w:val="20"/>
                <w:color w:val="auto"/>
              </w:rPr>
            </w:pPr>
            <w:r>
              <w:rPr>
                <w:rFonts w:ascii="Arial" w:cs="Arial" w:eastAsia="Arial" w:hAnsi="Arial"/>
                <w:sz w:val="14"/>
                <w:szCs w:val="14"/>
                <w:b w:val="1"/>
                <w:bCs w:val="1"/>
                <w:color w:val="auto"/>
              </w:rPr>
              <w:t>2023</w:t>
            </w:r>
          </w:p>
        </w:tc>
        <w:tc>
          <w:tcPr>
            <w:tcW w:w="620" w:type="dxa"/>
            <w:vAlign w:val="bottom"/>
          </w:tcPr>
          <w:p>
            <w:pPr>
              <w:spacing w:after="0"/>
              <w:rPr>
                <w:sz w:val="16"/>
                <w:szCs w:val="16"/>
                <w:color w:val="auto"/>
              </w:rPr>
            </w:pPr>
          </w:p>
        </w:tc>
        <w:tc>
          <w:tcPr>
            <w:tcW w:w="880" w:type="dxa"/>
            <w:vAlign w:val="bottom"/>
          </w:tcPr>
          <w:p>
            <w:pPr>
              <w:jc w:val="right"/>
              <w:ind w:right="496"/>
              <w:spacing w:after="0"/>
              <w:rPr>
                <w:sz w:val="20"/>
                <w:szCs w:val="20"/>
                <w:color w:val="auto"/>
              </w:rPr>
            </w:pPr>
            <w:r>
              <w:rPr>
                <w:rFonts w:ascii="Arial" w:cs="Arial" w:eastAsia="Arial" w:hAnsi="Arial"/>
                <w:sz w:val="14"/>
                <w:szCs w:val="14"/>
                <w:b w:val="1"/>
                <w:bCs w:val="1"/>
                <w:color w:val="auto"/>
                <w:w w:val="89"/>
              </w:rPr>
              <w:t>2022</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gridSpan w:val="2"/>
            <w:vMerge w:val="continue"/>
          </w:tcPr>
          <w:p>
            <w:pPr>
              <w:spacing w:after="0"/>
              <w:rPr>
                <w:sz w:val="16"/>
                <w:szCs w:val="16"/>
                <w:color w:val="auto"/>
              </w:rPr>
            </w:pPr>
          </w:p>
        </w:tc>
        <w:tc>
          <w:tcPr>
            <w:tcW w:w="14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9"/>
        </w:trPr>
        <w:tc>
          <w:tcPr>
            <w:tcW w:w="5320" w:type="dxa"/>
            <w:vAlign w:val="bottom"/>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2640" w:type="dxa"/>
            <w:vAlign w:val="bottom"/>
            <w:tcBorders>
              <w:bottom w:val="single" w:sz="8" w:color="auto"/>
            </w:tcBorders>
            <w:gridSpan w:val="3"/>
          </w:tcPr>
          <w:p>
            <w:pPr>
              <w:spacing w:after="0"/>
              <w:rPr>
                <w:sz w:val="3"/>
                <w:szCs w:val="3"/>
                <w:color w:val="auto"/>
              </w:rPr>
            </w:pPr>
          </w:p>
        </w:tc>
        <w:tc>
          <w:tcPr>
            <w:tcW w:w="120" w:type="dxa"/>
            <w:vAlign w:val="bottom"/>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4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4"/>
        </w:trPr>
        <w:tc>
          <w:tcPr>
            <w:tcW w:w="53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760" w:type="dxa"/>
            <w:vAlign w:val="bottom"/>
            <w:gridSpan w:val="4"/>
          </w:tcPr>
          <w:p>
            <w:pPr>
              <w:jc w:val="center"/>
              <w:ind w:right="460"/>
              <w:spacing w:after="0"/>
              <w:rPr>
                <w:sz w:val="20"/>
                <w:szCs w:val="20"/>
                <w:color w:val="auto"/>
              </w:rPr>
            </w:pPr>
            <w:r>
              <w:rPr>
                <w:rFonts w:ascii="Arial" w:cs="Arial" w:eastAsia="Arial" w:hAnsi="Arial"/>
                <w:sz w:val="14"/>
                <w:szCs w:val="14"/>
                <w:b w:val="1"/>
                <w:bCs w:val="1"/>
                <w:color w:val="auto"/>
                <w:w w:val="91"/>
              </w:rPr>
              <w:t>(dollars in thousands)</w:t>
            </w:r>
          </w:p>
        </w:tc>
        <w:tc>
          <w:tcPr>
            <w:tcW w:w="2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9"/>
        </w:trPr>
        <w:tc>
          <w:tcPr>
            <w:tcW w:w="5320" w:type="dxa"/>
            <w:vAlign w:val="bottom"/>
          </w:tcPr>
          <w:p>
            <w:pPr>
              <w:spacing w:after="0"/>
              <w:rPr>
                <w:sz w:val="3"/>
                <w:szCs w:val="3"/>
                <w:color w:val="auto"/>
              </w:rPr>
            </w:pPr>
          </w:p>
        </w:tc>
        <w:tc>
          <w:tcPr>
            <w:tcW w:w="3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8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0"/>
        </w:trPr>
        <w:tc>
          <w:tcPr>
            <w:tcW w:w="53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Cost of revenue</w:t>
            </w:r>
          </w:p>
        </w:tc>
        <w:tc>
          <w:tcPr>
            <w:tcW w:w="360" w:type="dxa"/>
            <w:vAlign w:val="bottom"/>
            <w:tcBorders>
              <w:bottom w:val="single" w:sz="8" w:color="CFF0FC"/>
            </w:tcBorders>
            <w:shd w:val="clear" w:color="auto" w:fill="CFF0FC"/>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FF0FC"/>
            </w:tcBorders>
            <w:shd w:val="clear" w:color="auto" w:fill="CFF0FC"/>
          </w:tcPr>
          <w:p>
            <w:pPr>
              <w:jc w:val="right"/>
              <w:ind w:right="102"/>
              <w:spacing w:after="0"/>
              <w:rPr>
                <w:sz w:val="20"/>
                <w:szCs w:val="20"/>
                <w:color w:val="auto"/>
              </w:rPr>
            </w:pPr>
            <w:r>
              <w:rPr>
                <w:rFonts w:ascii="Arial" w:cs="Arial" w:eastAsia="Arial" w:hAnsi="Arial"/>
                <w:sz w:val="18"/>
                <w:szCs w:val="18"/>
                <w:color w:val="auto"/>
              </w:rPr>
              <w:t>305,079</w:t>
            </w:r>
          </w:p>
        </w:tc>
        <w:tc>
          <w:tcPr>
            <w:tcW w:w="620" w:type="dxa"/>
            <w:vAlign w:val="bottom"/>
            <w:tcBorders>
              <w:bottom w:val="single" w:sz="8" w:color="CFF0FC"/>
            </w:tcBorders>
            <w:shd w:val="clear" w:color="auto" w:fill="CFF0FC"/>
          </w:tcPr>
          <w:p>
            <w:pPr>
              <w:jc w:val="right"/>
              <w:ind w:right="37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FF0FC"/>
            </w:tcBorders>
            <w:shd w:val="clear" w:color="auto" w:fill="CFF0FC"/>
          </w:tcPr>
          <w:p>
            <w:pPr>
              <w:jc w:val="right"/>
              <w:ind w:right="36"/>
              <w:spacing w:after="0"/>
              <w:rPr>
                <w:sz w:val="20"/>
                <w:szCs w:val="20"/>
                <w:color w:val="auto"/>
              </w:rPr>
            </w:pPr>
            <w:r>
              <w:rPr>
                <w:rFonts w:ascii="Arial" w:cs="Arial" w:eastAsia="Arial" w:hAnsi="Arial"/>
                <w:sz w:val="18"/>
                <w:szCs w:val="18"/>
                <w:color w:val="auto"/>
              </w:rPr>
              <w:t>249,986</w:t>
            </w:r>
          </w:p>
        </w:tc>
        <w:tc>
          <w:tcPr>
            <w:tcW w:w="12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CFF0FC"/>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55,093</w:t>
            </w:r>
          </w:p>
        </w:tc>
        <w:tc>
          <w:tcPr>
            <w:tcW w:w="100" w:type="dxa"/>
            <w:vAlign w:val="bottom"/>
            <w:tcBorders>
              <w:bottom w:val="single" w:sz="8" w:color="CFF0FC"/>
            </w:tcBorders>
            <w:shd w:val="clear" w:color="auto" w:fill="CFF0FC"/>
          </w:tcPr>
          <w:p>
            <w:pPr>
              <w:spacing w:after="0"/>
              <w:rPr>
                <w:sz w:val="21"/>
                <w:szCs w:val="21"/>
                <w:color w:val="auto"/>
              </w:rPr>
            </w:pPr>
          </w:p>
        </w:tc>
        <w:tc>
          <w:tcPr>
            <w:tcW w:w="14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22 %</w:t>
            </w:r>
          </w:p>
        </w:tc>
        <w:tc>
          <w:tcPr>
            <w:tcW w:w="0" w:type="dxa"/>
            <w:vAlign w:val="bottom"/>
          </w:tcPr>
          <w:p>
            <w:pPr>
              <w:spacing w:after="0"/>
              <w:rPr>
                <w:sz w:val="1"/>
                <w:szCs w:val="1"/>
                <w:color w:val="auto"/>
              </w:rPr>
            </w:pPr>
          </w:p>
        </w:tc>
      </w:tr>
      <w:tr>
        <w:trPr>
          <w:trHeight w:val="243"/>
        </w:trPr>
        <w:tc>
          <w:tcPr>
            <w:tcW w:w="5320" w:type="dxa"/>
            <w:vAlign w:val="bottom"/>
          </w:tcPr>
          <w:p>
            <w:pPr>
              <w:ind w:left="20"/>
              <w:spacing w:after="0"/>
              <w:rPr>
                <w:sz w:val="20"/>
                <w:szCs w:val="20"/>
                <w:color w:val="auto"/>
              </w:rPr>
            </w:pPr>
            <w:r>
              <w:rPr>
                <w:rFonts w:ascii="Arial" w:cs="Arial" w:eastAsia="Arial" w:hAnsi="Arial"/>
                <w:sz w:val="18"/>
                <w:szCs w:val="18"/>
                <w:color w:val="auto"/>
              </w:rPr>
              <w:t>Gross margin</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80 %</w:t>
            </w:r>
          </w:p>
        </w:tc>
        <w:tc>
          <w:tcPr>
            <w:tcW w:w="6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79 %</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310" w:lineRule="exact"/>
        <w:rPr>
          <w:sz w:val="20"/>
          <w:szCs w:val="20"/>
          <w:color w:val="auto"/>
        </w:rPr>
      </w:pPr>
    </w:p>
    <w:p>
      <w:pPr>
        <w:jc w:val="both"/>
        <w:ind w:firstLine="486"/>
        <w:spacing w:after="0" w:line="311" w:lineRule="auto"/>
        <w:rPr>
          <w:sz w:val="20"/>
          <w:szCs w:val="20"/>
          <w:color w:val="auto"/>
        </w:rPr>
      </w:pPr>
      <w:r>
        <w:rPr>
          <w:rFonts w:ascii="Arial" w:cs="Arial" w:eastAsia="Arial" w:hAnsi="Arial"/>
          <w:sz w:val="16"/>
          <w:szCs w:val="16"/>
          <w:color w:val="auto"/>
        </w:rPr>
        <w:t>Cost of revenue increased by $55.1 million, or 22%, in the nine months ended September 30, 2023 compared to the nine months ended September 30, 2022. This increase was primarily due to an increase of $32.9 million in third-party cloud infrastructure hosting and software costs, an increase of $14.2 million in personnel and other related costs as a result of increased headcount, and an increase of $4.5 million of depreciation and amortization.</w:t>
      </w:r>
    </w:p>
    <w:p>
      <w:pPr>
        <w:sectPr>
          <w:pgSz w:w="11900" w:h="16838" w:orient="portrait"/>
          <w:cols w:equalWidth="0" w:num="1">
            <w:col w:w="11240"/>
          </w:cols>
          <w:pgMar w:left="320" w:top="1313" w:right="339" w:bottom="1440" w:gutter="0" w:footer="0" w:header="0"/>
        </w:sectPr>
      </w:pPr>
    </w:p>
    <w:p>
      <w:pPr>
        <w:spacing w:after="0" w:line="200" w:lineRule="exact"/>
        <w:rPr>
          <w:sz w:val="20"/>
          <w:szCs w:val="20"/>
          <w:color w:val="auto"/>
        </w:rPr>
      </w:pPr>
    </w:p>
    <w:p>
      <w:pPr>
        <w:spacing w:after="0" w:line="28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13" w:right="339" w:bottom="1440" w:gutter="0" w:footer="0" w:header="0"/>
          <w:type w:val="continuous"/>
        </w:sectPr>
      </w:pPr>
    </w:p>
    <w:bookmarkStart w:id="32" w:name="page33"/>
    <w:bookmarkEnd w:id="32"/>
    <w:p>
      <w:pPr>
        <w:jc w:val="both"/>
        <w:ind w:right="20" w:firstLine="486"/>
        <w:spacing w:after="0" w:line="277" w:lineRule="auto"/>
        <w:rPr>
          <w:sz w:val="20"/>
          <w:szCs w:val="20"/>
          <w:color w:val="auto"/>
        </w:rPr>
      </w:pPr>
      <w:r>
        <w:rPr>
          <w:rFonts w:ascii="Arial" w:cs="Arial" w:eastAsia="Arial" w:hAnsi="Arial"/>
          <w:sz w:val="18"/>
          <w:szCs w:val="18"/>
          <w:color w:val="auto"/>
        </w:rPr>
        <w:t>Our gross margin increased by 1% for the nine months ended September 30, 2023 compared to the nine months ended September 30, 2022, primarily as the result of revenue growth exceeding the growth of third-party cloud infrastructure provider costs due to cost savings.</w:t>
      </w:r>
    </w:p>
    <w:p>
      <w:pPr>
        <w:spacing w:after="0" w:line="170"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760" w:type="dxa"/>
            <w:vAlign w:val="bottom"/>
            <w:gridSpan w:val="2"/>
          </w:tcPr>
          <w:p>
            <w:pPr>
              <w:jc w:val="center"/>
              <w:ind w:left="442"/>
              <w:spacing w:after="0"/>
              <w:rPr>
                <w:sz w:val="20"/>
                <w:szCs w:val="20"/>
                <w:color w:val="auto"/>
              </w:rPr>
            </w:pPr>
            <w:r>
              <w:rPr>
                <w:rFonts w:ascii="Arial" w:cs="Arial" w:eastAsia="Arial" w:hAnsi="Arial"/>
                <w:sz w:val="14"/>
                <w:szCs w:val="14"/>
                <w:b w:val="1"/>
                <w:bCs w:val="1"/>
                <w:color w:val="auto"/>
                <w:w w:val="94"/>
              </w:rPr>
              <w:t>Nine Months Ended</w:t>
            </w: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53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760" w:type="dxa"/>
            <w:vAlign w:val="bottom"/>
            <w:gridSpan w:val="2"/>
          </w:tcPr>
          <w:p>
            <w:pPr>
              <w:jc w:val="center"/>
              <w:ind w:left="482"/>
              <w:spacing w:after="0"/>
              <w:rPr>
                <w:sz w:val="20"/>
                <w:szCs w:val="20"/>
                <w:color w:val="auto"/>
              </w:rPr>
            </w:pPr>
            <w:r>
              <w:rPr>
                <w:rFonts w:ascii="Arial" w:cs="Arial" w:eastAsia="Arial" w:hAnsi="Arial"/>
                <w:sz w:val="14"/>
                <w:szCs w:val="14"/>
                <w:b w:val="1"/>
                <w:bCs w:val="1"/>
                <w:color w:val="auto"/>
                <w:w w:val="91"/>
              </w:rPr>
              <w:t>September 30,</w:t>
            </w: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3"/>
        </w:trPr>
        <w:tc>
          <w:tcPr>
            <w:tcW w:w="5340" w:type="dxa"/>
            <w:vAlign w:val="bottom"/>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14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Change</w:t>
            </w:r>
          </w:p>
        </w:tc>
        <w:tc>
          <w:tcPr>
            <w:tcW w:w="1420" w:type="dxa"/>
            <w:vAlign w:val="bottom"/>
            <w:vMerge w:val="restart"/>
          </w:tcPr>
          <w:p>
            <w:pPr>
              <w:jc w:val="right"/>
              <w:ind w:right="299"/>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84"/>
        </w:trPr>
        <w:tc>
          <w:tcPr>
            <w:tcW w:w="53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42"/>
              <w:spacing w:after="0"/>
              <w:rPr>
                <w:sz w:val="20"/>
                <w:szCs w:val="20"/>
                <w:color w:val="auto"/>
              </w:rPr>
            </w:pPr>
            <w:r>
              <w:rPr>
                <w:rFonts w:ascii="Arial" w:cs="Arial" w:eastAsia="Arial" w:hAnsi="Arial"/>
                <w:sz w:val="14"/>
                <w:szCs w:val="14"/>
                <w:b w:val="1"/>
                <w:bCs w:val="1"/>
                <w:color w:val="auto"/>
              </w:rPr>
              <w:t>2023</w:t>
            </w:r>
          </w:p>
        </w:tc>
        <w:tc>
          <w:tcPr>
            <w:tcW w:w="620" w:type="dxa"/>
            <w:vAlign w:val="bottom"/>
          </w:tcPr>
          <w:p>
            <w:pPr>
              <w:spacing w:after="0"/>
              <w:rPr>
                <w:sz w:val="16"/>
                <w:szCs w:val="16"/>
                <w:color w:val="auto"/>
              </w:rPr>
            </w:pPr>
          </w:p>
        </w:tc>
        <w:tc>
          <w:tcPr>
            <w:tcW w:w="880" w:type="dxa"/>
            <w:vAlign w:val="bottom"/>
          </w:tcPr>
          <w:p>
            <w:pPr>
              <w:jc w:val="right"/>
              <w:ind w:right="496"/>
              <w:spacing w:after="0"/>
              <w:rPr>
                <w:sz w:val="20"/>
                <w:szCs w:val="20"/>
                <w:color w:val="auto"/>
              </w:rPr>
            </w:pPr>
            <w:r>
              <w:rPr>
                <w:rFonts w:ascii="Arial" w:cs="Arial" w:eastAsia="Arial" w:hAnsi="Arial"/>
                <w:sz w:val="14"/>
                <w:szCs w:val="14"/>
                <w:b w:val="1"/>
                <w:bCs w:val="1"/>
                <w:color w:val="auto"/>
                <w:w w:val="89"/>
              </w:rPr>
              <w:t>2022</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gridSpan w:val="2"/>
            <w:vMerge w:val="continue"/>
          </w:tcPr>
          <w:p>
            <w:pPr>
              <w:spacing w:after="0"/>
              <w:rPr>
                <w:sz w:val="16"/>
                <w:szCs w:val="16"/>
                <w:color w:val="auto"/>
              </w:rPr>
            </w:pPr>
          </w:p>
        </w:tc>
        <w:tc>
          <w:tcPr>
            <w:tcW w:w="14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9"/>
        </w:trPr>
        <w:tc>
          <w:tcPr>
            <w:tcW w:w="534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2640" w:type="dxa"/>
            <w:vAlign w:val="bottom"/>
            <w:tcBorders>
              <w:bottom w:val="single" w:sz="8" w:color="auto"/>
            </w:tcBorders>
            <w:gridSpan w:val="3"/>
          </w:tcPr>
          <w:p>
            <w:pPr>
              <w:spacing w:after="0"/>
              <w:rPr>
                <w:sz w:val="3"/>
                <w:szCs w:val="3"/>
                <w:color w:val="auto"/>
              </w:rPr>
            </w:pPr>
          </w:p>
        </w:tc>
        <w:tc>
          <w:tcPr>
            <w:tcW w:w="120" w:type="dxa"/>
            <w:vAlign w:val="bottom"/>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4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4"/>
        </w:trPr>
        <w:tc>
          <w:tcPr>
            <w:tcW w:w="53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760" w:type="dxa"/>
            <w:vAlign w:val="bottom"/>
            <w:gridSpan w:val="4"/>
          </w:tcPr>
          <w:p>
            <w:pPr>
              <w:jc w:val="center"/>
              <w:ind w:right="460"/>
              <w:spacing w:after="0"/>
              <w:rPr>
                <w:sz w:val="20"/>
                <w:szCs w:val="20"/>
                <w:color w:val="auto"/>
              </w:rPr>
            </w:pPr>
            <w:r>
              <w:rPr>
                <w:rFonts w:ascii="Arial" w:cs="Arial" w:eastAsia="Arial" w:hAnsi="Arial"/>
                <w:sz w:val="14"/>
                <w:szCs w:val="14"/>
                <w:b w:val="1"/>
                <w:bCs w:val="1"/>
                <w:color w:val="auto"/>
                <w:w w:val="91"/>
              </w:rPr>
              <w:t>(dollars in thousands)</w:t>
            </w:r>
          </w:p>
        </w:tc>
        <w:tc>
          <w:tcPr>
            <w:tcW w:w="2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9"/>
        </w:trPr>
        <w:tc>
          <w:tcPr>
            <w:tcW w:w="534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8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0"/>
        </w:trPr>
        <w:tc>
          <w:tcPr>
            <w:tcW w:w="53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Research and development</w:t>
            </w:r>
          </w:p>
        </w:tc>
        <w:tc>
          <w:tcPr>
            <w:tcW w:w="340" w:type="dxa"/>
            <w:vAlign w:val="bottom"/>
            <w:tcBorders>
              <w:bottom w:val="single" w:sz="8" w:color="CFF0FC"/>
            </w:tcBorders>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FF0FC"/>
            </w:tcBorders>
            <w:shd w:val="clear" w:color="auto" w:fill="CFF0FC"/>
          </w:tcPr>
          <w:p>
            <w:pPr>
              <w:jc w:val="right"/>
              <w:ind w:right="102"/>
              <w:spacing w:after="0"/>
              <w:rPr>
                <w:sz w:val="20"/>
                <w:szCs w:val="20"/>
                <w:color w:val="auto"/>
              </w:rPr>
            </w:pPr>
            <w:r>
              <w:rPr>
                <w:rFonts w:ascii="Arial" w:cs="Arial" w:eastAsia="Arial" w:hAnsi="Arial"/>
                <w:sz w:val="18"/>
                <w:szCs w:val="18"/>
                <w:color w:val="auto"/>
              </w:rPr>
              <w:t>709,197</w:t>
            </w:r>
          </w:p>
        </w:tc>
        <w:tc>
          <w:tcPr>
            <w:tcW w:w="620" w:type="dxa"/>
            <w:vAlign w:val="bottom"/>
            <w:tcBorders>
              <w:bottom w:val="single" w:sz="8" w:color="CFF0FC"/>
            </w:tcBorders>
            <w:shd w:val="clear" w:color="auto" w:fill="CFF0FC"/>
          </w:tcPr>
          <w:p>
            <w:pPr>
              <w:jc w:val="right"/>
              <w:ind w:right="37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FF0FC"/>
            </w:tcBorders>
            <w:shd w:val="clear" w:color="auto" w:fill="CFF0FC"/>
          </w:tcPr>
          <w:p>
            <w:pPr>
              <w:jc w:val="right"/>
              <w:ind w:right="36"/>
              <w:spacing w:after="0"/>
              <w:rPr>
                <w:sz w:val="20"/>
                <w:szCs w:val="20"/>
                <w:color w:val="auto"/>
              </w:rPr>
            </w:pPr>
            <w:r>
              <w:rPr>
                <w:rFonts w:ascii="Arial" w:cs="Arial" w:eastAsia="Arial" w:hAnsi="Arial"/>
                <w:sz w:val="18"/>
                <w:szCs w:val="18"/>
                <w:color w:val="auto"/>
              </w:rPr>
              <w:t>533,695</w:t>
            </w:r>
          </w:p>
        </w:tc>
        <w:tc>
          <w:tcPr>
            <w:tcW w:w="12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CFF0FC"/>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175,502</w:t>
            </w:r>
          </w:p>
        </w:tc>
        <w:tc>
          <w:tcPr>
            <w:tcW w:w="100" w:type="dxa"/>
            <w:vAlign w:val="bottom"/>
            <w:tcBorders>
              <w:bottom w:val="single" w:sz="8" w:color="CFF0FC"/>
            </w:tcBorders>
            <w:shd w:val="clear" w:color="auto" w:fill="CFF0FC"/>
          </w:tcPr>
          <w:p>
            <w:pPr>
              <w:spacing w:after="0"/>
              <w:rPr>
                <w:sz w:val="21"/>
                <w:szCs w:val="21"/>
                <w:color w:val="auto"/>
              </w:rPr>
            </w:pPr>
          </w:p>
        </w:tc>
        <w:tc>
          <w:tcPr>
            <w:tcW w:w="14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33 %</w:t>
            </w:r>
          </w:p>
        </w:tc>
        <w:tc>
          <w:tcPr>
            <w:tcW w:w="0" w:type="dxa"/>
            <w:vAlign w:val="bottom"/>
          </w:tcPr>
          <w:p>
            <w:pPr>
              <w:spacing w:after="0"/>
              <w:rPr>
                <w:sz w:val="1"/>
                <w:szCs w:val="1"/>
                <w:color w:val="auto"/>
              </w:rPr>
            </w:pPr>
          </w:p>
        </w:tc>
      </w:tr>
      <w:tr>
        <w:trPr>
          <w:trHeight w:val="243"/>
        </w:trPr>
        <w:tc>
          <w:tcPr>
            <w:tcW w:w="5340" w:type="dxa"/>
            <w:vAlign w:val="bottom"/>
          </w:tcPr>
          <w:p>
            <w:pPr>
              <w:ind w:left="20"/>
              <w:spacing w:after="0"/>
              <w:rPr>
                <w:sz w:val="20"/>
                <w:szCs w:val="20"/>
                <w:color w:val="auto"/>
              </w:rPr>
            </w:pPr>
            <w:r>
              <w:rPr>
                <w:rFonts w:ascii="Arial" w:cs="Arial" w:eastAsia="Arial" w:hAnsi="Arial"/>
                <w:sz w:val="18"/>
                <w:szCs w:val="18"/>
                <w:color w:val="auto"/>
              </w:rPr>
              <w:t>Percentage of revenue</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46 %</w:t>
            </w:r>
          </w:p>
        </w:tc>
        <w:tc>
          <w:tcPr>
            <w:tcW w:w="6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44 %</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310" w:lineRule="exact"/>
        <w:rPr>
          <w:sz w:val="20"/>
          <w:szCs w:val="20"/>
          <w:color w:val="auto"/>
        </w:rPr>
      </w:pPr>
    </w:p>
    <w:p>
      <w:pPr>
        <w:jc w:val="both"/>
        <w:ind w:firstLine="486"/>
        <w:spacing w:after="0" w:line="311" w:lineRule="auto"/>
        <w:rPr>
          <w:sz w:val="20"/>
          <w:szCs w:val="20"/>
          <w:color w:val="auto"/>
        </w:rPr>
      </w:pPr>
      <w:r>
        <w:rPr>
          <w:rFonts w:ascii="Arial" w:cs="Arial" w:eastAsia="Arial" w:hAnsi="Arial"/>
          <w:sz w:val="16"/>
          <w:szCs w:val="16"/>
          <w:color w:val="auto"/>
        </w:rPr>
        <w:t>Research and development expense increased by $175.5 million, or 33%, in the nine months ended September 30, 2023 compared to the nine months ended September 30, 2022. This increase was primarily due to an increase of $158.5 million in personnel and other related costs for our engineering, product and design teams as a result of increased headcount and an increase of $15.2 million in cloud infrastructure-related investments.</w:t>
      </w:r>
    </w:p>
    <w:p>
      <w:pPr>
        <w:spacing w:after="0" w:line="149"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Sales and Marketing</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3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760" w:type="dxa"/>
            <w:vAlign w:val="bottom"/>
            <w:gridSpan w:val="2"/>
          </w:tcPr>
          <w:p>
            <w:pPr>
              <w:jc w:val="center"/>
              <w:ind w:left="422"/>
              <w:spacing w:after="0"/>
              <w:rPr>
                <w:sz w:val="20"/>
                <w:szCs w:val="20"/>
                <w:color w:val="auto"/>
              </w:rPr>
            </w:pPr>
            <w:r>
              <w:rPr>
                <w:rFonts w:ascii="Arial" w:cs="Arial" w:eastAsia="Arial" w:hAnsi="Arial"/>
                <w:sz w:val="14"/>
                <w:szCs w:val="14"/>
                <w:b w:val="1"/>
                <w:bCs w:val="1"/>
                <w:color w:val="auto"/>
                <w:w w:val="93"/>
              </w:rPr>
              <w:t>Nine Months Ended</w:t>
            </w: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192"/>
        </w:trPr>
        <w:tc>
          <w:tcPr>
            <w:tcW w:w="532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2"/>
          </w:tcPr>
          <w:p>
            <w:pPr>
              <w:jc w:val="center"/>
              <w:ind w:left="442"/>
              <w:spacing w:after="0"/>
              <w:rPr>
                <w:sz w:val="20"/>
                <w:szCs w:val="20"/>
                <w:color w:val="auto"/>
              </w:rPr>
            </w:pPr>
            <w:r>
              <w:rPr>
                <w:rFonts w:ascii="Arial" w:cs="Arial" w:eastAsia="Arial" w:hAnsi="Arial"/>
                <w:sz w:val="14"/>
                <w:szCs w:val="14"/>
                <w:b w:val="1"/>
                <w:bCs w:val="1"/>
                <w:color w:val="auto"/>
                <w:w w:val="91"/>
              </w:rPr>
              <w:t>September 30,</w:t>
            </w:r>
          </w:p>
        </w:tc>
        <w:tc>
          <w:tcPr>
            <w:tcW w:w="8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tcPr>
          <w:p>
            <w:pPr>
              <w:spacing w:after="0"/>
              <w:rPr>
                <w:sz w:val="16"/>
                <w:szCs w:val="16"/>
                <w:color w:val="auto"/>
              </w:rPr>
            </w:pPr>
          </w:p>
        </w:tc>
      </w:tr>
      <w:tr>
        <w:trPr>
          <w:trHeight w:val="204"/>
        </w:trPr>
        <w:tc>
          <w:tcPr>
            <w:tcW w:w="53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40" w:type="dxa"/>
            <w:vAlign w:val="bottom"/>
          </w:tcPr>
          <w:p>
            <w:pPr>
              <w:jc w:val="right"/>
              <w:ind w:right="542"/>
              <w:spacing w:after="0"/>
              <w:rPr>
                <w:sz w:val="20"/>
                <w:szCs w:val="20"/>
                <w:color w:val="auto"/>
              </w:rPr>
            </w:pPr>
            <w:r>
              <w:rPr>
                <w:rFonts w:ascii="Arial" w:cs="Arial" w:eastAsia="Arial" w:hAnsi="Arial"/>
                <w:sz w:val="14"/>
                <w:szCs w:val="14"/>
                <w:b w:val="1"/>
                <w:bCs w:val="1"/>
                <w:color w:val="auto"/>
              </w:rPr>
              <w:t>2023</w:t>
            </w:r>
          </w:p>
        </w:tc>
        <w:tc>
          <w:tcPr>
            <w:tcW w:w="620" w:type="dxa"/>
            <w:vAlign w:val="bottom"/>
          </w:tcPr>
          <w:p>
            <w:pPr>
              <w:spacing w:after="0"/>
              <w:rPr>
                <w:sz w:val="17"/>
                <w:szCs w:val="17"/>
                <w:color w:val="auto"/>
              </w:rPr>
            </w:pPr>
          </w:p>
        </w:tc>
        <w:tc>
          <w:tcPr>
            <w:tcW w:w="880" w:type="dxa"/>
            <w:vAlign w:val="bottom"/>
          </w:tcPr>
          <w:p>
            <w:pPr>
              <w:jc w:val="right"/>
              <w:ind w:right="496"/>
              <w:spacing w:after="0"/>
              <w:rPr>
                <w:sz w:val="20"/>
                <w:szCs w:val="20"/>
                <w:color w:val="auto"/>
              </w:rPr>
            </w:pPr>
            <w:r>
              <w:rPr>
                <w:rFonts w:ascii="Arial" w:cs="Arial" w:eastAsia="Arial" w:hAnsi="Arial"/>
                <w:sz w:val="14"/>
                <w:szCs w:val="14"/>
                <w:b w:val="1"/>
                <w:bCs w:val="1"/>
                <w:color w:val="auto"/>
                <w:w w:val="89"/>
              </w:rPr>
              <w:t>2022</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gridSpan w:val="2"/>
          </w:tcPr>
          <w:p>
            <w:pPr>
              <w:ind w:left="160"/>
              <w:spacing w:after="0"/>
              <w:rPr>
                <w:sz w:val="20"/>
                <w:szCs w:val="20"/>
                <w:color w:val="auto"/>
              </w:rPr>
            </w:pPr>
            <w:r>
              <w:rPr>
                <w:rFonts w:ascii="Arial" w:cs="Arial" w:eastAsia="Arial" w:hAnsi="Arial"/>
                <w:sz w:val="14"/>
                <w:szCs w:val="14"/>
                <w:b w:val="1"/>
                <w:bCs w:val="1"/>
                <w:color w:val="auto"/>
              </w:rPr>
              <w:t>Change</w:t>
            </w:r>
          </w:p>
        </w:tc>
        <w:tc>
          <w:tcPr>
            <w:tcW w:w="1420" w:type="dxa"/>
            <w:vAlign w:val="bottom"/>
          </w:tcPr>
          <w:p>
            <w:pPr>
              <w:jc w:val="right"/>
              <w:ind w:right="299"/>
              <w:spacing w:after="0"/>
              <w:rPr>
                <w:sz w:val="20"/>
                <w:szCs w:val="20"/>
                <w:color w:val="auto"/>
              </w:rPr>
            </w:pPr>
            <w:r>
              <w:rPr>
                <w:rFonts w:ascii="Arial" w:cs="Arial" w:eastAsia="Arial" w:hAnsi="Arial"/>
                <w:sz w:val="14"/>
                <w:szCs w:val="14"/>
                <w:b w:val="1"/>
                <w:bCs w:val="1"/>
                <w:color w:val="auto"/>
              </w:rPr>
              <w:t>% Change</w:t>
            </w:r>
          </w:p>
        </w:tc>
      </w:tr>
      <w:tr>
        <w:trPr>
          <w:trHeight w:val="26"/>
        </w:trPr>
        <w:tc>
          <w:tcPr>
            <w:tcW w:w="53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2640" w:type="dxa"/>
            <w:vAlign w:val="bottom"/>
            <w:tcBorders>
              <w:bottom w:val="single" w:sz="8" w:color="auto"/>
            </w:tcBorders>
            <w:gridSpan w:val="3"/>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184"/>
        </w:trPr>
        <w:tc>
          <w:tcPr>
            <w:tcW w:w="53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760" w:type="dxa"/>
            <w:vAlign w:val="bottom"/>
            <w:gridSpan w:val="4"/>
          </w:tcPr>
          <w:p>
            <w:pPr>
              <w:jc w:val="center"/>
              <w:ind w:right="460"/>
              <w:spacing w:after="0"/>
              <w:rPr>
                <w:sz w:val="20"/>
                <w:szCs w:val="20"/>
                <w:color w:val="auto"/>
              </w:rPr>
            </w:pPr>
            <w:r>
              <w:rPr>
                <w:rFonts w:ascii="Arial" w:cs="Arial" w:eastAsia="Arial" w:hAnsi="Arial"/>
                <w:sz w:val="14"/>
                <w:szCs w:val="14"/>
                <w:b w:val="1"/>
                <w:bCs w:val="1"/>
                <w:color w:val="auto"/>
                <w:w w:val="91"/>
              </w:rPr>
              <w:t>(dollars in thousands)</w:t>
            </w:r>
          </w:p>
        </w:tc>
        <w:tc>
          <w:tcPr>
            <w:tcW w:w="2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tcPr>
          <w:p>
            <w:pPr>
              <w:spacing w:after="0"/>
              <w:rPr>
                <w:sz w:val="16"/>
                <w:szCs w:val="16"/>
                <w:color w:val="auto"/>
              </w:rPr>
            </w:pPr>
          </w:p>
        </w:tc>
      </w:tr>
      <w:tr>
        <w:trPr>
          <w:trHeight w:val="39"/>
        </w:trPr>
        <w:tc>
          <w:tcPr>
            <w:tcW w:w="5320" w:type="dxa"/>
            <w:vAlign w:val="bottom"/>
          </w:tcPr>
          <w:p>
            <w:pPr>
              <w:spacing w:after="0"/>
              <w:rPr>
                <w:sz w:val="3"/>
                <w:szCs w:val="3"/>
                <w:color w:val="auto"/>
              </w:rPr>
            </w:pPr>
          </w:p>
        </w:tc>
        <w:tc>
          <w:tcPr>
            <w:tcW w:w="3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8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20" w:type="dxa"/>
            <w:vAlign w:val="bottom"/>
          </w:tcPr>
          <w:p>
            <w:pPr>
              <w:spacing w:after="0"/>
              <w:rPr>
                <w:sz w:val="3"/>
                <w:szCs w:val="3"/>
                <w:color w:val="auto"/>
              </w:rPr>
            </w:pPr>
          </w:p>
        </w:tc>
      </w:tr>
      <w:tr>
        <w:trPr>
          <w:trHeight w:val="250"/>
        </w:trPr>
        <w:tc>
          <w:tcPr>
            <w:tcW w:w="53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Sales and marketing</w:t>
            </w:r>
          </w:p>
        </w:tc>
        <w:tc>
          <w:tcPr>
            <w:tcW w:w="360" w:type="dxa"/>
            <w:vAlign w:val="bottom"/>
            <w:tcBorders>
              <w:bottom w:val="single" w:sz="8" w:color="CFF0FC"/>
            </w:tcBorders>
            <w:shd w:val="clear" w:color="auto" w:fill="CFF0FC"/>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FF0FC"/>
            </w:tcBorders>
            <w:shd w:val="clear" w:color="auto" w:fill="CFF0FC"/>
          </w:tcPr>
          <w:p>
            <w:pPr>
              <w:jc w:val="right"/>
              <w:ind w:right="102"/>
              <w:spacing w:after="0"/>
              <w:rPr>
                <w:sz w:val="20"/>
                <w:szCs w:val="20"/>
                <w:color w:val="auto"/>
              </w:rPr>
            </w:pPr>
            <w:r>
              <w:rPr>
                <w:rFonts w:ascii="Arial" w:cs="Arial" w:eastAsia="Arial" w:hAnsi="Arial"/>
                <w:sz w:val="18"/>
                <w:szCs w:val="18"/>
                <w:color w:val="auto"/>
              </w:rPr>
              <w:t>449,296</w:t>
            </w:r>
          </w:p>
        </w:tc>
        <w:tc>
          <w:tcPr>
            <w:tcW w:w="620" w:type="dxa"/>
            <w:vAlign w:val="bottom"/>
            <w:tcBorders>
              <w:bottom w:val="single" w:sz="8" w:color="CFF0FC"/>
            </w:tcBorders>
            <w:shd w:val="clear" w:color="auto" w:fill="CFF0FC"/>
          </w:tcPr>
          <w:p>
            <w:pPr>
              <w:jc w:val="right"/>
              <w:ind w:right="37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FF0FC"/>
            </w:tcBorders>
            <w:shd w:val="clear" w:color="auto" w:fill="CFF0FC"/>
          </w:tcPr>
          <w:p>
            <w:pPr>
              <w:jc w:val="right"/>
              <w:ind w:right="36"/>
              <w:spacing w:after="0"/>
              <w:rPr>
                <w:sz w:val="20"/>
                <w:szCs w:val="20"/>
                <w:color w:val="auto"/>
              </w:rPr>
            </w:pPr>
            <w:r>
              <w:rPr>
                <w:rFonts w:ascii="Arial" w:cs="Arial" w:eastAsia="Arial" w:hAnsi="Arial"/>
                <w:sz w:val="18"/>
                <w:szCs w:val="18"/>
                <w:color w:val="auto"/>
              </w:rPr>
              <w:t>345,929</w:t>
            </w:r>
          </w:p>
        </w:tc>
        <w:tc>
          <w:tcPr>
            <w:tcW w:w="12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CFF0FC"/>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103,367</w:t>
            </w:r>
          </w:p>
        </w:tc>
        <w:tc>
          <w:tcPr>
            <w:tcW w:w="100" w:type="dxa"/>
            <w:vAlign w:val="bottom"/>
            <w:tcBorders>
              <w:bottom w:val="single" w:sz="8" w:color="CFF0FC"/>
            </w:tcBorders>
            <w:shd w:val="clear" w:color="auto" w:fill="CFF0FC"/>
          </w:tcPr>
          <w:p>
            <w:pPr>
              <w:spacing w:after="0"/>
              <w:rPr>
                <w:sz w:val="21"/>
                <w:szCs w:val="21"/>
                <w:color w:val="auto"/>
              </w:rPr>
            </w:pPr>
          </w:p>
        </w:tc>
        <w:tc>
          <w:tcPr>
            <w:tcW w:w="14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30 %</w:t>
            </w:r>
          </w:p>
        </w:tc>
      </w:tr>
      <w:tr>
        <w:trPr>
          <w:trHeight w:val="230"/>
        </w:trPr>
        <w:tc>
          <w:tcPr>
            <w:tcW w:w="5320" w:type="dxa"/>
            <w:vAlign w:val="bottom"/>
          </w:tcPr>
          <w:p>
            <w:pPr>
              <w:ind w:left="20"/>
              <w:spacing w:after="0"/>
              <w:rPr>
                <w:sz w:val="20"/>
                <w:szCs w:val="20"/>
                <w:color w:val="auto"/>
              </w:rPr>
            </w:pPr>
            <w:r>
              <w:rPr>
                <w:rFonts w:ascii="Arial" w:cs="Arial" w:eastAsia="Arial" w:hAnsi="Arial"/>
                <w:sz w:val="18"/>
                <w:szCs w:val="18"/>
                <w:color w:val="auto"/>
              </w:rPr>
              <w:t>Percentage of revenue</w:t>
            </w:r>
          </w:p>
        </w:tc>
        <w:tc>
          <w:tcPr>
            <w:tcW w:w="3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29 %</w:t>
            </w:r>
          </w:p>
        </w:tc>
        <w:tc>
          <w:tcPr>
            <w:tcW w:w="6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29 %</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20" w:type="dxa"/>
            <w:vAlign w:val="bottom"/>
          </w:tcPr>
          <w:p>
            <w:pPr>
              <w:spacing w:after="0"/>
              <w:rPr>
                <w:sz w:val="20"/>
                <w:szCs w:val="20"/>
                <w:color w:val="auto"/>
              </w:rPr>
            </w:pPr>
          </w:p>
        </w:tc>
      </w:tr>
    </w:tbl>
    <w:p>
      <w:pPr>
        <w:spacing w:after="0" w:line="295"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Sales and marketing expense increased by $103.4 million, or 30%, in the nine months ended September 30, 2023 compared to the nine months ended September 30, 2022. This increase was primarily due to an increase of $90.9 million in personnel and other related costs for our sales and marketing organization as a result of increased headcount and increased variable compensation for our sales personnel and an increase of $11.3 million in advertising, sales, marketing and promotional activities.</w:t>
      </w:r>
    </w:p>
    <w:p>
      <w:pPr>
        <w:spacing w:after="0" w:line="187"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General and Administrative</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53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760" w:type="dxa"/>
            <w:vAlign w:val="bottom"/>
            <w:gridSpan w:val="2"/>
          </w:tcPr>
          <w:p>
            <w:pPr>
              <w:jc w:val="center"/>
              <w:ind w:left="402"/>
              <w:spacing w:after="0"/>
              <w:rPr>
                <w:sz w:val="20"/>
                <w:szCs w:val="20"/>
                <w:color w:val="auto"/>
              </w:rPr>
            </w:pPr>
            <w:r>
              <w:rPr>
                <w:rFonts w:ascii="Arial" w:cs="Arial" w:eastAsia="Arial" w:hAnsi="Arial"/>
                <w:sz w:val="14"/>
                <w:szCs w:val="14"/>
                <w:b w:val="1"/>
                <w:bCs w:val="1"/>
                <w:color w:val="auto"/>
                <w:w w:val="94"/>
              </w:rPr>
              <w:t>Nine Months Ended</w:t>
            </w: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53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760" w:type="dxa"/>
            <w:vAlign w:val="bottom"/>
            <w:gridSpan w:val="2"/>
          </w:tcPr>
          <w:p>
            <w:pPr>
              <w:jc w:val="center"/>
              <w:ind w:left="442"/>
              <w:spacing w:after="0"/>
              <w:rPr>
                <w:sz w:val="20"/>
                <w:szCs w:val="20"/>
                <w:color w:val="auto"/>
              </w:rPr>
            </w:pPr>
            <w:r>
              <w:rPr>
                <w:rFonts w:ascii="Arial" w:cs="Arial" w:eastAsia="Arial" w:hAnsi="Arial"/>
                <w:sz w:val="14"/>
                <w:szCs w:val="14"/>
                <w:b w:val="1"/>
                <w:bCs w:val="1"/>
                <w:color w:val="auto"/>
                <w:w w:val="91"/>
              </w:rPr>
              <w:t>September 30,</w:t>
            </w: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9"/>
        </w:trPr>
        <w:tc>
          <w:tcPr>
            <w:tcW w:w="536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240" w:type="dxa"/>
            <w:vAlign w:val="bottom"/>
          </w:tcPr>
          <w:p>
            <w:pPr>
              <w:spacing w:after="0"/>
              <w:rPr>
                <w:sz w:val="3"/>
                <w:szCs w:val="3"/>
                <w:color w:val="auto"/>
              </w:rPr>
            </w:pPr>
          </w:p>
        </w:tc>
        <w:tc>
          <w:tcPr>
            <w:tcW w:w="114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Change</w:t>
            </w:r>
          </w:p>
        </w:tc>
        <w:tc>
          <w:tcPr>
            <w:tcW w:w="1420" w:type="dxa"/>
            <w:vAlign w:val="bottom"/>
            <w:vMerge w:val="restart"/>
          </w:tcPr>
          <w:p>
            <w:pPr>
              <w:jc w:val="right"/>
              <w:ind w:right="299"/>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84"/>
        </w:trPr>
        <w:tc>
          <w:tcPr>
            <w:tcW w:w="53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42"/>
              <w:spacing w:after="0"/>
              <w:rPr>
                <w:sz w:val="20"/>
                <w:szCs w:val="20"/>
                <w:color w:val="auto"/>
              </w:rPr>
            </w:pPr>
            <w:r>
              <w:rPr>
                <w:rFonts w:ascii="Arial" w:cs="Arial" w:eastAsia="Arial" w:hAnsi="Arial"/>
                <w:sz w:val="14"/>
                <w:szCs w:val="14"/>
                <w:b w:val="1"/>
                <w:bCs w:val="1"/>
                <w:color w:val="auto"/>
              </w:rPr>
              <w:t>2023</w:t>
            </w:r>
          </w:p>
        </w:tc>
        <w:tc>
          <w:tcPr>
            <w:tcW w:w="620" w:type="dxa"/>
            <w:vAlign w:val="bottom"/>
          </w:tcPr>
          <w:p>
            <w:pPr>
              <w:spacing w:after="0"/>
              <w:rPr>
                <w:sz w:val="16"/>
                <w:szCs w:val="16"/>
                <w:color w:val="auto"/>
              </w:rPr>
            </w:pPr>
          </w:p>
        </w:tc>
        <w:tc>
          <w:tcPr>
            <w:tcW w:w="860" w:type="dxa"/>
            <w:vAlign w:val="bottom"/>
          </w:tcPr>
          <w:p>
            <w:pPr>
              <w:jc w:val="right"/>
              <w:ind w:right="476"/>
              <w:spacing w:after="0"/>
              <w:rPr>
                <w:sz w:val="20"/>
                <w:szCs w:val="20"/>
                <w:color w:val="auto"/>
              </w:rPr>
            </w:pPr>
            <w:r>
              <w:rPr>
                <w:rFonts w:ascii="Arial" w:cs="Arial" w:eastAsia="Arial" w:hAnsi="Arial"/>
                <w:sz w:val="14"/>
                <w:szCs w:val="14"/>
                <w:b w:val="1"/>
                <w:bCs w:val="1"/>
                <w:color w:val="auto"/>
                <w:w w:val="89"/>
              </w:rPr>
              <w:t>2022</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gridSpan w:val="2"/>
            <w:vMerge w:val="continue"/>
          </w:tcPr>
          <w:p>
            <w:pPr>
              <w:spacing w:after="0"/>
              <w:rPr>
                <w:sz w:val="16"/>
                <w:szCs w:val="16"/>
                <w:color w:val="auto"/>
              </w:rPr>
            </w:pPr>
          </w:p>
        </w:tc>
        <w:tc>
          <w:tcPr>
            <w:tcW w:w="14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9"/>
        </w:trPr>
        <w:tc>
          <w:tcPr>
            <w:tcW w:w="536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2620" w:type="dxa"/>
            <w:vAlign w:val="bottom"/>
            <w:tcBorders>
              <w:bottom w:val="single" w:sz="8" w:color="auto"/>
            </w:tcBorders>
            <w:gridSpan w:val="3"/>
          </w:tcPr>
          <w:p>
            <w:pPr>
              <w:spacing w:after="0"/>
              <w:rPr>
                <w:sz w:val="3"/>
                <w:szCs w:val="3"/>
                <w:color w:val="auto"/>
              </w:rPr>
            </w:pPr>
          </w:p>
        </w:tc>
        <w:tc>
          <w:tcPr>
            <w:tcW w:w="120" w:type="dxa"/>
            <w:vAlign w:val="bottom"/>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4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4"/>
        </w:trPr>
        <w:tc>
          <w:tcPr>
            <w:tcW w:w="53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740" w:type="dxa"/>
            <w:vAlign w:val="bottom"/>
            <w:gridSpan w:val="4"/>
          </w:tcPr>
          <w:p>
            <w:pPr>
              <w:jc w:val="center"/>
              <w:ind w:right="460"/>
              <w:spacing w:after="0"/>
              <w:rPr>
                <w:sz w:val="20"/>
                <w:szCs w:val="20"/>
                <w:color w:val="auto"/>
              </w:rPr>
            </w:pPr>
            <w:r>
              <w:rPr>
                <w:rFonts w:ascii="Arial" w:cs="Arial" w:eastAsia="Arial" w:hAnsi="Arial"/>
                <w:sz w:val="14"/>
                <w:szCs w:val="14"/>
                <w:b w:val="1"/>
                <w:bCs w:val="1"/>
                <w:color w:val="auto"/>
                <w:w w:val="90"/>
              </w:rPr>
              <w:t>(dollars in thousands)</w:t>
            </w:r>
          </w:p>
        </w:tc>
        <w:tc>
          <w:tcPr>
            <w:tcW w:w="2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9"/>
        </w:trPr>
        <w:tc>
          <w:tcPr>
            <w:tcW w:w="536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860" w:type="dxa"/>
            <w:vAlign w:val="bottom"/>
          </w:tcPr>
          <w:p>
            <w:pPr>
              <w:spacing w:after="0"/>
              <w:rPr>
                <w:sz w:val="3"/>
                <w:szCs w:val="3"/>
                <w:color w:val="auto"/>
              </w:rPr>
            </w:pPr>
          </w:p>
        </w:tc>
        <w:tc>
          <w:tcPr>
            <w:tcW w:w="120" w:type="dxa"/>
            <w:vAlign w:val="bottom"/>
          </w:tcPr>
          <w:p>
            <w:pPr>
              <w:spacing w:after="0"/>
              <w:rPr>
                <w:sz w:val="3"/>
                <w:szCs w:val="3"/>
                <w:color w:val="auto"/>
              </w:rPr>
            </w:pPr>
          </w:p>
        </w:tc>
        <w:tc>
          <w:tcPr>
            <w:tcW w:w="2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0"/>
        </w:trPr>
        <w:tc>
          <w:tcPr>
            <w:tcW w:w="53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General and administrative</w:t>
            </w:r>
          </w:p>
        </w:tc>
        <w:tc>
          <w:tcPr>
            <w:tcW w:w="340" w:type="dxa"/>
            <w:vAlign w:val="bottom"/>
            <w:tcBorders>
              <w:bottom w:val="single" w:sz="8" w:color="CFF0FC"/>
            </w:tcBorders>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FF0FC"/>
            </w:tcBorders>
            <w:shd w:val="clear" w:color="auto" w:fill="CFF0FC"/>
          </w:tcPr>
          <w:p>
            <w:pPr>
              <w:jc w:val="right"/>
              <w:ind w:right="102"/>
              <w:spacing w:after="0"/>
              <w:rPr>
                <w:sz w:val="20"/>
                <w:szCs w:val="20"/>
                <w:color w:val="auto"/>
              </w:rPr>
            </w:pPr>
            <w:r>
              <w:rPr>
                <w:rFonts w:ascii="Arial" w:cs="Arial" w:eastAsia="Arial" w:hAnsi="Arial"/>
                <w:sz w:val="18"/>
                <w:szCs w:val="18"/>
                <w:color w:val="auto"/>
              </w:rPr>
              <w:t>136,344</w:t>
            </w:r>
          </w:p>
        </w:tc>
        <w:tc>
          <w:tcPr>
            <w:tcW w:w="620" w:type="dxa"/>
            <w:vAlign w:val="bottom"/>
            <w:tcBorders>
              <w:bottom w:val="single" w:sz="8" w:color="CFF0FC"/>
            </w:tcBorders>
            <w:shd w:val="clear" w:color="auto" w:fill="CFF0FC"/>
          </w:tcPr>
          <w:p>
            <w:pPr>
              <w:jc w:val="right"/>
              <w:ind w:right="37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FF0FC"/>
            </w:tcBorders>
            <w:shd w:val="clear" w:color="auto" w:fill="CFF0FC"/>
          </w:tcPr>
          <w:p>
            <w:pPr>
              <w:jc w:val="right"/>
              <w:ind w:right="36"/>
              <w:spacing w:after="0"/>
              <w:rPr>
                <w:sz w:val="20"/>
                <w:szCs w:val="20"/>
                <w:color w:val="auto"/>
              </w:rPr>
            </w:pPr>
            <w:r>
              <w:rPr>
                <w:rFonts w:ascii="Arial" w:cs="Arial" w:eastAsia="Arial" w:hAnsi="Arial"/>
                <w:sz w:val="18"/>
                <w:szCs w:val="18"/>
                <w:color w:val="auto"/>
              </w:rPr>
              <w:t>100,158</w:t>
            </w:r>
          </w:p>
        </w:tc>
        <w:tc>
          <w:tcPr>
            <w:tcW w:w="12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CFF0FC"/>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36,186</w:t>
            </w:r>
          </w:p>
        </w:tc>
        <w:tc>
          <w:tcPr>
            <w:tcW w:w="100" w:type="dxa"/>
            <w:vAlign w:val="bottom"/>
            <w:tcBorders>
              <w:bottom w:val="single" w:sz="8" w:color="CFF0FC"/>
            </w:tcBorders>
            <w:shd w:val="clear" w:color="auto" w:fill="CFF0FC"/>
          </w:tcPr>
          <w:p>
            <w:pPr>
              <w:spacing w:after="0"/>
              <w:rPr>
                <w:sz w:val="21"/>
                <w:szCs w:val="21"/>
                <w:color w:val="auto"/>
              </w:rPr>
            </w:pPr>
          </w:p>
        </w:tc>
        <w:tc>
          <w:tcPr>
            <w:tcW w:w="14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36 %</w:t>
            </w:r>
          </w:p>
        </w:tc>
        <w:tc>
          <w:tcPr>
            <w:tcW w:w="0" w:type="dxa"/>
            <w:vAlign w:val="bottom"/>
          </w:tcPr>
          <w:p>
            <w:pPr>
              <w:spacing w:after="0"/>
              <w:rPr>
                <w:sz w:val="1"/>
                <w:szCs w:val="1"/>
                <w:color w:val="auto"/>
              </w:rPr>
            </w:pPr>
          </w:p>
        </w:tc>
      </w:tr>
      <w:tr>
        <w:trPr>
          <w:trHeight w:val="270"/>
        </w:trPr>
        <w:tc>
          <w:tcPr>
            <w:tcW w:w="5360" w:type="dxa"/>
            <w:vAlign w:val="bottom"/>
          </w:tcPr>
          <w:p>
            <w:pPr>
              <w:ind w:left="20"/>
              <w:spacing w:after="0"/>
              <w:rPr>
                <w:sz w:val="20"/>
                <w:szCs w:val="20"/>
                <w:color w:val="auto"/>
              </w:rPr>
            </w:pPr>
            <w:r>
              <w:rPr>
                <w:rFonts w:ascii="Arial" w:cs="Arial" w:eastAsia="Arial" w:hAnsi="Arial"/>
                <w:sz w:val="18"/>
                <w:szCs w:val="18"/>
                <w:color w:val="auto"/>
              </w:rPr>
              <w:t>Percentage of revenue</w:t>
            </w:r>
          </w:p>
        </w:tc>
        <w:tc>
          <w:tcPr>
            <w:tcW w:w="340" w:type="dxa"/>
            <w:vAlign w:val="bottom"/>
          </w:tcPr>
          <w:p>
            <w:pPr>
              <w:spacing w:after="0"/>
              <w:rPr>
                <w:sz w:val="23"/>
                <w:szCs w:val="23"/>
                <w:color w:val="auto"/>
              </w:rPr>
            </w:pPr>
          </w:p>
        </w:tc>
        <w:tc>
          <w:tcPr>
            <w:tcW w:w="1140" w:type="dxa"/>
            <w:vAlign w:val="bottom"/>
          </w:tcPr>
          <w:p>
            <w:pPr>
              <w:jc w:val="right"/>
              <w:ind w:right="2"/>
              <w:spacing w:after="0"/>
              <w:rPr>
                <w:sz w:val="20"/>
                <w:szCs w:val="20"/>
                <w:color w:val="auto"/>
              </w:rPr>
            </w:pPr>
            <w:r>
              <w:rPr>
                <w:rFonts w:ascii="Arial" w:cs="Arial" w:eastAsia="Arial" w:hAnsi="Arial"/>
                <w:sz w:val="18"/>
                <w:szCs w:val="18"/>
                <w:color w:val="auto"/>
              </w:rPr>
              <w:t>9 %</w:t>
            </w:r>
          </w:p>
        </w:tc>
        <w:tc>
          <w:tcPr>
            <w:tcW w:w="62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8 %</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96"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General and administrative expense increased by $36.2 million, or 36%, in the nine months ended September 30, 2023 compared to the nine months ended September 30, 2022. This increase was primarily due to an increase in personnel and other related costs as a result of increased headcount, legal expenses, and other professional services.</w:t>
      </w:r>
    </w:p>
    <w:p>
      <w:pPr>
        <w:spacing w:after="0" w:line="184"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Other Income, Net</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760" w:type="dxa"/>
            <w:vAlign w:val="bottom"/>
            <w:gridSpan w:val="2"/>
          </w:tcPr>
          <w:p>
            <w:pPr>
              <w:jc w:val="center"/>
              <w:ind w:left="422"/>
              <w:spacing w:after="0"/>
              <w:rPr>
                <w:sz w:val="20"/>
                <w:szCs w:val="20"/>
                <w:color w:val="auto"/>
              </w:rPr>
            </w:pPr>
            <w:r>
              <w:rPr>
                <w:rFonts w:ascii="Arial" w:cs="Arial" w:eastAsia="Arial" w:hAnsi="Arial"/>
                <w:sz w:val="14"/>
                <w:szCs w:val="14"/>
                <w:b w:val="1"/>
                <w:bCs w:val="1"/>
                <w:color w:val="auto"/>
                <w:w w:val="93"/>
              </w:rPr>
              <w:t>Nine Months Ended</w:t>
            </w: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53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760" w:type="dxa"/>
            <w:vAlign w:val="bottom"/>
            <w:gridSpan w:val="2"/>
          </w:tcPr>
          <w:p>
            <w:pPr>
              <w:jc w:val="center"/>
              <w:ind w:left="442"/>
              <w:spacing w:after="0"/>
              <w:rPr>
                <w:sz w:val="20"/>
                <w:szCs w:val="20"/>
                <w:color w:val="auto"/>
              </w:rPr>
            </w:pPr>
            <w:r>
              <w:rPr>
                <w:rFonts w:ascii="Arial" w:cs="Arial" w:eastAsia="Arial" w:hAnsi="Arial"/>
                <w:sz w:val="14"/>
                <w:szCs w:val="14"/>
                <w:b w:val="1"/>
                <w:bCs w:val="1"/>
                <w:color w:val="auto"/>
                <w:w w:val="91"/>
              </w:rPr>
              <w:t>September 30,</w:t>
            </w: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2"/>
        </w:trPr>
        <w:tc>
          <w:tcPr>
            <w:tcW w:w="5340" w:type="dxa"/>
            <w:vAlign w:val="bottom"/>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12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Change</w:t>
            </w:r>
          </w:p>
        </w:tc>
        <w:tc>
          <w:tcPr>
            <w:tcW w:w="1440" w:type="dxa"/>
            <w:vAlign w:val="bottom"/>
            <w:vMerge w:val="restart"/>
          </w:tcPr>
          <w:p>
            <w:pPr>
              <w:jc w:val="right"/>
              <w:ind w:right="299"/>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84"/>
        </w:trPr>
        <w:tc>
          <w:tcPr>
            <w:tcW w:w="53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42"/>
              <w:spacing w:after="0"/>
              <w:rPr>
                <w:sz w:val="20"/>
                <w:szCs w:val="20"/>
                <w:color w:val="auto"/>
              </w:rPr>
            </w:pPr>
            <w:r>
              <w:rPr>
                <w:rFonts w:ascii="Arial" w:cs="Arial" w:eastAsia="Arial" w:hAnsi="Arial"/>
                <w:sz w:val="14"/>
                <w:szCs w:val="14"/>
                <w:b w:val="1"/>
                <w:bCs w:val="1"/>
                <w:color w:val="auto"/>
              </w:rPr>
              <w:t>2023</w:t>
            </w:r>
          </w:p>
        </w:tc>
        <w:tc>
          <w:tcPr>
            <w:tcW w:w="620" w:type="dxa"/>
            <w:vAlign w:val="bottom"/>
          </w:tcPr>
          <w:p>
            <w:pPr>
              <w:spacing w:after="0"/>
              <w:rPr>
                <w:sz w:val="16"/>
                <w:szCs w:val="16"/>
                <w:color w:val="auto"/>
              </w:rPr>
            </w:pPr>
          </w:p>
        </w:tc>
        <w:tc>
          <w:tcPr>
            <w:tcW w:w="880" w:type="dxa"/>
            <w:vAlign w:val="bottom"/>
          </w:tcPr>
          <w:p>
            <w:pPr>
              <w:jc w:val="right"/>
              <w:ind w:right="496"/>
              <w:spacing w:after="0"/>
              <w:rPr>
                <w:sz w:val="20"/>
                <w:szCs w:val="20"/>
                <w:color w:val="auto"/>
              </w:rPr>
            </w:pPr>
            <w:r>
              <w:rPr>
                <w:rFonts w:ascii="Arial" w:cs="Arial" w:eastAsia="Arial" w:hAnsi="Arial"/>
                <w:sz w:val="14"/>
                <w:szCs w:val="14"/>
                <w:b w:val="1"/>
                <w:bCs w:val="1"/>
                <w:color w:val="auto"/>
                <w:w w:val="89"/>
              </w:rPr>
              <w:t>2022</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14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9"/>
        </w:trPr>
        <w:tc>
          <w:tcPr>
            <w:tcW w:w="534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2640" w:type="dxa"/>
            <w:vAlign w:val="bottom"/>
            <w:tcBorders>
              <w:bottom w:val="single" w:sz="8" w:color="auto"/>
            </w:tcBorders>
            <w:gridSpan w:val="3"/>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4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4"/>
        </w:trPr>
        <w:tc>
          <w:tcPr>
            <w:tcW w:w="53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740" w:type="dxa"/>
            <w:vAlign w:val="bottom"/>
            <w:gridSpan w:val="4"/>
          </w:tcPr>
          <w:p>
            <w:pPr>
              <w:jc w:val="center"/>
              <w:ind w:right="440"/>
              <w:spacing w:after="0"/>
              <w:rPr>
                <w:sz w:val="20"/>
                <w:szCs w:val="20"/>
                <w:color w:val="auto"/>
              </w:rPr>
            </w:pPr>
            <w:r>
              <w:rPr>
                <w:rFonts w:ascii="Arial" w:cs="Arial" w:eastAsia="Arial" w:hAnsi="Arial"/>
                <w:sz w:val="14"/>
                <w:szCs w:val="14"/>
                <w:b w:val="1"/>
                <w:bCs w:val="1"/>
                <w:color w:val="auto"/>
                <w:w w:val="91"/>
              </w:rPr>
              <w:t>(dollars in thousands)</w:t>
            </w:r>
          </w:p>
        </w:tc>
        <w:tc>
          <w:tcPr>
            <w:tcW w:w="2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9"/>
        </w:trPr>
        <w:tc>
          <w:tcPr>
            <w:tcW w:w="534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0"/>
        </w:trPr>
        <w:tc>
          <w:tcPr>
            <w:tcW w:w="53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Other income, net</w:t>
            </w:r>
          </w:p>
        </w:tc>
        <w:tc>
          <w:tcPr>
            <w:tcW w:w="340" w:type="dxa"/>
            <w:vAlign w:val="bottom"/>
            <w:tcBorders>
              <w:bottom w:val="single" w:sz="8" w:color="CFF0FC"/>
            </w:tcBorders>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FF0FC"/>
            </w:tcBorders>
            <w:shd w:val="clear" w:color="auto" w:fill="CFF0FC"/>
          </w:tcPr>
          <w:p>
            <w:pPr>
              <w:jc w:val="right"/>
              <w:ind w:right="182"/>
              <w:spacing w:after="0"/>
              <w:rPr>
                <w:sz w:val="20"/>
                <w:szCs w:val="20"/>
                <w:color w:val="auto"/>
              </w:rPr>
            </w:pPr>
            <w:r>
              <w:rPr>
                <w:rFonts w:ascii="Arial" w:cs="Arial" w:eastAsia="Arial" w:hAnsi="Arial"/>
                <w:sz w:val="18"/>
                <w:szCs w:val="18"/>
                <w:color w:val="auto"/>
              </w:rPr>
              <w:t>64,174</w:t>
            </w:r>
          </w:p>
        </w:tc>
        <w:tc>
          <w:tcPr>
            <w:tcW w:w="620" w:type="dxa"/>
            <w:vAlign w:val="bottom"/>
            <w:tcBorders>
              <w:bottom w:val="single" w:sz="8" w:color="CFF0FC"/>
            </w:tcBorders>
            <w:shd w:val="clear" w:color="auto" w:fill="CFF0FC"/>
          </w:tcPr>
          <w:p>
            <w:pPr>
              <w:jc w:val="right"/>
              <w:ind w:right="37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FF0FC"/>
            </w:tcBorders>
            <w:shd w:val="clear" w:color="auto" w:fill="CFF0FC"/>
          </w:tcPr>
          <w:p>
            <w:pPr>
              <w:jc w:val="right"/>
              <w:ind w:right="136"/>
              <w:spacing w:after="0"/>
              <w:rPr>
                <w:sz w:val="20"/>
                <w:szCs w:val="20"/>
                <w:color w:val="auto"/>
              </w:rPr>
            </w:pPr>
            <w:r>
              <w:rPr>
                <w:rFonts w:ascii="Arial" w:cs="Arial" w:eastAsia="Arial" w:hAnsi="Arial"/>
                <w:sz w:val="18"/>
                <w:szCs w:val="18"/>
                <w:color w:val="auto"/>
              </w:rPr>
              <w:t>11,851</w:t>
            </w:r>
          </w:p>
        </w:tc>
        <w:tc>
          <w:tcPr>
            <w:tcW w:w="10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CFF0FC"/>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52,323</w:t>
            </w:r>
          </w:p>
        </w:tc>
        <w:tc>
          <w:tcPr>
            <w:tcW w:w="100" w:type="dxa"/>
            <w:vAlign w:val="bottom"/>
            <w:tcBorders>
              <w:bottom w:val="single" w:sz="8" w:color="CFF0FC"/>
            </w:tcBorders>
            <w:shd w:val="clear" w:color="auto" w:fill="CFF0FC"/>
          </w:tcPr>
          <w:p>
            <w:pPr>
              <w:spacing w:after="0"/>
              <w:rPr>
                <w:sz w:val="21"/>
                <w:szCs w:val="21"/>
                <w:color w:val="auto"/>
              </w:rPr>
            </w:pPr>
          </w:p>
        </w:tc>
        <w:tc>
          <w:tcPr>
            <w:tcW w:w="14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442 %</w:t>
            </w:r>
          </w:p>
        </w:tc>
        <w:tc>
          <w:tcPr>
            <w:tcW w:w="0" w:type="dxa"/>
            <w:vAlign w:val="bottom"/>
          </w:tcPr>
          <w:p>
            <w:pPr>
              <w:spacing w:after="0"/>
              <w:rPr>
                <w:sz w:val="1"/>
                <w:szCs w:val="1"/>
                <w:color w:val="auto"/>
              </w:rPr>
            </w:pPr>
          </w:p>
        </w:tc>
      </w:tr>
      <w:tr>
        <w:trPr>
          <w:trHeight w:val="270"/>
        </w:trPr>
        <w:tc>
          <w:tcPr>
            <w:tcW w:w="5340" w:type="dxa"/>
            <w:vAlign w:val="bottom"/>
          </w:tcPr>
          <w:p>
            <w:pPr>
              <w:ind w:left="20"/>
              <w:spacing w:after="0"/>
              <w:rPr>
                <w:sz w:val="20"/>
                <w:szCs w:val="20"/>
                <w:color w:val="auto"/>
              </w:rPr>
            </w:pPr>
            <w:r>
              <w:rPr>
                <w:rFonts w:ascii="Arial" w:cs="Arial" w:eastAsia="Arial" w:hAnsi="Arial"/>
                <w:sz w:val="18"/>
                <w:szCs w:val="18"/>
                <w:color w:val="auto"/>
              </w:rPr>
              <w:t>Percentage of revenue</w:t>
            </w:r>
          </w:p>
        </w:tc>
        <w:tc>
          <w:tcPr>
            <w:tcW w:w="34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4 %</w:t>
            </w:r>
          </w:p>
        </w:tc>
        <w:tc>
          <w:tcPr>
            <w:tcW w:w="62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1 %</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83"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Other income, net increased by $52.3 million, or 442%, in the nine months ended September 30, 2023 compared to the nine months ended September 30, 2022. This increase was primarily driven by an increase of $49.3 million in interest income, mainly due to income earned from investments in marketable securities.</w:t>
      </w:r>
    </w:p>
    <w:p>
      <w:pPr>
        <w:sectPr>
          <w:pgSz w:w="11900" w:h="16838" w:orient="portrait"/>
          <w:cols w:equalWidth="0" w:num="1">
            <w:col w:w="11240"/>
          </w:cols>
          <w:pgMar w:left="320" w:top="1313" w:right="339" w:bottom="1440" w:gutter="0" w:footer="0" w:header="0"/>
        </w:sectPr>
      </w:pP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13" w:right="339" w:bottom="1440" w:gutter="0" w:footer="0" w:header="0"/>
          <w:type w:val="continuous"/>
        </w:sectPr>
      </w:pPr>
    </w:p>
    <w:bookmarkStart w:id="33" w:name="page34"/>
    <w:bookmarkEnd w:id="33"/>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jc w:val="both"/>
        <w:ind w:firstLine="486"/>
        <w:spacing w:after="0" w:line="296" w:lineRule="auto"/>
        <w:rPr>
          <w:sz w:val="20"/>
          <w:szCs w:val="20"/>
          <w:color w:val="auto"/>
        </w:rPr>
      </w:pPr>
      <w:r>
        <w:rPr>
          <w:rFonts w:ascii="Arial" w:cs="Arial" w:eastAsia="Arial" w:hAnsi="Arial"/>
          <w:sz w:val="16"/>
          <w:szCs w:val="16"/>
          <w:color w:val="auto"/>
        </w:rPr>
        <w:t>Our largest source of operating cash is cash collection from sales of subscriptions to our customers. Our primary uses of cash from operating activities are for personnel expenses, hosting expenses, facility expenses, and marketing expenses. We have generated positive cash flows from operations during the nine months ended September 30, 2023 and 2022. When assessing sources of liquidity, we also include cash and cash equivalents of $261.3 million and marketable securities of $2.1 billion as of September 30, 2023. We believe that our existing cash and cash equivalents, marketable securities and cash flow from operations will be sufficient to support our cash requirements for the next 12 months and beyond.</w:t>
      </w:r>
    </w:p>
    <w:p>
      <w:pPr>
        <w:spacing w:after="0" w:line="161" w:lineRule="exact"/>
        <w:rPr>
          <w:sz w:val="20"/>
          <w:szCs w:val="20"/>
          <w:color w:val="auto"/>
        </w:rPr>
      </w:pPr>
    </w:p>
    <w:p>
      <w:pPr>
        <w:jc w:val="both"/>
        <w:ind w:firstLine="486"/>
        <w:spacing w:after="0" w:line="255" w:lineRule="auto"/>
        <w:rPr>
          <w:sz w:val="20"/>
          <w:szCs w:val="20"/>
          <w:color w:val="auto"/>
        </w:rPr>
      </w:pPr>
      <w:r>
        <w:rPr>
          <w:rFonts w:ascii="Arial" w:cs="Arial" w:eastAsia="Arial" w:hAnsi="Arial"/>
          <w:sz w:val="18"/>
          <w:szCs w:val="18"/>
          <w:color w:val="auto"/>
        </w:rPr>
        <w:t>Our working capital requirements are principally comprised of workforce salaries, bonuses, commissions, and benefits and, to a lesser extent, cancellable and non-cancelable licenses and services arrangements that are integral to our business operations, and operating lease obligations. Our principal commitments consist of purchase commitments for business operations, operating lease obligations, and obligations to pay the 2025 Notes’ coupons and principal. Purchase commitments for business operations are primarily related to cloud hosting and other software-based services. In June 2020, we issued $747.5 million aggregate principal amount of the 2025 Notes in a private placement to qualified institutional buyers pursuant to Rule 144A under the Securities Act.</w:t>
      </w:r>
    </w:p>
    <w:p>
      <w:pPr>
        <w:spacing w:after="0" w:line="192"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During the nine months ended September 30, 2023, there have been no material changes outside the ordinary course of business to our contractual obligations and commitments, as disclosed in Part II, Item 7, “Management’s Discussion and Analysis of Financial Condition and Results of Operations” of the Annual Report.</w:t>
      </w:r>
    </w:p>
    <w:p>
      <w:pPr>
        <w:spacing w:after="0" w:line="184"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Cash Flows</w:t>
      </w:r>
    </w:p>
    <w:p>
      <w:pPr>
        <w:spacing w:after="0" w:line="252"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shows a summary of our cash flows for the periods presented:</w:t>
      </w:r>
    </w:p>
    <w:p>
      <w:pPr>
        <w:spacing w:after="0" w:line="126" w:lineRule="exact"/>
        <w:rPr>
          <w:sz w:val="20"/>
          <w:szCs w:val="20"/>
          <w:color w:val="auto"/>
        </w:rPr>
      </w:pPr>
    </w:p>
    <w:p>
      <w:pPr>
        <w:ind w:left="9220"/>
        <w:spacing w:after="0"/>
        <w:rPr>
          <w:sz w:val="20"/>
          <w:szCs w:val="20"/>
          <w:color w:val="auto"/>
        </w:rPr>
      </w:pPr>
      <w:r>
        <w:rPr>
          <w:rFonts w:ascii="Arial" w:cs="Arial" w:eastAsia="Arial" w:hAnsi="Arial"/>
          <w:sz w:val="14"/>
          <w:szCs w:val="14"/>
          <w:b w:val="1"/>
          <w:bCs w:val="1"/>
          <w:color w:val="auto"/>
        </w:rPr>
        <w:t>Nine Months Ended</w:t>
      </w:r>
    </w:p>
    <w:p>
      <w:pPr>
        <w:ind w:left="9420"/>
        <w:spacing w:after="0"/>
        <w:rPr>
          <w:sz w:val="20"/>
          <w:szCs w:val="20"/>
          <w:color w:val="auto"/>
        </w:rPr>
      </w:pPr>
      <w:r>
        <w:rPr>
          <w:rFonts w:ascii="Arial" w:cs="Arial" w:eastAsia="Arial" w:hAnsi="Arial"/>
          <w:sz w:val="14"/>
          <w:szCs w:val="14"/>
          <w:b w:val="1"/>
          <w:bCs w:val="1"/>
          <w:color w:val="auto"/>
        </w:rPr>
        <w:t>September 30,</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8480" w:type="dxa"/>
            <w:vAlign w:val="bottom"/>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ind w:right="477"/>
              <w:spacing w:after="0"/>
              <w:rPr>
                <w:sz w:val="20"/>
                <w:szCs w:val="20"/>
                <w:color w:val="auto"/>
              </w:rPr>
            </w:pPr>
            <w:r>
              <w:rPr>
                <w:rFonts w:ascii="Arial" w:cs="Arial" w:eastAsia="Arial" w:hAnsi="Arial"/>
                <w:sz w:val="14"/>
                <w:szCs w:val="14"/>
                <w:b w:val="1"/>
                <w:bCs w:val="1"/>
                <w:color w:val="auto"/>
              </w:rPr>
              <w:t>2023</w:t>
            </w:r>
          </w:p>
        </w:tc>
        <w:tc>
          <w:tcPr>
            <w:tcW w:w="50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435"/>
              <w:spacing w:after="0"/>
              <w:rPr>
                <w:sz w:val="20"/>
                <w:szCs w:val="20"/>
                <w:color w:val="auto"/>
              </w:rPr>
            </w:pPr>
            <w:r>
              <w:rPr>
                <w:rFonts w:ascii="Arial" w:cs="Arial" w:eastAsia="Arial" w:hAnsi="Arial"/>
                <w:sz w:val="14"/>
                <w:szCs w:val="14"/>
                <w:b w:val="1"/>
                <w:bCs w:val="1"/>
                <w:color w:val="auto"/>
              </w:rPr>
              <w:t>2022</w:t>
            </w:r>
          </w:p>
        </w:tc>
      </w:tr>
      <w:tr>
        <w:trPr>
          <w:trHeight w:val="194"/>
        </w:trPr>
        <w:tc>
          <w:tcPr>
            <w:tcW w:w="84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560" w:type="dxa"/>
            <w:vAlign w:val="bottom"/>
            <w:gridSpan w:val="2"/>
          </w:tcPr>
          <w:p>
            <w:pPr>
              <w:jc w:val="right"/>
              <w:spacing w:after="0"/>
              <w:rPr>
                <w:sz w:val="20"/>
                <w:szCs w:val="20"/>
                <w:color w:val="auto"/>
              </w:rPr>
            </w:pPr>
            <w:r>
              <w:rPr>
                <w:rFonts w:ascii="Arial" w:cs="Arial" w:eastAsia="Arial" w:hAnsi="Arial"/>
                <w:sz w:val="14"/>
                <w:szCs w:val="14"/>
                <w:b w:val="1"/>
                <w:bCs w:val="1"/>
                <w:color w:val="auto"/>
              </w:rPr>
              <w:t>(in thousands)</w:t>
            </w:r>
          </w:p>
        </w:tc>
        <w:tc>
          <w:tcPr>
            <w:tcW w:w="880" w:type="dxa"/>
            <w:vAlign w:val="bottom"/>
          </w:tcPr>
          <w:p>
            <w:pPr>
              <w:spacing w:after="0"/>
              <w:rPr>
                <w:sz w:val="16"/>
                <w:szCs w:val="16"/>
                <w:color w:val="auto"/>
              </w:rPr>
            </w:pPr>
          </w:p>
        </w:tc>
      </w:tr>
      <w:tr>
        <w:trPr>
          <w:trHeight w:val="238"/>
        </w:trPr>
        <w:tc>
          <w:tcPr>
            <w:tcW w:w="8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provided by operating activities</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rPr>
              <w:t>439,728</w:t>
            </w:r>
          </w:p>
        </w:tc>
        <w:tc>
          <w:tcPr>
            <w:tcW w:w="50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303,966</w:t>
            </w:r>
          </w:p>
        </w:tc>
      </w:tr>
      <w:tr>
        <w:trPr>
          <w:trHeight w:val="230"/>
        </w:trPr>
        <w:tc>
          <w:tcPr>
            <w:tcW w:w="8480" w:type="dxa"/>
            <w:vAlign w:val="bottom"/>
          </w:tcPr>
          <w:p>
            <w:pPr>
              <w:ind w:left="20"/>
              <w:spacing w:after="0"/>
              <w:rPr>
                <w:sz w:val="20"/>
                <w:szCs w:val="20"/>
                <w:color w:val="auto"/>
              </w:rPr>
            </w:pPr>
            <w:r>
              <w:rPr>
                <w:rFonts w:ascii="Arial" w:cs="Arial" w:eastAsia="Arial" w:hAnsi="Arial"/>
                <w:sz w:val="18"/>
                <w:szCs w:val="18"/>
                <w:color w:val="auto"/>
              </w:rPr>
              <w:t>Cash used in investing activities</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(557,328)</w:t>
            </w:r>
          </w:p>
        </w:tc>
        <w:tc>
          <w:tcPr>
            <w:tcW w:w="5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(295,550)</w:t>
            </w:r>
          </w:p>
        </w:tc>
      </w:tr>
      <w:tr>
        <w:trPr>
          <w:trHeight w:val="229"/>
        </w:trPr>
        <w:tc>
          <w:tcPr>
            <w:tcW w:w="8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provided by financing activities</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rPr>
              <w:t>37,390</w:t>
            </w:r>
          </w:p>
        </w:tc>
        <w:tc>
          <w:tcPr>
            <w:tcW w:w="5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21,821</w:t>
            </w:r>
          </w:p>
        </w:tc>
      </w:tr>
    </w:tbl>
    <w:p>
      <w:pPr>
        <w:spacing w:after="0" w:line="283"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225" w:lineRule="exact"/>
        <w:rPr>
          <w:sz w:val="20"/>
          <w:szCs w:val="20"/>
          <w:color w:val="auto"/>
        </w:rPr>
      </w:pPr>
    </w:p>
    <w:p>
      <w:pPr>
        <w:jc w:val="both"/>
        <w:ind w:firstLine="486"/>
        <w:spacing w:after="0" w:line="275" w:lineRule="auto"/>
        <w:rPr>
          <w:sz w:val="20"/>
          <w:szCs w:val="20"/>
          <w:color w:val="auto"/>
        </w:rPr>
      </w:pPr>
      <w:r>
        <w:rPr>
          <w:rFonts w:ascii="Arial" w:cs="Arial" w:eastAsia="Arial" w:hAnsi="Arial"/>
          <w:sz w:val="17"/>
          <w:szCs w:val="17"/>
          <w:color w:val="auto"/>
        </w:rPr>
        <w:t>Net cash provided by operating activities for the nine months ended September 30, 2023 increased $135.8 million compared to the nine months ended September 30, 2022, primarily driven by an increase in non-cash charges of $94.5 million and a decrease in accounts receivable of $73.5 million. The increase in non-cash charges related primarily to an increase of $103.5 million in stock-based compensation as we continued to increase headcount to support the growth of the business. The decrease in accounts receivable was primarily due to timing of cash collections. The increase in cash provided by operating activities was offset by a decrease in accrued expenses and other liabilities of $95.6 million.</w:t>
      </w:r>
    </w:p>
    <w:p>
      <w:pPr>
        <w:spacing w:after="0" w:line="176"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225" w:lineRule="exact"/>
        <w:rPr>
          <w:sz w:val="20"/>
          <w:szCs w:val="20"/>
          <w:color w:val="auto"/>
        </w:rPr>
      </w:pPr>
    </w:p>
    <w:p>
      <w:pPr>
        <w:jc w:val="both"/>
        <w:ind w:firstLine="486"/>
        <w:spacing w:after="0" w:line="279" w:lineRule="auto"/>
        <w:rPr>
          <w:sz w:val="20"/>
          <w:szCs w:val="20"/>
          <w:color w:val="auto"/>
        </w:rPr>
      </w:pPr>
      <w:r>
        <w:rPr>
          <w:rFonts w:ascii="Arial" w:cs="Arial" w:eastAsia="Arial" w:hAnsi="Arial"/>
          <w:sz w:val="17"/>
          <w:szCs w:val="17"/>
          <w:color w:val="auto"/>
        </w:rPr>
        <w:t>Net cash used in investing activities for the nine months ended September 30, 2023 increased $261.8 million compared to the nine months ended September 30, 2023, primarily driven by an increase of $944.1 million in the investment in marketable securities. The increase in cash used in investing activities was offset by an increase of $610.8 million in proceeds from maturities of marketable securities, a decrease of $33.9 million in cash paid for the acquisition of businesses net of cash acquired, and an increase of $34.3 million in proceeds from the sale of marketable securities.</w:t>
      </w:r>
    </w:p>
    <w:p>
      <w:pPr>
        <w:spacing w:after="0" w:line="171"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225"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Net cash provided by financing activities for the nine months ended September 30, 2023 increased $15.6 million compared to the nine months ended September 30, 2022, primarily due to an increase in proceeds from the exercise of stock options of $9.1 million and an increase in proceeds from the issuance of Class A common stock under the ESPP of $6.4 million.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Free Cash Flow</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34" w:name="page35"/>
    <w:bookmarkEnd w:id="34"/>
    <w:p>
      <w:pPr>
        <w:jc w:val="both"/>
        <w:ind w:firstLine="486"/>
        <w:spacing w:after="0" w:line="269" w:lineRule="auto"/>
        <w:rPr>
          <w:sz w:val="20"/>
          <w:szCs w:val="20"/>
          <w:color w:val="auto"/>
        </w:rPr>
      </w:pPr>
      <w:r>
        <w:rPr>
          <w:rFonts w:ascii="Arial" w:cs="Arial" w:eastAsia="Arial" w:hAnsi="Arial"/>
          <w:sz w:val="17"/>
          <w:szCs w:val="17"/>
          <w:color w:val="auto"/>
        </w:rPr>
        <w:t>We report our financial results in accordance with GAAP. To supplement our condensed consolidated financial statements, we provide investors with the amount of free cash flow, which is a non-GAAP financial measure. Free cash flow represents net cash provided by operating activities, reduced by capital expenditures and capitalized software development costs, if any. Free cash flow is a measure used by management to understand and evaluate our liquidity and to generate future operating plans. The reduction of capital expenditures and amounts capitalized for software development facilitates comparisons of our liquidity on a period-to-period basis and excludes items that we do not consider to be indicative of our liquidity. We believe that free cash flow is a measure of liquidity that provides useful information to our management, board of directors, investors and others in understanding and evaluating the strength of our liquidity and future ability to generate cash that can be used for strategic opportunities or investing in our business. Nevertheless, our use of free cash flow has limitations as an analytical tool, and you should not consider it in isolation or as a substitute for analysis of our financial results as reported under GAAP. Further, our definition of free cash flow may differ from the definitions used by other companies and therefore comparability may be limited. You should consider free cash flow alongside our other GAAP-based financial performance measures, such as net cash used in operating activities, and our other GAAP financial results.</w:t>
      </w:r>
    </w:p>
    <w:p>
      <w:pPr>
        <w:spacing w:after="0" w:line="182"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The following table presents a reconciliation of free cash flow to net cash provided by operating activities, the most directly comparable financial measure calculated in accordance with GAAP, for each of the periods indicated:</w:t>
      </w:r>
    </w:p>
    <w:p>
      <w:pPr>
        <w:spacing w:after="0" w:line="71" w:lineRule="exact"/>
        <w:rPr>
          <w:sz w:val="20"/>
          <w:szCs w:val="20"/>
          <w:color w:val="auto"/>
        </w:rPr>
      </w:pPr>
    </w:p>
    <w:p>
      <w:pPr>
        <w:ind w:left="9220"/>
        <w:spacing w:after="0"/>
        <w:rPr>
          <w:sz w:val="20"/>
          <w:szCs w:val="20"/>
          <w:color w:val="auto"/>
        </w:rPr>
      </w:pPr>
      <w:r>
        <w:rPr>
          <w:rFonts w:ascii="Arial" w:cs="Arial" w:eastAsia="Arial" w:hAnsi="Arial"/>
          <w:sz w:val="14"/>
          <w:szCs w:val="14"/>
          <w:b w:val="1"/>
          <w:bCs w:val="1"/>
          <w:color w:val="auto"/>
        </w:rPr>
        <w:t>Nine Months Ended</w:t>
      </w:r>
    </w:p>
    <w:p>
      <w:pPr>
        <w:ind w:left="9420"/>
        <w:spacing w:after="0"/>
        <w:rPr>
          <w:sz w:val="20"/>
          <w:szCs w:val="20"/>
          <w:color w:val="auto"/>
        </w:rPr>
      </w:pPr>
      <w:r>
        <w:rPr>
          <w:rFonts w:ascii="Arial" w:cs="Arial" w:eastAsia="Arial" w:hAnsi="Arial"/>
          <w:sz w:val="14"/>
          <w:szCs w:val="14"/>
          <w:b w:val="1"/>
          <w:bCs w:val="1"/>
          <w:color w:val="auto"/>
        </w:rPr>
        <w:t>September 30,</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8480" w:type="dxa"/>
            <w:vAlign w:val="bottom"/>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ind w:left="200"/>
              <w:spacing w:after="0"/>
              <w:rPr>
                <w:sz w:val="20"/>
                <w:szCs w:val="20"/>
                <w:color w:val="auto"/>
              </w:rPr>
            </w:pPr>
            <w:r>
              <w:rPr>
                <w:rFonts w:ascii="Arial" w:cs="Arial" w:eastAsia="Arial" w:hAnsi="Arial"/>
                <w:sz w:val="14"/>
                <w:szCs w:val="14"/>
                <w:b w:val="1"/>
                <w:bCs w:val="1"/>
                <w:color w:val="auto"/>
              </w:rPr>
              <w:t>2023</w:t>
            </w:r>
          </w:p>
        </w:tc>
        <w:tc>
          <w:tcPr>
            <w:tcW w:w="120" w:type="dxa"/>
            <w:vAlign w:val="bottom"/>
            <w:tcBorders>
              <w:top w:val="single" w:sz="8" w:color="auto"/>
              <w:bottom w:val="single" w:sz="8" w:color="auto"/>
            </w:tcBorders>
          </w:tcPr>
          <w:p>
            <w:pPr>
              <w:spacing w:after="0"/>
              <w:rPr>
                <w:sz w:val="18"/>
                <w:szCs w:val="18"/>
                <w:color w:val="auto"/>
              </w:rPr>
            </w:pPr>
          </w:p>
        </w:tc>
        <w:tc>
          <w:tcPr>
            <w:tcW w:w="4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ind w:left="80"/>
              <w:spacing w:after="0"/>
              <w:rPr>
                <w:sz w:val="20"/>
                <w:szCs w:val="20"/>
                <w:color w:val="auto"/>
              </w:rPr>
            </w:pPr>
            <w:r>
              <w:rPr>
                <w:rFonts w:ascii="Arial" w:cs="Arial" w:eastAsia="Arial" w:hAnsi="Arial"/>
                <w:sz w:val="14"/>
                <w:szCs w:val="14"/>
                <w:b w:val="1"/>
                <w:bCs w:val="1"/>
                <w:color w:val="auto"/>
              </w:rPr>
              <w:t>2022</w:t>
            </w:r>
          </w:p>
        </w:tc>
      </w:tr>
      <w:tr>
        <w:trPr>
          <w:trHeight w:val="194"/>
        </w:trPr>
        <w:tc>
          <w:tcPr>
            <w:tcW w:w="84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560" w:type="dxa"/>
            <w:vAlign w:val="bottom"/>
            <w:gridSpan w:val="3"/>
          </w:tcPr>
          <w:p>
            <w:pPr>
              <w:ind w:left="620"/>
              <w:spacing w:after="0"/>
              <w:rPr>
                <w:sz w:val="20"/>
                <w:szCs w:val="20"/>
                <w:color w:val="auto"/>
              </w:rPr>
            </w:pPr>
            <w:r>
              <w:rPr>
                <w:rFonts w:ascii="Arial" w:cs="Arial" w:eastAsia="Arial" w:hAnsi="Arial"/>
                <w:sz w:val="14"/>
                <w:szCs w:val="14"/>
                <w:b w:val="1"/>
                <w:bCs w:val="1"/>
                <w:color w:val="auto"/>
                <w:w w:val="95"/>
              </w:rPr>
              <w:t>(in thousands)</w:t>
            </w:r>
          </w:p>
        </w:tc>
        <w:tc>
          <w:tcPr>
            <w:tcW w:w="880" w:type="dxa"/>
            <w:vAlign w:val="bottom"/>
          </w:tcPr>
          <w:p>
            <w:pPr>
              <w:spacing w:after="0"/>
              <w:rPr>
                <w:sz w:val="16"/>
                <w:szCs w:val="16"/>
                <w:color w:val="auto"/>
              </w:rPr>
            </w:pPr>
          </w:p>
        </w:tc>
      </w:tr>
      <w:tr>
        <w:trPr>
          <w:trHeight w:val="238"/>
        </w:trPr>
        <w:tc>
          <w:tcPr>
            <w:tcW w:w="8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provided by operating activities</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ind w:left="360"/>
              <w:spacing w:after="0"/>
              <w:rPr>
                <w:sz w:val="20"/>
                <w:szCs w:val="20"/>
                <w:color w:val="auto"/>
              </w:rPr>
            </w:pPr>
            <w:r>
              <w:rPr>
                <w:rFonts w:ascii="Arial" w:cs="Arial" w:eastAsia="Arial" w:hAnsi="Arial"/>
                <w:sz w:val="18"/>
                <w:szCs w:val="18"/>
                <w:color w:val="auto"/>
                <w:w w:val="95"/>
              </w:rPr>
              <w:t>439,728</w:t>
            </w:r>
          </w:p>
        </w:tc>
        <w:tc>
          <w:tcPr>
            <w:tcW w:w="120" w:type="dxa"/>
            <w:vAlign w:val="bottom"/>
            <w:shd w:val="clear" w:color="auto" w:fill="CCEEFF"/>
          </w:tcPr>
          <w:p>
            <w:pPr>
              <w:spacing w:after="0"/>
              <w:rPr>
                <w:sz w:val="20"/>
                <w:szCs w:val="20"/>
                <w:color w:val="auto"/>
              </w:rPr>
            </w:pPr>
          </w:p>
        </w:tc>
        <w:tc>
          <w:tcPr>
            <w:tcW w:w="4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ind w:left="220"/>
              <w:spacing w:after="0"/>
              <w:rPr>
                <w:sz w:val="20"/>
                <w:szCs w:val="20"/>
                <w:color w:val="auto"/>
              </w:rPr>
            </w:pPr>
            <w:r>
              <w:rPr>
                <w:rFonts w:ascii="Arial" w:cs="Arial" w:eastAsia="Arial" w:hAnsi="Arial"/>
                <w:sz w:val="18"/>
                <w:szCs w:val="18"/>
                <w:color w:val="auto"/>
                <w:w w:val="98"/>
              </w:rPr>
              <w:t>303,966</w:t>
            </w:r>
          </w:p>
        </w:tc>
      </w:tr>
      <w:tr>
        <w:trPr>
          <w:trHeight w:val="229"/>
        </w:trPr>
        <w:tc>
          <w:tcPr>
            <w:tcW w:w="8480" w:type="dxa"/>
            <w:vAlign w:val="bottom"/>
          </w:tcPr>
          <w:p>
            <w:pPr>
              <w:ind w:left="220"/>
              <w:spacing w:after="0"/>
              <w:rPr>
                <w:sz w:val="20"/>
                <w:szCs w:val="20"/>
                <w:color w:val="auto"/>
              </w:rPr>
            </w:pPr>
            <w:r>
              <w:rPr>
                <w:rFonts w:ascii="Arial" w:cs="Arial" w:eastAsia="Arial" w:hAnsi="Arial"/>
                <w:sz w:val="18"/>
                <w:szCs w:val="18"/>
                <w:color w:val="auto"/>
              </w:rPr>
              <w:t>Less: Purchases of property and equipment</w:t>
            </w:r>
          </w:p>
        </w:tc>
        <w:tc>
          <w:tcPr>
            <w:tcW w:w="320" w:type="dxa"/>
            <w:vAlign w:val="bottom"/>
          </w:tcPr>
          <w:p>
            <w:pPr>
              <w:spacing w:after="0"/>
              <w:rPr>
                <w:sz w:val="19"/>
                <w:szCs w:val="19"/>
                <w:color w:val="auto"/>
              </w:rPr>
            </w:pPr>
          </w:p>
        </w:tc>
        <w:tc>
          <w:tcPr>
            <w:tcW w:w="1000" w:type="dxa"/>
            <w:vAlign w:val="bottom"/>
          </w:tcPr>
          <w:p>
            <w:pPr>
              <w:ind w:left="360"/>
              <w:spacing w:after="0"/>
              <w:rPr>
                <w:sz w:val="20"/>
                <w:szCs w:val="20"/>
                <w:color w:val="auto"/>
              </w:rPr>
            </w:pPr>
            <w:r>
              <w:rPr>
                <w:rFonts w:ascii="Arial" w:cs="Arial" w:eastAsia="Arial" w:hAnsi="Arial"/>
                <w:sz w:val="18"/>
                <w:szCs w:val="18"/>
                <w:color w:val="auto"/>
                <w:w w:val="92"/>
              </w:rPr>
              <w:t>(17,191)</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tcPr>
          <w:p>
            <w:pPr>
              <w:ind w:left="240"/>
              <w:spacing w:after="0"/>
              <w:rPr>
                <w:sz w:val="20"/>
                <w:szCs w:val="20"/>
                <w:color w:val="auto"/>
              </w:rPr>
            </w:pPr>
            <w:r>
              <w:rPr>
                <w:rFonts w:ascii="Arial" w:cs="Arial" w:eastAsia="Arial" w:hAnsi="Arial"/>
                <w:sz w:val="18"/>
                <w:szCs w:val="18"/>
                <w:color w:val="auto"/>
                <w:w w:val="92"/>
              </w:rPr>
              <w:t>(25,207)</w:t>
            </w:r>
          </w:p>
        </w:tc>
      </w:tr>
      <w:tr>
        <w:trPr>
          <w:trHeight w:val="229"/>
        </w:trPr>
        <w:tc>
          <w:tcPr>
            <w:tcW w:w="84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Less: Capitalized software development costs</w:t>
            </w: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ind w:left="360"/>
              <w:spacing w:after="0"/>
              <w:rPr>
                <w:sz w:val="20"/>
                <w:szCs w:val="20"/>
                <w:color w:val="auto"/>
              </w:rPr>
            </w:pPr>
            <w:r>
              <w:rPr>
                <w:rFonts w:ascii="Arial" w:cs="Arial" w:eastAsia="Arial" w:hAnsi="Arial"/>
                <w:sz w:val="18"/>
                <w:szCs w:val="18"/>
                <w:color w:val="auto"/>
                <w:w w:val="92"/>
              </w:rPr>
              <w:t>(26,279)</w:t>
            </w:r>
          </w:p>
        </w:tc>
        <w:tc>
          <w:tcPr>
            <w:tcW w:w="12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ind w:left="240"/>
              <w:spacing w:after="0"/>
              <w:rPr>
                <w:sz w:val="20"/>
                <w:szCs w:val="20"/>
                <w:color w:val="auto"/>
              </w:rPr>
            </w:pPr>
            <w:r>
              <w:rPr>
                <w:rFonts w:ascii="Arial" w:cs="Arial" w:eastAsia="Arial" w:hAnsi="Arial"/>
                <w:sz w:val="18"/>
                <w:szCs w:val="18"/>
                <w:color w:val="auto"/>
                <w:w w:val="92"/>
              </w:rPr>
              <w:t>(21,592)</w:t>
            </w:r>
          </w:p>
        </w:tc>
      </w:tr>
      <w:tr>
        <w:trPr>
          <w:trHeight w:val="223"/>
        </w:trPr>
        <w:tc>
          <w:tcPr>
            <w:tcW w:w="8480" w:type="dxa"/>
            <w:vAlign w:val="bottom"/>
          </w:tcPr>
          <w:p>
            <w:pPr>
              <w:ind w:left="20"/>
              <w:spacing w:after="0"/>
              <w:rPr>
                <w:sz w:val="20"/>
                <w:szCs w:val="20"/>
                <w:color w:val="auto"/>
              </w:rPr>
            </w:pPr>
            <w:r>
              <w:rPr>
                <w:rFonts w:ascii="Arial" w:cs="Arial" w:eastAsia="Arial" w:hAnsi="Arial"/>
                <w:sz w:val="18"/>
                <w:szCs w:val="18"/>
                <w:color w:val="auto"/>
              </w:rPr>
              <w:t>Free cash flow</w:t>
            </w: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ind w:left="360"/>
              <w:spacing w:after="0"/>
              <w:rPr>
                <w:sz w:val="20"/>
                <w:szCs w:val="20"/>
                <w:color w:val="auto"/>
              </w:rPr>
            </w:pPr>
            <w:r>
              <w:rPr>
                <w:rFonts w:ascii="Arial" w:cs="Arial" w:eastAsia="Arial" w:hAnsi="Arial"/>
                <w:sz w:val="18"/>
                <w:szCs w:val="18"/>
                <w:color w:val="auto"/>
                <w:w w:val="95"/>
              </w:rPr>
              <w:t>396,258</w:t>
            </w:r>
          </w:p>
        </w:tc>
        <w:tc>
          <w:tcPr>
            <w:tcW w:w="120" w:type="dxa"/>
            <w:vAlign w:val="bottom"/>
          </w:tcPr>
          <w:p>
            <w:pPr>
              <w:spacing w:after="0"/>
              <w:rPr>
                <w:sz w:val="19"/>
                <w:szCs w:val="19"/>
                <w:color w:val="auto"/>
              </w:rPr>
            </w:pPr>
          </w:p>
        </w:tc>
        <w:tc>
          <w:tcPr>
            <w:tcW w:w="4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w w:val="98"/>
              </w:rPr>
              <w:t>257,167</w:t>
            </w:r>
          </w:p>
        </w:tc>
      </w:tr>
      <w:tr>
        <w:trPr>
          <w:trHeight w:val="21"/>
        </w:trPr>
        <w:tc>
          <w:tcPr>
            <w:tcW w:w="84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Estimates</w:t>
      </w:r>
    </w:p>
    <w:p>
      <w:pPr>
        <w:spacing w:after="0" w:line="229"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Our condensed consolidated financial statements are prepared in accordance with GAAP. The preparation of these financial statements requires us to make estimates and assumptions that affect the reported amounts of assets, liabilities, revenue, expenses and related disclosures. We evaluate our estimates and assumptions on an ongoing basis. Our estimates are based on historical experience and various other assumptions that we believe to be reasonable under the circumstances. Our actual results could differ from these estimates.</w:t>
      </w:r>
    </w:p>
    <w:p>
      <w:pPr>
        <w:spacing w:after="0" w:line="187"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There have been no material changes to our critical accounting policies from those disclosed in Part II, Item 7, “Management’s Discussion and Analysis of Financial Condition and Results of Operations” of the Annual Report.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Adopted Accounting Pronouncements</w:t>
      </w:r>
    </w:p>
    <w:p>
      <w:pPr>
        <w:spacing w:after="0" w:line="229" w:lineRule="exact"/>
        <w:rPr>
          <w:sz w:val="20"/>
          <w:szCs w:val="20"/>
          <w:color w:val="auto"/>
        </w:rPr>
      </w:pPr>
    </w:p>
    <w:p>
      <w:pPr>
        <w:jc w:val="both"/>
        <w:ind w:firstLine="486"/>
        <w:spacing w:after="0" w:line="308" w:lineRule="auto"/>
        <w:rPr>
          <w:sz w:val="20"/>
          <w:szCs w:val="20"/>
          <w:color w:val="auto"/>
        </w:rPr>
      </w:pPr>
      <w:r>
        <w:rPr>
          <w:rFonts w:ascii="Arial" w:cs="Arial" w:eastAsia="Arial" w:hAnsi="Arial"/>
          <w:sz w:val="17"/>
          <w:szCs w:val="17"/>
          <w:color w:val="auto"/>
        </w:rPr>
        <w:t xml:space="preserve">See Note 2, </w:t>
      </w:r>
      <w:r>
        <w:rPr>
          <w:rFonts w:ascii="Arial" w:cs="Arial" w:eastAsia="Arial" w:hAnsi="Arial"/>
          <w:sz w:val="17"/>
          <w:szCs w:val="17"/>
          <w:i w:val="1"/>
          <w:iCs w:val="1"/>
          <w:color w:val="auto"/>
        </w:rPr>
        <w:t>Basis of Presentation and Summary of Significant Accounting Policies</w:t>
      </w:r>
      <w:r>
        <w:rPr>
          <w:rFonts w:ascii="Arial" w:cs="Arial" w:eastAsia="Arial" w:hAnsi="Arial"/>
          <w:sz w:val="17"/>
          <w:szCs w:val="17"/>
          <w:color w:val="auto"/>
        </w:rPr>
        <w:t>, in our Notes to Unaudited Condensed Consolidated Financial Statements included in Part I, Item 1 of this Quarterly Report on Form 10-Q for a discussion of recent accounting pronouncements.</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9"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We are exposed to market risks in the ordinary course of our business. Market risk represents the risk of loss that may impact our financial position due to adverse changes in financial market prices and rates. Our market risk exposure is primarily the result of fluctuations in interest rates and foreign currency exchange rates.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225" w:lineRule="exact"/>
        <w:rPr>
          <w:sz w:val="20"/>
          <w:szCs w:val="20"/>
          <w:color w:val="auto"/>
        </w:rPr>
      </w:pPr>
    </w:p>
    <w:p>
      <w:pPr>
        <w:jc w:val="both"/>
        <w:ind w:firstLine="486"/>
        <w:spacing w:after="0" w:line="296" w:lineRule="auto"/>
        <w:rPr>
          <w:sz w:val="20"/>
          <w:szCs w:val="20"/>
          <w:color w:val="auto"/>
        </w:rPr>
      </w:pPr>
      <w:r>
        <w:rPr>
          <w:rFonts w:ascii="Arial" w:cs="Arial" w:eastAsia="Arial" w:hAnsi="Arial"/>
          <w:sz w:val="16"/>
          <w:szCs w:val="16"/>
          <w:color w:val="auto"/>
        </w:rPr>
        <w:t xml:space="preserve">As of September 30, 2023, we had $233.9 million in cash equivalents and $2.1 billion in marketable securities, </w:t>
      </w:r>
      <w:r>
        <w:rPr>
          <w:rFonts w:ascii="Arial" w:cs="Arial" w:eastAsia="Arial" w:hAnsi="Arial"/>
          <w:sz w:val="16"/>
          <w:szCs w:val="16"/>
          <w:color w:val="333333"/>
        </w:rPr>
        <w:t>which consisted</w:t>
      </w:r>
      <w:r>
        <w:rPr>
          <w:rFonts w:ascii="Arial" w:cs="Arial" w:eastAsia="Arial" w:hAnsi="Arial"/>
          <w:sz w:val="16"/>
          <w:szCs w:val="16"/>
          <w:color w:val="auto"/>
        </w:rPr>
        <w:t xml:space="preserve"> of commercial debt, commercial paper, U.S. government treasury securities, certificates of deposit, and U.S. government agency securities</w:t>
      </w:r>
      <w:r>
        <w:rPr>
          <w:rFonts w:ascii="Arial" w:cs="Arial" w:eastAsia="Arial" w:hAnsi="Arial"/>
          <w:sz w:val="16"/>
          <w:szCs w:val="16"/>
          <w:color w:val="333333"/>
        </w:rPr>
        <w:t>.</w:t>
      </w:r>
      <w:r>
        <w:rPr>
          <w:rFonts w:ascii="Arial" w:cs="Arial" w:eastAsia="Arial" w:hAnsi="Arial"/>
          <w:sz w:val="16"/>
          <w:szCs w:val="16"/>
          <w:color w:val="auto"/>
        </w:rPr>
        <w:t xml:space="preserve"> Our cash and cash equivalents are held for working capital purposes. We do not enter into investments for trading or speculative purposes. </w:t>
      </w:r>
      <w:r>
        <w:rPr>
          <w:rFonts w:ascii="Arial" w:cs="Arial" w:eastAsia="Arial" w:hAnsi="Arial"/>
          <w:sz w:val="16"/>
          <w:szCs w:val="16"/>
          <w:color w:val="333333"/>
        </w:rPr>
        <w:t>Our investments are exposed to market risk due to</w:t>
      </w:r>
      <w:r>
        <w:rPr>
          <w:rFonts w:ascii="Arial" w:cs="Arial" w:eastAsia="Arial" w:hAnsi="Arial"/>
          <w:sz w:val="16"/>
          <w:szCs w:val="16"/>
          <w:color w:val="auto"/>
        </w:rPr>
        <w:t xml:space="preserve"> </w:t>
      </w:r>
      <w:r>
        <w:rPr>
          <w:rFonts w:ascii="Arial" w:cs="Arial" w:eastAsia="Arial" w:hAnsi="Arial"/>
          <w:sz w:val="16"/>
          <w:szCs w:val="16"/>
          <w:color w:val="333333"/>
        </w:rPr>
        <w:t xml:space="preserve">a fluctuation in interest rates, which may affect our interest income and the fair market value of our investments. </w:t>
      </w:r>
      <w:r>
        <w:rPr>
          <w:rFonts w:ascii="Arial" w:cs="Arial" w:eastAsia="Arial" w:hAnsi="Arial"/>
          <w:sz w:val="16"/>
          <w:szCs w:val="16"/>
          <w:color w:val="000000"/>
        </w:rPr>
        <w:t>As of September 30, 2023, a hypothetical</w:t>
      </w:r>
      <w:r>
        <w:rPr>
          <w:rFonts w:ascii="Arial" w:cs="Arial" w:eastAsia="Arial" w:hAnsi="Arial"/>
          <w:sz w:val="16"/>
          <w:szCs w:val="16"/>
          <w:color w:val="333333"/>
        </w:rPr>
        <w:t xml:space="preserve"> </w:t>
      </w:r>
      <w:r>
        <w:rPr>
          <w:rFonts w:ascii="Arial" w:cs="Arial" w:eastAsia="Arial" w:hAnsi="Arial"/>
          <w:sz w:val="16"/>
          <w:szCs w:val="16"/>
          <w:color w:val="000000"/>
        </w:rPr>
        <w:t>10% relative change in interest rates would not have a material impact on our condensed consolidated financial statements.</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13" w:right="339" w:bottom="1440" w:gutter="0" w:footer="0" w:header="0"/>
        </w:sectPr>
      </w:pPr>
    </w:p>
    <w:bookmarkStart w:id="35" w:name="page36"/>
    <w:bookmarkEnd w:id="35"/>
    <w:p>
      <w:pPr>
        <w:jc w:val="both"/>
        <w:ind w:firstLine="486"/>
        <w:spacing w:after="0" w:line="301" w:lineRule="auto"/>
        <w:rPr>
          <w:sz w:val="20"/>
          <w:szCs w:val="20"/>
          <w:color w:val="auto"/>
        </w:rPr>
      </w:pPr>
      <w:r>
        <w:rPr>
          <w:rFonts w:ascii="Arial" w:cs="Arial" w:eastAsia="Arial" w:hAnsi="Arial"/>
          <w:sz w:val="16"/>
          <w:szCs w:val="16"/>
          <w:color w:val="auto"/>
        </w:rPr>
        <w:t>On June 2, 2020, we issued $747.5 million aggregate principal amount of the 2025 Notes. The fair value of the 2025 Notes is subject to interest rate risk, market risk and other factors due to the conversion feature. The fair value of the 2025 Notes will generally increase as our Class A common stock price increases and will generally decrease as our Class A common stock price declines. The interest and market value changes affect the fair value of the 2025 Notes but do not impact our financial position, cash flows, or results of operations due to the fixed nature of the debt obligation.</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Exchange Risk</w:t>
      </w:r>
    </w:p>
    <w:p>
      <w:pPr>
        <w:spacing w:after="0" w:line="225" w:lineRule="exact"/>
        <w:rPr>
          <w:sz w:val="20"/>
          <w:szCs w:val="20"/>
          <w:color w:val="auto"/>
        </w:rPr>
      </w:pPr>
    </w:p>
    <w:p>
      <w:pPr>
        <w:jc w:val="both"/>
        <w:ind w:firstLine="486"/>
        <w:spacing w:after="0" w:line="272" w:lineRule="auto"/>
        <w:rPr>
          <w:sz w:val="20"/>
          <w:szCs w:val="20"/>
          <w:color w:val="auto"/>
        </w:rPr>
      </w:pPr>
      <w:r>
        <w:rPr>
          <w:rFonts w:ascii="Arial" w:cs="Arial" w:eastAsia="Arial" w:hAnsi="Arial"/>
          <w:sz w:val="17"/>
          <w:szCs w:val="17"/>
          <w:color w:val="auto"/>
        </w:rPr>
        <w:t>Our reporting currency and the functional currency of our wholly-owned foreign subsidiaries is the U.S. dollar. All of our sales are denominated in U.S. dollars, and therefore our revenue is not currently subject to significant foreign currency risk. Our operating expenses are denominated in the currencies of the countries in which our operations are located, which are primarily in the United States, France, Ireland, and the United Kingdom. Our consolidated results of operations and cash flows are, therefore, subject to fluctuations due to changes in foreign currency exchange rates and may be adversely affected in the future due to changes in foreign exchange rates. To date, we have not entered into any hedging arrangements with respect to foreign currency risk or other derivative financial instruments, although we may choose to do so in the future. A hypothetical 10% increase or decrease in the relative value of the U.S. dollar to other currencies would not have a material effect on our operating results.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29" w:lineRule="exact"/>
        <w:rPr>
          <w:sz w:val="20"/>
          <w:szCs w:val="20"/>
          <w:color w:val="auto"/>
        </w:rPr>
      </w:pPr>
    </w:p>
    <w:p>
      <w:pPr>
        <w:jc w:val="both"/>
        <w:ind w:firstLine="486"/>
        <w:spacing w:after="0" w:line="255" w:lineRule="auto"/>
        <w:rPr>
          <w:sz w:val="20"/>
          <w:szCs w:val="20"/>
          <w:color w:val="auto"/>
        </w:rPr>
      </w:pPr>
      <w:r>
        <w:rPr>
          <w:rFonts w:ascii="Arial" w:cs="Arial" w:eastAsia="Arial" w:hAnsi="Arial"/>
          <w:sz w:val="18"/>
          <w:szCs w:val="18"/>
          <w:color w:val="auto"/>
        </w:rPr>
        <w:t>We maintain “disclosure controls and procedures,” as defined in Rule 13a-15(e) and Rule 15d-15(e) under the Exchange Act,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our management, including our principal executive and principal financial officers, as appropriate to allow timely decisions regarding required disclosure.</w:t>
      </w:r>
    </w:p>
    <w:p>
      <w:pPr>
        <w:spacing w:after="0" w:line="192"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Our management, with the participation of our Chief Executive Officer and our Chief Financial Officer, evaluated the effectiveness of our disclosure controls and procedures as of September 30, 2023. Based on the evaluation of our disclosure controls and procedures as of September 30, 2023, our Chief Executive Officer and Chief Financial Officer concluded that, as of such date, our disclosure controls and procedures were effective at the reasonable assurance level.</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29"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There was no change in our internal control over financial reporting identified in connection with the evaluation required by Rule 13a-15(d) and 15d-15(d) of the Exchange Act that occurred during the period covered by this Quarterly Report on Form 10-Q that has materially affected, or is reasonably likely to materially affect, our internal control over financial reporting.</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Inherent Limitations on Effectiveness of Controls</w:t>
      </w:r>
    </w:p>
    <w:p>
      <w:pPr>
        <w:spacing w:after="0" w:line="229" w:lineRule="exact"/>
        <w:rPr>
          <w:sz w:val="20"/>
          <w:szCs w:val="20"/>
          <w:color w:val="auto"/>
        </w:rPr>
      </w:pPr>
    </w:p>
    <w:p>
      <w:pPr>
        <w:jc w:val="both"/>
        <w:ind w:firstLine="486"/>
        <w:spacing w:after="0" w:line="268" w:lineRule="auto"/>
        <w:rPr>
          <w:sz w:val="20"/>
          <w:szCs w:val="20"/>
          <w:color w:val="auto"/>
        </w:rPr>
      </w:pPr>
      <w:r>
        <w:rPr>
          <w:rFonts w:ascii="Arial" w:cs="Arial" w:eastAsia="Arial" w:hAnsi="Arial"/>
          <w:sz w:val="17"/>
          <w:szCs w:val="17"/>
          <w:color w:val="auto"/>
        </w:rPr>
        <w:t>Our management, including our Chief Executive Officer and Chief Financial Officer, believes that our disclosure controls and procedures and internal control over financial reporting are designed to provide reasonable assurance of achieving their objectives and are effective at the reasonable assurance level. However, our management does not expect that our disclosure controls and procedures or our internal control over financial reporting will prevent all errors and all fraud. A control system, no matter how well conceived and operated, can provide only reasonable, not absolute,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have been detected. These inherent limitations include the realities that judgments in decision making can be faulty and that breakdowns can occur because of a simple error or mistake. Additionally, controls can be circumvented by the individual acts of some persons, by collusion of two or more people or by management override of the controls. The design of any system of controls also is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policies or procedures may deteriorate. Because of the inherent limitations in a cost-effective control system, misstatements due to error or fraud may occur and not be detected.</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13" w:right="339" w:bottom="1440" w:gutter="0" w:footer="0" w:header="0"/>
        </w:sectPr>
      </w:pPr>
    </w:p>
    <w:bookmarkStart w:id="36" w:name="page37"/>
    <w:bookmarkEnd w:id="36"/>
    <w:p>
      <w:pPr>
        <w:jc w:val="center"/>
        <w:spacing w:after="0"/>
        <w:rPr>
          <w:sz w:val="20"/>
          <w:szCs w:val="20"/>
          <w:color w:val="auto"/>
        </w:rPr>
      </w:pPr>
      <w:r>
        <w:rPr>
          <w:rFonts w:ascii="Arial" w:cs="Arial" w:eastAsia="Arial" w:hAnsi="Arial"/>
          <w:sz w:val="18"/>
          <w:szCs w:val="18"/>
          <w:b w:val="1"/>
          <w:bCs w:val="1"/>
          <w:color w:val="auto"/>
        </w:rPr>
        <w:t>PART II-OTHER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jc w:val="both"/>
        <w:ind w:firstLine="486"/>
        <w:spacing w:after="0" w:line="275" w:lineRule="auto"/>
        <w:rPr>
          <w:sz w:val="20"/>
          <w:szCs w:val="20"/>
          <w:color w:val="auto"/>
        </w:rPr>
      </w:pPr>
      <w:r>
        <w:rPr>
          <w:rFonts w:ascii="Arial" w:cs="Arial" w:eastAsia="Arial" w:hAnsi="Arial"/>
          <w:sz w:val="17"/>
          <w:szCs w:val="17"/>
          <w:color w:val="auto"/>
        </w:rPr>
        <w:t>From time to time we may become involved in legal proceedings or be subject to claims arising in the ordinary course of our business. We are not presently a party to any legal proceedings that, if determined adversely to us, would individually or taken together have a material adverse effect on our business, operating results, cash flows or financial condition. Defending such proceedings is costly and can impose a significant burden on management and employees. The results of any current or future litigation cannot be predicted with certainty, and regardless of the outcome, litigation can have an adverse impact on us because of defense and settlement costs, diversion of management resources and other factors.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jc w:val="both"/>
        <w:ind w:firstLine="486"/>
        <w:spacing w:after="0" w:line="273" w:lineRule="auto"/>
        <w:rPr>
          <w:sz w:val="20"/>
          <w:szCs w:val="20"/>
          <w:color w:val="auto"/>
        </w:rPr>
      </w:pPr>
      <w:r>
        <w:rPr>
          <w:rFonts w:ascii="Arial" w:cs="Arial" w:eastAsia="Arial" w:hAnsi="Arial"/>
          <w:sz w:val="17"/>
          <w:szCs w:val="17"/>
          <w:i w:val="1"/>
          <w:iCs w:val="1"/>
          <w:color w:val="auto"/>
        </w:rPr>
        <w:t>Our operations and financial results are subject to various risks and uncertainties including those described below. You should consider carefully the risks and uncertainties described below, in addition to other information contained in this Quarterly Report on Form 10-Q, including our condensed consolidated financial statements and related notes. The risks and uncertainties described below are not the only ones we face. Additional risks and uncertainties that we are unaware of, or that we currently believe are not material, may also become important factors that adversely affect our business. If any of the following risks or others not specified below materialize, our business, financial condition and results of operations could be materially and adversely affected. In that case, the trading price of our Class A common stock could decline.</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Factors Summary</w:t>
      </w:r>
    </w:p>
    <w:p>
      <w:pPr>
        <w:spacing w:after="0" w:line="22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is a summary of the principal risks associated with an investment in our Class A common stock:</w:t>
      </w:r>
    </w:p>
    <w:p>
      <w:pPr>
        <w:spacing w:after="0" w:line="117" w:lineRule="exact"/>
        <w:rPr>
          <w:sz w:val="20"/>
          <w:szCs w:val="20"/>
          <w:color w:val="auto"/>
        </w:rPr>
      </w:pPr>
    </w:p>
    <w:p>
      <w:pPr>
        <w:ind w:left="980" w:hanging="486"/>
        <w:spacing w:after="0" w:line="277" w:lineRule="auto"/>
        <w:tabs>
          <w:tab w:leader="none" w:pos="975" w:val="left"/>
        </w:tabs>
        <w:numPr>
          <w:ilvl w:val="0"/>
          <w:numId w:val="10"/>
        </w:numPr>
        <w:rPr>
          <w:rFonts w:ascii="Arial" w:cs="Arial" w:eastAsia="Arial" w:hAnsi="Arial"/>
          <w:sz w:val="18"/>
          <w:szCs w:val="18"/>
          <w:color w:val="auto"/>
        </w:rPr>
      </w:pPr>
      <w:r>
        <w:rPr>
          <w:rFonts w:ascii="Arial" w:cs="Arial" w:eastAsia="Arial" w:hAnsi="Arial"/>
          <w:sz w:val="18"/>
          <w:szCs w:val="18"/>
          <w:color w:val="auto"/>
        </w:rPr>
        <w:t>Unfavorable conditions in our industry or the global economy, or reductions in information technology spending, could limit our ability to grow our business and negatively affect our results of operations.</w:t>
      </w:r>
    </w:p>
    <w:p>
      <w:pPr>
        <w:spacing w:after="0" w:line="62" w:lineRule="exact"/>
        <w:rPr>
          <w:rFonts w:ascii="Arial" w:cs="Arial" w:eastAsia="Arial" w:hAnsi="Arial"/>
          <w:sz w:val="18"/>
          <w:szCs w:val="18"/>
          <w:color w:val="auto"/>
        </w:rPr>
      </w:pPr>
    </w:p>
    <w:p>
      <w:pPr>
        <w:ind w:left="980" w:hanging="486"/>
        <w:spacing w:after="0" w:line="277" w:lineRule="auto"/>
        <w:tabs>
          <w:tab w:leader="none" w:pos="975"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recent rapid growth may not be indicative of our future growth. Our rapid growth also makes it difficult to evaluate our future prospects and may increase the risk that we will not be successful.</w:t>
      </w:r>
    </w:p>
    <w:p>
      <w:pPr>
        <w:spacing w:after="0" w:line="62" w:lineRule="exact"/>
        <w:rPr>
          <w:rFonts w:ascii="Arial" w:cs="Arial" w:eastAsia="Arial" w:hAnsi="Arial"/>
          <w:sz w:val="18"/>
          <w:szCs w:val="18"/>
          <w:color w:val="auto"/>
        </w:rPr>
      </w:pPr>
    </w:p>
    <w:p>
      <w:pPr>
        <w:ind w:left="980" w:hanging="486"/>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We have a history of operating losses and may not achieve or sustain profitability in the future.</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We have a limited operating history, which makes it difficult to forecast our future results of operations.</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10"/>
        </w:numPr>
        <w:rPr>
          <w:rFonts w:ascii="Arial" w:cs="Arial" w:eastAsia="Arial" w:hAnsi="Arial"/>
          <w:sz w:val="16"/>
          <w:szCs w:val="16"/>
          <w:color w:val="auto"/>
        </w:rPr>
      </w:pPr>
      <w:r>
        <w:rPr>
          <w:rFonts w:ascii="Arial" w:cs="Arial" w:eastAsia="Arial" w:hAnsi="Arial"/>
          <w:sz w:val="16"/>
          <w:szCs w:val="16"/>
          <w:color w:val="auto"/>
        </w:rPr>
        <w:t>We may require additional capital to support the growth of our business, and this capital might not be available on acceptable terms, if at all.</w:t>
      </w:r>
    </w:p>
    <w:p>
      <w:pPr>
        <w:spacing w:after="0" w:line="140" w:lineRule="exact"/>
        <w:rPr>
          <w:rFonts w:ascii="Arial" w:cs="Arial" w:eastAsia="Arial" w:hAnsi="Arial"/>
          <w:sz w:val="16"/>
          <w:szCs w:val="16"/>
          <w:color w:val="auto"/>
        </w:rPr>
      </w:pPr>
    </w:p>
    <w:p>
      <w:pPr>
        <w:ind w:left="980" w:hanging="486"/>
        <w:spacing w:after="0" w:line="277" w:lineRule="auto"/>
        <w:tabs>
          <w:tab w:leader="none" w:pos="975"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business depends on our existing customers purchasing additional subscriptions and products from us and renewing their subscriptions. If our customers do not renew or expand their subscriptions with us, our future operating results would be harmed.</w:t>
      </w:r>
    </w:p>
    <w:p>
      <w:pPr>
        <w:spacing w:after="0" w:line="62" w:lineRule="exact"/>
        <w:rPr>
          <w:rFonts w:ascii="Arial" w:cs="Arial" w:eastAsia="Arial" w:hAnsi="Arial"/>
          <w:sz w:val="18"/>
          <w:szCs w:val="18"/>
          <w:color w:val="auto"/>
        </w:rPr>
      </w:pPr>
    </w:p>
    <w:p>
      <w:pPr>
        <w:ind w:left="980" w:hanging="486"/>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If we are unable to attract new customers, our business, financial condition and results of operations will be adversely affected.</w:t>
      </w:r>
    </w:p>
    <w:p>
      <w:pPr>
        <w:spacing w:after="0" w:line="117" w:lineRule="exact"/>
        <w:rPr>
          <w:rFonts w:ascii="Arial" w:cs="Arial" w:eastAsia="Arial" w:hAnsi="Arial"/>
          <w:sz w:val="18"/>
          <w:szCs w:val="18"/>
          <w:color w:val="auto"/>
        </w:rPr>
      </w:pPr>
    </w:p>
    <w:p>
      <w:pPr>
        <w:ind w:left="980" w:right="20" w:hanging="486"/>
        <w:spacing w:after="0" w:line="277" w:lineRule="auto"/>
        <w:tabs>
          <w:tab w:leader="none" w:pos="975" w:val="left"/>
        </w:tabs>
        <w:numPr>
          <w:ilvl w:val="0"/>
          <w:numId w:val="10"/>
        </w:numPr>
        <w:rPr>
          <w:rFonts w:ascii="Arial" w:cs="Arial" w:eastAsia="Arial" w:hAnsi="Arial"/>
          <w:sz w:val="18"/>
          <w:szCs w:val="18"/>
          <w:color w:val="auto"/>
        </w:rPr>
      </w:pPr>
      <w:r>
        <w:rPr>
          <w:rFonts w:ascii="Arial" w:cs="Arial" w:eastAsia="Arial" w:hAnsi="Arial"/>
          <w:sz w:val="18"/>
          <w:szCs w:val="18"/>
          <w:color w:val="auto"/>
        </w:rPr>
        <w:t>Failure to effectively develop and expand our sales and marketing capabilities could harm our ability to increase our customer base and achieve broader market acceptance of our products.</w:t>
      </w:r>
    </w:p>
    <w:p>
      <w:pPr>
        <w:spacing w:after="0" w:line="62" w:lineRule="exact"/>
        <w:rPr>
          <w:rFonts w:ascii="Arial" w:cs="Arial" w:eastAsia="Arial" w:hAnsi="Arial"/>
          <w:sz w:val="18"/>
          <w:szCs w:val="18"/>
          <w:color w:val="auto"/>
        </w:rPr>
      </w:pPr>
    </w:p>
    <w:p>
      <w:pPr>
        <w:jc w:val="both"/>
        <w:ind w:left="980" w:hanging="486"/>
        <w:spacing w:after="0" w:line="259" w:lineRule="auto"/>
        <w:tabs>
          <w:tab w:leader="none" w:pos="975" w:val="left"/>
        </w:tabs>
        <w:numPr>
          <w:ilvl w:val="0"/>
          <w:numId w:val="10"/>
        </w:numPr>
        <w:rPr>
          <w:rFonts w:ascii="Arial" w:cs="Arial" w:eastAsia="Arial" w:hAnsi="Arial"/>
          <w:sz w:val="18"/>
          <w:szCs w:val="18"/>
          <w:color w:val="auto"/>
        </w:rPr>
      </w:pPr>
      <w:r>
        <w:rPr>
          <w:rFonts w:ascii="Arial" w:cs="Arial" w:eastAsia="Arial" w:hAnsi="Arial"/>
          <w:sz w:val="18"/>
          <w:szCs w:val="18"/>
          <w:color w:val="auto"/>
        </w:rPr>
        <w:t>If we or our third-party service providers experience, or are unable to protect against cyber-attacks, ransomware, security incidents, or security breaches, or if unauthorized parties otherwise obtain access to our customers’ data, our data, or our platform and information technology systems, then our solution may be perceived as not being secure, our reputation may be harmed, demand for our platform and products may be reduced, and we may incur significant liabilities or additional expenses.</w:t>
      </w:r>
    </w:p>
    <w:p>
      <w:pPr>
        <w:spacing w:after="0" w:line="78" w:lineRule="exact"/>
        <w:rPr>
          <w:rFonts w:ascii="Arial" w:cs="Arial" w:eastAsia="Arial" w:hAnsi="Arial"/>
          <w:sz w:val="18"/>
          <w:szCs w:val="18"/>
          <w:color w:val="auto"/>
        </w:rPr>
      </w:pPr>
    </w:p>
    <w:p>
      <w:pPr>
        <w:ind w:left="980" w:hanging="486"/>
        <w:spacing w:after="0" w:line="277" w:lineRule="auto"/>
        <w:tabs>
          <w:tab w:leader="none" w:pos="975"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Interruptions or performance problems associated with our products and platform capabilities may adversely affect our business, financial condition and results of operations.</w:t>
      </w:r>
    </w:p>
    <w:p>
      <w:pPr>
        <w:spacing w:after="0" w:line="62" w:lineRule="exact"/>
        <w:rPr>
          <w:rFonts w:ascii="Arial" w:cs="Arial" w:eastAsia="Arial" w:hAnsi="Arial"/>
          <w:sz w:val="18"/>
          <w:szCs w:val="18"/>
          <w:color w:val="auto"/>
        </w:rPr>
      </w:pPr>
    </w:p>
    <w:p>
      <w:pPr>
        <w:ind w:left="980" w:right="20" w:hanging="486"/>
        <w:spacing w:after="0" w:line="277" w:lineRule="auto"/>
        <w:tabs>
          <w:tab w:leader="none" w:pos="975" w:val="left"/>
        </w:tabs>
        <w:numPr>
          <w:ilvl w:val="0"/>
          <w:numId w:val="10"/>
        </w:numPr>
        <w:rPr>
          <w:rFonts w:ascii="Arial" w:cs="Arial" w:eastAsia="Arial" w:hAnsi="Arial"/>
          <w:sz w:val="18"/>
          <w:szCs w:val="18"/>
          <w:color w:val="auto"/>
        </w:rPr>
      </w:pPr>
      <w:r>
        <w:rPr>
          <w:rFonts w:ascii="Arial" w:cs="Arial" w:eastAsia="Arial" w:hAnsi="Arial"/>
          <w:sz w:val="18"/>
          <w:szCs w:val="18"/>
          <w:color w:val="auto"/>
        </w:rPr>
        <w:t>We may not be able to successfully manage our growth, and if we are not able to grow efficiently, our business, financial condition and results of operations could be harmed.</w:t>
      </w:r>
    </w:p>
    <w:p>
      <w:pPr>
        <w:spacing w:after="0" w:line="62" w:lineRule="exact"/>
        <w:rPr>
          <w:rFonts w:ascii="Arial" w:cs="Arial" w:eastAsia="Arial" w:hAnsi="Arial"/>
          <w:sz w:val="18"/>
          <w:szCs w:val="18"/>
          <w:color w:val="auto"/>
        </w:rPr>
      </w:pPr>
    </w:p>
    <w:p>
      <w:pPr>
        <w:ind w:left="980" w:hanging="486"/>
        <w:spacing w:after="0" w:line="277" w:lineRule="auto"/>
        <w:tabs>
          <w:tab w:leader="none" w:pos="975" w:val="left"/>
        </w:tabs>
        <w:numPr>
          <w:ilvl w:val="0"/>
          <w:numId w:val="10"/>
        </w:numPr>
        <w:rPr>
          <w:rFonts w:ascii="Arial" w:cs="Arial" w:eastAsia="Arial" w:hAnsi="Arial"/>
          <w:sz w:val="18"/>
          <w:szCs w:val="18"/>
          <w:color w:val="auto"/>
        </w:rPr>
      </w:pPr>
      <w:r>
        <w:rPr>
          <w:rFonts w:ascii="Arial" w:cs="Arial" w:eastAsia="Arial" w:hAnsi="Arial"/>
          <w:sz w:val="18"/>
          <w:szCs w:val="18"/>
          <w:color w:val="auto"/>
        </w:rPr>
        <w:t>If we fail to adapt and respond effectively to rapidly changing technology, evolving industry standards, changing regulations, or to changing customer needs, requirements or preferences, our platform and products may become less competitive.</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37" w:name="page38"/>
    <w:bookmarkEnd w:id="37"/>
    <w:p>
      <w:pPr>
        <w:ind w:left="980" w:hanging="486"/>
        <w:spacing w:after="0" w:line="277" w:lineRule="auto"/>
        <w:tabs>
          <w:tab w:leader="none" w:pos="975"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markets in which we participate are competitive, and if we do not compete effectively, our business, financial condition and results of operations could be harmed.</w:t>
      </w:r>
    </w:p>
    <w:p>
      <w:pPr>
        <w:spacing w:after="0" w:line="62" w:lineRule="exact"/>
        <w:rPr>
          <w:rFonts w:ascii="Arial" w:cs="Arial" w:eastAsia="Arial" w:hAnsi="Arial"/>
          <w:sz w:val="18"/>
          <w:szCs w:val="18"/>
          <w:color w:val="auto"/>
        </w:rPr>
      </w:pPr>
    </w:p>
    <w:p>
      <w:pPr>
        <w:jc w:val="both"/>
        <w:ind w:left="980" w:hanging="486"/>
        <w:spacing w:after="0" w:line="263" w:lineRule="auto"/>
        <w:tabs>
          <w:tab w:leader="none" w:pos="975"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dual class structure of our common stock has the effect of concentrating voting control with holders of our Class B common stock, including our executive officers, directors and their affiliates, which will limit the ability of holders of our Class A common stock to influence the outcome of important transactions.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Associated with our Growth</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Unfavorable conditions in our industry or the global economy, or reductions in information technology spending, could limit our ability to grow our business and negatively affect our results of operations.</w:t>
      </w:r>
    </w:p>
    <w:p>
      <w:pPr>
        <w:spacing w:after="0" w:line="170" w:lineRule="exact"/>
        <w:rPr>
          <w:sz w:val="20"/>
          <w:szCs w:val="20"/>
          <w:color w:val="auto"/>
        </w:rPr>
      </w:pPr>
    </w:p>
    <w:p>
      <w:pPr>
        <w:jc w:val="both"/>
        <w:ind w:firstLine="486"/>
        <w:spacing w:after="0" w:line="285" w:lineRule="auto"/>
        <w:rPr>
          <w:sz w:val="20"/>
          <w:szCs w:val="20"/>
          <w:color w:val="auto"/>
        </w:rPr>
      </w:pPr>
      <w:r>
        <w:rPr>
          <w:rFonts w:ascii="Arial" w:cs="Arial" w:eastAsia="Arial" w:hAnsi="Arial"/>
          <w:sz w:val="16"/>
          <w:szCs w:val="16"/>
          <w:color w:val="auto"/>
        </w:rPr>
        <w:t>Our results of operations may vary based on the impact of unfavorable changes in our industry or the global economy on us or our customers and potential customers. Unfavorable conditions in the economy both in the United States and abroad, including conditions resulting from changes in gross domestic product growth in the United States or abroad, financial and credit market fluctuations, inflation, rising interest rates, the failure of Silicon Valley Bank and other financial institutions, international trade relations, political turmoil, natural catastrophes, outbreaks of contagious diseases, such as the COVID-19 pandemic, warfare and terrorist attacks on the United States, Europe, the Asia Pacific region or elsewhere, such as the evolving conflict in Israel and Gaza, could cause a decrease in business investments, including spending on information technology, disrupt the timing and cadence of key industry events, and negatively affect the growth of our business and our results of operations. For example, the COVID-19 pandemic adversely affected workforces, economies and financial markets globally, leading to a reduction in the ability of, or the inability of, customers, partners, suppliers, vendors or other parties to meet their contractual obligations, and for a period of time, a reduction in customer spending on technology, and such conditions may reoccur in the future. The war in Ukraine and the related political and economic responses imposed on Russia such as sanctions, may also exacerbate these issues and trends especially in Europe. More recently, in response to persistently high inflation, the U.S. Federal Reserve has increased interest rates, which may reduce economic growth and cause companies to decrease spending on information technology. These types of unfavorable conditions could disrupt the timing of and attendance at key industry events, which we rely upon in part to generate sales of our products. If those events are disrupted, our marketing investments, sales pipeline and ability to generate new customers and sales of our products could be negatively and adversely affected. Our competitors, many of which are larger and have greater financial resources than we do, may respond to challenging market conditions by lowering prices in an attempt to attract our customers and may be less dependent on key industry events to generate sales for their products. The increased pace of consolidation in certain industries may result in reduced overall spending on our products and solutions. We cannot predict the timing, strength, or duration of any economic slowdown, instability, or recovery, generally or how any such event may impact our business.</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recent rapid growth may not be indicative of our future growth. Our rapid growth also makes it difficult to evaluate our future prospects and may increase the risk that we will not be successful.</w:t>
      </w:r>
    </w:p>
    <w:p>
      <w:pPr>
        <w:spacing w:after="0" w:line="170"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Our revenue was $1,538.7 million and $1,205.7 million for the nine months ended September 30, 2023 and 2022, respectively, and $1,675.1 million and $1,028.8 million for the years ended December 31, 2022 and 2021, respectively. You should not rely on the revenue growth of any prior quarterly or annual period as an indication of our future performance. Even if our revenue continues to increase, we expect that our revenue growth rate will decline in the future as a result of a variety of factors, including the maturation of our business. Overall growth of our revenue depends on a number of factors, including our ability to:</w:t>
      </w:r>
    </w:p>
    <w:p>
      <w:pPr>
        <w:spacing w:after="0" w:line="80" w:lineRule="exact"/>
        <w:rPr>
          <w:sz w:val="20"/>
          <w:szCs w:val="20"/>
          <w:color w:val="auto"/>
        </w:rPr>
      </w:pPr>
    </w:p>
    <w:p>
      <w:pPr>
        <w:ind w:left="980" w:hanging="486"/>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price our products effectively so that we are able to attract new customers and expand sales to our existing customers;</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expand the functionality and use cases for the products we offer on our platform;</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maintain and expand the rates at which customers purchase and renew subscriptions to our platform;</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provide our customers with support that meets their needs;</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continue to introduce our products to new markets outside of the United States;</w:t>
      </w:r>
    </w:p>
    <w:p>
      <w:pPr>
        <w:spacing w:after="0" w:line="117" w:lineRule="exact"/>
        <w:rPr>
          <w:rFonts w:ascii="Arial" w:cs="Arial" w:eastAsia="Arial" w:hAnsi="Arial"/>
          <w:sz w:val="18"/>
          <w:szCs w:val="18"/>
          <w:color w:val="auto"/>
        </w:rPr>
      </w:pPr>
    </w:p>
    <w:p>
      <w:pPr>
        <w:ind w:left="980" w:hanging="486"/>
        <w:spacing w:after="0" w:line="277" w:lineRule="auto"/>
        <w:tabs>
          <w:tab w:leader="none" w:pos="975" w:val="left"/>
        </w:tabs>
        <w:numPr>
          <w:ilvl w:val="0"/>
          <w:numId w:val="12"/>
        </w:numPr>
        <w:rPr>
          <w:rFonts w:ascii="Arial" w:cs="Arial" w:eastAsia="Arial" w:hAnsi="Arial"/>
          <w:sz w:val="18"/>
          <w:szCs w:val="18"/>
          <w:color w:val="auto"/>
        </w:rPr>
      </w:pPr>
      <w:r>
        <w:rPr>
          <w:rFonts w:ascii="Arial" w:cs="Arial" w:eastAsia="Arial" w:hAnsi="Arial"/>
          <w:sz w:val="18"/>
          <w:szCs w:val="18"/>
          <w:color w:val="auto"/>
        </w:rPr>
        <w:t>successfully identify and acquire or invest in businesses, products or technologies that we believe could complement or expand our platform; and</w:t>
      </w:r>
    </w:p>
    <w:p>
      <w:pPr>
        <w:spacing w:after="0" w:line="62" w:lineRule="exact"/>
        <w:rPr>
          <w:rFonts w:ascii="Arial" w:cs="Arial" w:eastAsia="Arial" w:hAnsi="Arial"/>
          <w:sz w:val="18"/>
          <w:szCs w:val="18"/>
          <w:color w:val="auto"/>
        </w:rPr>
      </w:pPr>
    </w:p>
    <w:p>
      <w:pPr>
        <w:ind w:left="980" w:hanging="486"/>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increase awareness of our brand on a global basis and successfully compete with other companies.</w:t>
      </w:r>
    </w:p>
    <w:p>
      <w:pPr>
        <w:spacing w:after="0" w:line="225" w:lineRule="exact"/>
        <w:rPr>
          <w:sz w:val="20"/>
          <w:szCs w:val="20"/>
          <w:color w:val="auto"/>
        </w:rPr>
      </w:pPr>
    </w:p>
    <w:p>
      <w:pPr>
        <w:ind w:firstLine="486"/>
        <w:spacing w:after="0" w:line="277" w:lineRule="auto"/>
        <w:rPr>
          <w:sz w:val="20"/>
          <w:szCs w:val="20"/>
          <w:color w:val="auto"/>
        </w:rPr>
      </w:pPr>
      <w:r>
        <w:rPr>
          <w:rFonts w:ascii="Arial" w:cs="Arial" w:eastAsia="Arial" w:hAnsi="Arial"/>
          <w:sz w:val="18"/>
          <w:szCs w:val="18"/>
          <w:color w:val="auto"/>
        </w:rPr>
        <w:t>We may not successfully accomplish any of these objectives, and as a result, it is difficult for us to forecast our future results of operations. If the assumptions that we use to plan our business are incorrect or change in reaction to changes in our</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5" w:right="339" w:bottom="1440" w:gutter="0" w:footer="0" w:header="0"/>
        </w:sectPr>
      </w:pPr>
    </w:p>
    <w:bookmarkStart w:id="38" w:name="page39"/>
    <w:bookmarkEnd w:id="38"/>
    <w:p>
      <w:pPr>
        <w:jc w:val="both"/>
        <w:spacing w:after="0" w:line="263" w:lineRule="auto"/>
        <w:rPr>
          <w:sz w:val="20"/>
          <w:szCs w:val="20"/>
          <w:color w:val="auto"/>
        </w:rPr>
      </w:pPr>
      <w:r>
        <w:rPr>
          <w:rFonts w:ascii="Arial" w:cs="Arial" w:eastAsia="Arial" w:hAnsi="Arial"/>
          <w:sz w:val="18"/>
          <w:szCs w:val="18"/>
          <w:color w:val="auto"/>
        </w:rPr>
        <w:t>market, or if we are unable to maintain consistent revenue or revenue growth, our stock price could be volatile, and it may be difficult to achieve and maintain profitability. You should not rely on our revenue for any prior quarterly or annual periods as any indication of our future revenue or revenue growth.</w:t>
      </w:r>
    </w:p>
    <w:p>
      <w:pPr>
        <w:spacing w:after="0" w:line="184" w:lineRule="exact"/>
        <w:rPr>
          <w:sz w:val="20"/>
          <w:szCs w:val="20"/>
          <w:color w:val="auto"/>
        </w:rPr>
      </w:pPr>
    </w:p>
    <w:p>
      <w:pPr>
        <w:ind w:left="500"/>
        <w:spacing w:after="0"/>
        <w:rPr>
          <w:sz w:val="20"/>
          <w:szCs w:val="20"/>
          <w:color w:val="auto"/>
        </w:rPr>
      </w:pPr>
      <w:r>
        <w:rPr>
          <w:rFonts w:ascii="Arial" w:cs="Arial" w:eastAsia="Arial" w:hAnsi="Arial"/>
          <w:sz w:val="18"/>
          <w:szCs w:val="18"/>
          <w:color w:val="auto"/>
        </w:rPr>
        <w:t>In addition, we expect to continue to expend substantial financial and other resources on:</w:t>
      </w:r>
    </w:p>
    <w:p>
      <w:pPr>
        <w:spacing w:after="0" w:line="117" w:lineRule="exact"/>
        <w:rPr>
          <w:sz w:val="20"/>
          <w:szCs w:val="20"/>
          <w:color w:val="auto"/>
        </w:rPr>
      </w:pPr>
    </w:p>
    <w:p>
      <w:pPr>
        <w:ind w:left="980" w:hanging="486"/>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technology infrastructure, including systems architecture, scalability, availability, performance and security;</w:t>
      </w:r>
    </w:p>
    <w:p>
      <w:pPr>
        <w:spacing w:after="0" w:line="117" w:lineRule="exact"/>
        <w:rPr>
          <w:rFonts w:ascii="Arial" w:cs="Arial" w:eastAsia="Arial" w:hAnsi="Arial"/>
          <w:sz w:val="18"/>
          <w:szCs w:val="18"/>
          <w:color w:val="auto"/>
        </w:rPr>
      </w:pPr>
    </w:p>
    <w:p>
      <w:pPr>
        <w:ind w:left="980" w:hanging="486"/>
        <w:spacing w:after="0" w:line="277" w:lineRule="auto"/>
        <w:tabs>
          <w:tab w:leader="none" w:pos="975"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sales and marketing organization to engage our existing and prospective customers, increase brand awareness and drive adoption of our products;</w:t>
      </w:r>
    </w:p>
    <w:p>
      <w:pPr>
        <w:spacing w:after="0" w:line="62" w:lineRule="exact"/>
        <w:rPr>
          <w:rFonts w:ascii="Arial" w:cs="Arial" w:eastAsia="Arial" w:hAnsi="Arial"/>
          <w:sz w:val="18"/>
          <w:szCs w:val="18"/>
          <w:color w:val="auto"/>
        </w:rPr>
      </w:pPr>
    </w:p>
    <w:p>
      <w:pPr>
        <w:ind w:left="980" w:hanging="486"/>
        <w:spacing w:after="0" w:line="277" w:lineRule="auto"/>
        <w:tabs>
          <w:tab w:leader="none" w:pos="975" w:val="left"/>
        </w:tabs>
        <w:numPr>
          <w:ilvl w:val="0"/>
          <w:numId w:val="13"/>
        </w:numPr>
        <w:rPr>
          <w:rFonts w:ascii="Arial" w:cs="Arial" w:eastAsia="Arial" w:hAnsi="Arial"/>
          <w:sz w:val="18"/>
          <w:szCs w:val="18"/>
          <w:color w:val="auto"/>
        </w:rPr>
      </w:pPr>
      <w:r>
        <w:rPr>
          <w:rFonts w:ascii="Arial" w:cs="Arial" w:eastAsia="Arial" w:hAnsi="Arial"/>
          <w:sz w:val="18"/>
          <w:szCs w:val="18"/>
          <w:color w:val="auto"/>
        </w:rPr>
        <w:t>product development, including investments in our product development team and the development of new products and new functionality for our platform as well as investments in further optimizing our existing products and infrastructure;</w:t>
      </w:r>
    </w:p>
    <w:p>
      <w:pPr>
        <w:spacing w:after="0" w:line="62" w:lineRule="exact"/>
        <w:rPr>
          <w:rFonts w:ascii="Arial" w:cs="Arial" w:eastAsia="Arial" w:hAnsi="Arial"/>
          <w:sz w:val="18"/>
          <w:szCs w:val="18"/>
          <w:color w:val="auto"/>
        </w:rPr>
      </w:pPr>
    </w:p>
    <w:p>
      <w:pPr>
        <w:ind w:left="980" w:hanging="486"/>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acquisitions or strategic investments;</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international expansion; and</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general administration, including increased legal and accounting expenses associated with being a public company.</w:t>
      </w:r>
    </w:p>
    <w:p>
      <w:pPr>
        <w:spacing w:after="0" w:line="225" w:lineRule="exact"/>
        <w:rPr>
          <w:sz w:val="20"/>
          <w:szCs w:val="20"/>
          <w:color w:val="auto"/>
        </w:rPr>
      </w:pPr>
    </w:p>
    <w:p>
      <w:pPr>
        <w:jc w:val="both"/>
        <w:ind w:firstLine="486"/>
        <w:spacing w:after="0" w:line="275" w:lineRule="auto"/>
        <w:rPr>
          <w:sz w:val="20"/>
          <w:szCs w:val="20"/>
          <w:color w:val="auto"/>
        </w:rPr>
      </w:pPr>
      <w:r>
        <w:rPr>
          <w:rFonts w:ascii="Arial" w:cs="Arial" w:eastAsia="Arial" w:hAnsi="Arial"/>
          <w:sz w:val="17"/>
          <w:szCs w:val="17"/>
          <w:color w:val="auto"/>
        </w:rPr>
        <w:t>These investments may not result in increased revenue growth in our business. If we are unable to maintain or increase our revenue at a rate sufficient to offset the expected increase in our costs, our business, financial position, and results of operations will be harmed, and we may not be able to achieve or maintain profitability over the long term. Additionally, we may encounter unforeseen operating expenses, difficulties, complications, delays, and other unknown factors that may result in losses in future periods. If our revenue growth does not meet our expectations in future periods, our business, financial position and results of operations may be harmed, and we may not achieve or maintain profitability in the future.</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a history of operating losses and may not achieve or sustain profitability in the future.</w:t>
      </w:r>
    </w:p>
    <w:p>
      <w:pPr>
        <w:spacing w:after="0" w:line="225" w:lineRule="exact"/>
        <w:rPr>
          <w:sz w:val="20"/>
          <w:szCs w:val="20"/>
          <w:color w:val="auto"/>
        </w:rPr>
      </w:pPr>
    </w:p>
    <w:p>
      <w:pPr>
        <w:jc w:val="both"/>
        <w:ind w:firstLine="486"/>
        <w:spacing w:after="0" w:line="287" w:lineRule="auto"/>
        <w:rPr>
          <w:sz w:val="20"/>
          <w:szCs w:val="20"/>
          <w:color w:val="auto"/>
        </w:rPr>
      </w:pPr>
      <w:r>
        <w:rPr>
          <w:rFonts w:ascii="Arial" w:cs="Arial" w:eastAsia="Arial" w:hAnsi="Arial"/>
          <w:sz w:val="16"/>
          <w:szCs w:val="16"/>
          <w:color w:val="auto"/>
        </w:rPr>
        <w:t>We generated net losses in each year since our inception, including net losses of $50.2 million and $20.7 million for the years ended December 31, 2022 and 2021, respectively. As of September 30, 2023, we had an accumulated deficit of $207.7 million. While we have experienced significant revenue growth in recent periods, we are not certain whether or when we will obtain a high enough volume of sales to sustain or increase our growth or maintain profitability in the future. We also expect our costs and expenses to increase in future periods, which could negatively affect our future results of operations if our revenue does not increase. In particular, we intend to continue to expend significant funds to further develop our platform, including by introducing new products and functionality, and to expand our inside and field sales teams and customer success team to drive new customer adoption, expand use cases and integrations, and support international expansion. We will also face increased compliance costs associated with growth, the expansion of our customer base, and being a public company. Our efforts to grow our business may be costlier than we expect, or the rate of our growth in revenue may be slower than we expect, and we may not be able to increase our revenue enough to offset our increased operating expenses. We may incur significant losses in the future for a number of reasons, including the other risks described herein, and unforeseen expenses, difficulties, complications or delays, and other unknown events. If we are unable to sustain profitability, the value of our business and Class A common stock may significantly decrease.</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a limited operating history at our current scale, which makes it difficult to forecast our future results of operations.</w:t>
      </w:r>
    </w:p>
    <w:p>
      <w:pPr>
        <w:spacing w:after="0" w:line="225" w:lineRule="exact"/>
        <w:rPr>
          <w:sz w:val="20"/>
          <w:szCs w:val="20"/>
          <w:color w:val="auto"/>
        </w:rPr>
      </w:pPr>
    </w:p>
    <w:p>
      <w:pPr>
        <w:jc w:val="both"/>
        <w:ind w:firstLine="486"/>
        <w:spacing w:after="0" w:line="290" w:lineRule="auto"/>
        <w:rPr>
          <w:sz w:val="20"/>
          <w:szCs w:val="20"/>
          <w:color w:val="auto"/>
        </w:rPr>
      </w:pPr>
      <w:r>
        <w:rPr>
          <w:rFonts w:ascii="Arial" w:cs="Arial" w:eastAsia="Arial" w:hAnsi="Arial"/>
          <w:sz w:val="16"/>
          <w:szCs w:val="16"/>
          <w:color w:val="auto"/>
        </w:rPr>
        <w:t>As a result of our limited operating history at our current scale and the introduction of several new products in recent years, our ability to accurately forecast our future results of operations is limited and subject to a number of uncertainties, including our ability to plan for and model future growth. Our historical revenue growth should not be considered indicative of our future performance. Further, in future periods, our revenue growth could slow or our revenue could decline for a number of reasons, including slowing demand for our products, increasing competition, changes to technology, a decrease in the growth of our overall market, or our failure, for any reason, to continue to take advantage of growth opportunities. We have also encountered, and will continue to encounter, risks and uncertainties frequently experienced by growing companies in rapidly changing industries, such as the risks and uncertainties described herein. If our assumptions regarding these risks and uncertainties and our future revenue growth are incorrect or change, or if we do not address these risks successfully, our operating and financial results could differ materially from our expectations, and our business could suffer.</w:t>
      </w:r>
    </w:p>
    <w:p>
      <w:pPr>
        <w:spacing w:after="0" w:line="16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may require additional capital to support the growth of our business, and this capital might not be available on acceptable terms, if at all.</w:t>
      </w: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13" w:right="339" w:bottom="1440" w:gutter="0" w:footer="0" w:header="0"/>
        </w:sectPr>
      </w:pPr>
    </w:p>
    <w:bookmarkStart w:id="39" w:name="page40"/>
    <w:bookmarkEnd w:id="39"/>
    <w:p>
      <w:pPr>
        <w:jc w:val="both"/>
        <w:ind w:firstLine="486"/>
        <w:spacing w:after="0" w:line="289" w:lineRule="auto"/>
        <w:rPr>
          <w:sz w:val="20"/>
          <w:szCs w:val="20"/>
          <w:color w:val="auto"/>
        </w:rPr>
      </w:pPr>
      <w:r>
        <w:rPr>
          <w:rFonts w:ascii="Arial" w:cs="Arial" w:eastAsia="Arial" w:hAnsi="Arial"/>
          <w:sz w:val="16"/>
          <w:szCs w:val="16"/>
          <w:color w:val="auto"/>
        </w:rPr>
        <w:t>We have funded our operations since inception primarily through equity and debt financings and sales of our products. We cannot be certain when or if our operations will generate sufficient cash to fully fund our ongoing operations or the growth of our business. We intend to continue to make investments to support our business, which may require us to engage in equity or debt financings to secure additional funds. Additional financing may not be available on terms favorable to us, if at all. If adequate funds are not available on acceptable terms, we may be unable to invest in future growth opportunities, which could harm our business, operating results, and financial condition. If we incur additional debt, the debt holders would have rights senior to holders of common stock to make claims on our assets, and the terms of any debt could restrict our operations, including our ability to pay dividends on our common stock. Because our decision to issue securities in the future will depend on numerous considerations, including factors beyond our control, we cannot predict or estimate the amount, timing, or nature of any future issuances of debt or equity securities. As a result, our stockholders bear the risk of future issuances of debt or equity securities reducing the value of our common stock and diluting their interests.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Strategic and Operational Risks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business depends on our existing customers purchasing additional subscriptions and products from us and renewing their subscriptions. If our customers do not renew or expand their subscriptions with us, our future operating results would be harmed.</w:t>
      </w:r>
    </w:p>
    <w:p>
      <w:pPr>
        <w:spacing w:after="0" w:line="170" w:lineRule="exact"/>
        <w:rPr>
          <w:sz w:val="20"/>
          <w:szCs w:val="20"/>
          <w:color w:val="auto"/>
        </w:rPr>
      </w:pPr>
    </w:p>
    <w:p>
      <w:pPr>
        <w:jc w:val="both"/>
        <w:ind w:firstLine="486"/>
        <w:spacing w:after="0" w:line="286" w:lineRule="auto"/>
        <w:rPr>
          <w:sz w:val="20"/>
          <w:szCs w:val="20"/>
          <w:color w:val="auto"/>
        </w:rPr>
      </w:pPr>
      <w:r>
        <w:rPr>
          <w:rFonts w:ascii="Arial" w:cs="Arial" w:eastAsia="Arial" w:hAnsi="Arial"/>
          <w:sz w:val="16"/>
          <w:szCs w:val="16"/>
          <w:color w:val="auto"/>
        </w:rPr>
        <w:t>Our future success depends in part on our ability to sell additional subscriptions and products to our existing customers, and our customers renewing their subscriptions when the contract term expires. The terms of our subscription agreements are primarily monthly or annual, with some quarterly, semiannual and multi-year. Our customers have no obligation to renew their subscriptions for our products after the expiration of their subscription period. In order for us to maintain or improve our results of operations, it is important that our customers renew or expand their subscriptions with us. Whether our customers renew or expand their subscriptions with us may be impacted by a number of factors, including business strength or weakness of our customers, customer usage, customer satisfaction with our products and platform capabilities and customer support, our prices, the capabilities and prices of competing products, mergers and acquisitions affecting our customer base, consolidation of affiliates’ multiple paid business accounts into a single paid business account, or reductions in our customers’ spending on IT solutions or their spending levels generally. These factors may be exacerbated by unfavorable conditions in the economy, see “Risks Associated with our Growth—Unfavorable conditions in our industry or the global economy, or reductions in information technology spending, could limit our ability to grow our business and negatively affect our results of operations” above. These factors may also be exacerbated if, consistent with our growth strategy, our customer base continues to grow to encompass larger enterprises, which may also require more sophisticated and costly sales efforts. If our customers do not purchase additional subscriptions and products from us or our customers fail to renew their subscriptions, our revenue may decline and our business, financial condition and results of operations may be harmed.</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are unable to attract new customers, our business, financial condition and results of operations will be adversely affected.</w:t>
      </w:r>
    </w:p>
    <w:p>
      <w:pPr>
        <w:spacing w:after="0" w:line="225" w:lineRule="exact"/>
        <w:rPr>
          <w:sz w:val="20"/>
          <w:szCs w:val="20"/>
          <w:color w:val="auto"/>
        </w:rPr>
      </w:pPr>
    </w:p>
    <w:p>
      <w:pPr>
        <w:jc w:val="both"/>
        <w:ind w:firstLine="486"/>
        <w:spacing w:after="0" w:line="269" w:lineRule="auto"/>
        <w:rPr>
          <w:sz w:val="20"/>
          <w:szCs w:val="20"/>
          <w:color w:val="auto"/>
        </w:rPr>
      </w:pPr>
      <w:r>
        <w:rPr>
          <w:rFonts w:ascii="Arial" w:cs="Arial" w:eastAsia="Arial" w:hAnsi="Arial"/>
          <w:sz w:val="17"/>
          <w:szCs w:val="17"/>
          <w:color w:val="auto"/>
        </w:rPr>
        <w:t>To increase our revenue, we must continue to attract new customers. Our success will depend to a substantial extent on the widespread adoption of our platform and products as an alternative to existing solutions. Many enterprises have invested substantial personnel and financial resources to integrate traditional on-premise architectures into their businesses and, therefore, may be reluctant or unwilling to migrate to cloud computing. Further, the adoption of SaaS business software may be slower in industries with heightened data security interests or business practices requiring highly-customizable application software. In addition, as our market matures, our products evolve, and competitors introduce lower cost or differentiated products that are perceived to compete with our platform and products, our ability to sell subscriptions for our products could be impaired. Similarly, our subscription sales could be adversely affected if customers or users within these organizations perceive that features incorporated into competitive products reduce the need for our products or if they prefer to purchase other products that are bundled with solutions offered by other companies that operate in adjacent markets and compete with our products. As a result of these and other factors, we may be unable to attract new customers, which may have an adverse effect on our business, financial condition and results of operations.</w:t>
      </w:r>
    </w:p>
    <w:p>
      <w:pPr>
        <w:spacing w:after="0" w:line="18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Failure to effectively develop and expand our sales and marketing capabilities could harm our ability to increase our customer base and achieve broader market acceptance of our products.</w:t>
      </w:r>
    </w:p>
    <w:p>
      <w:pPr>
        <w:spacing w:after="0" w:line="170"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Our ability to increase our customer base and achieve broader market acceptance of our products and platform capabilities will depend to a significant extent on our ability to expand our sales and marketing organization. We plan to continue expanding our direct sales force, both domestically and internationally. We also plan to dedicate significant resources to sales and marketing programs. All of these efforts will require us to invest significant financial and other resources, including in channels in which we have limited or no experience to date. Our business and results of operations will be harmed if our</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13" w:right="339" w:bottom="1440" w:gutter="0" w:footer="0" w:header="0"/>
        </w:sectPr>
      </w:pPr>
    </w:p>
    <w:bookmarkStart w:id="40" w:name="page41"/>
    <w:bookmarkEnd w:id="40"/>
    <w:p>
      <w:pPr>
        <w:jc w:val="both"/>
        <w:spacing w:after="0" w:line="259" w:lineRule="auto"/>
        <w:rPr>
          <w:sz w:val="20"/>
          <w:szCs w:val="20"/>
          <w:color w:val="auto"/>
        </w:rPr>
      </w:pPr>
      <w:r>
        <w:rPr>
          <w:rFonts w:ascii="Arial" w:cs="Arial" w:eastAsia="Arial" w:hAnsi="Arial"/>
          <w:sz w:val="18"/>
          <w:szCs w:val="18"/>
          <w:color w:val="auto"/>
        </w:rPr>
        <w:t>sales and marketing efforts do not generate significant increases in revenue or increases in revenue that are smaller than anticipated. We may not achieve anticipated revenue growth from expanding our sales force if we are unable to hire, develop, integrate and retain talented and effective sales personnel, if our new and existing sales personnel, on the whole, are unable to achieve desired productivity levels in a reasonable period of time, or if our sales and marketing programs are not effective.</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auto"/>
        </w:rPr>
        <w:t>If we or our third-party service providers experience, or are unable to protect against cyber-attacks, ransomware, security incidents, or security breaches, or if unauthorized parties otherwise obtain access to our customers’ data, our data, or our platform and information technology systems, then our solution may be perceived as not being secure, our reputation may be harmed, demand for our platform and products may be reduced, and we may incur significant liabilities or additional expenses.</w:t>
      </w:r>
    </w:p>
    <w:p>
      <w:pPr>
        <w:spacing w:after="0" w:line="187"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We collect, receive, store, process, generate, use, transfer, disclose, make accessible, protect, secure, dispose of and share personal information, confidential information and other information necessary to provide our service, to operate our business, for legal and marketing purposes, and for other business-related purposes.</w:t>
      </w:r>
    </w:p>
    <w:p>
      <w:pPr>
        <w:spacing w:after="0" w:line="184" w:lineRule="exact"/>
        <w:rPr>
          <w:sz w:val="20"/>
          <w:szCs w:val="20"/>
          <w:color w:val="auto"/>
        </w:rPr>
      </w:pPr>
    </w:p>
    <w:p>
      <w:pPr>
        <w:jc w:val="both"/>
        <w:ind w:firstLine="486"/>
        <w:spacing w:after="0" w:line="286" w:lineRule="auto"/>
        <w:rPr>
          <w:sz w:val="20"/>
          <w:szCs w:val="20"/>
          <w:color w:val="auto"/>
        </w:rPr>
      </w:pPr>
      <w:r>
        <w:rPr>
          <w:rFonts w:ascii="Arial" w:cs="Arial" w:eastAsia="Arial" w:hAnsi="Arial"/>
          <w:sz w:val="16"/>
          <w:szCs w:val="16"/>
          <w:color w:val="auto"/>
        </w:rPr>
        <w:t>Our platform and products involve the storage and transmission of data, including personal information, and security breaches or unauthorized access to our platform and products, or those of our third-party service providers, could result in the unauthorized, unlawful, or accidental acquisition, modification, destruction, loss, alteration, encryption, disclosure of, or access to sensitive information including our customers' data. Consequently, we may be subject to significant litigation, indemnity obligations, fines, penalties, disputes, investigations and other liabilities. We have previously and may in the future become the target of cyber-attacks by third parties seeking unauthorized access to our or our customers’ data or to disrupt our ability to provide our services. For example, in July 2016 an unidentified third party gained unauthorized access to, and exfiltrated data from, certain of our infrastructure resources, including a database that stored our customers’ credentials for our platform and for third-party integrations. Some of the customer credentials accessed and exfiltrated included confidential and personal information. As a precautionary measure following this event, we reset customer passwords and instructed customers to revoke credentials that had been shared with us. In addition, many of our employees are working remotely, which may pose additional data security risks (including, for example, an increase in phishing and spam emails we began experiencing during 2020). The reliability and continuous availability of our platform is critical to our success. However, complex software such as ours can contain errors, defects, security vulnerabilities or software bugs that, despite testing by us, are difficult to detect and correct, particularly when such vulnerabilities are first introduced or when new versions or enhancements of our platform are released. Real or perceived errors, defects, security vulnerabilities or software bugs in our products could result in reputational harm, reduce the demand for our products and expose us to breach of contract claims, regulatory fines and related liabilities.</w:t>
      </w:r>
    </w:p>
    <w:p>
      <w:pPr>
        <w:spacing w:after="0" w:line="171" w:lineRule="exact"/>
        <w:rPr>
          <w:sz w:val="20"/>
          <w:szCs w:val="20"/>
          <w:color w:val="auto"/>
        </w:rPr>
      </w:pPr>
    </w:p>
    <w:p>
      <w:pPr>
        <w:jc w:val="both"/>
        <w:ind w:firstLine="486"/>
        <w:spacing w:after="0" w:line="268" w:lineRule="auto"/>
        <w:rPr>
          <w:sz w:val="20"/>
          <w:szCs w:val="20"/>
          <w:color w:val="auto"/>
        </w:rPr>
      </w:pPr>
      <w:r>
        <w:rPr>
          <w:rFonts w:ascii="Arial" w:cs="Arial" w:eastAsia="Arial" w:hAnsi="Arial"/>
          <w:sz w:val="17"/>
          <w:szCs w:val="17"/>
          <w:color w:val="auto"/>
        </w:rPr>
        <w:t>We may use third-party service providers and sub-processors to help us deliver services to our customers. These vendors may store or process personal information on our behalf. We use third-party technology, systems and services in a variety of contexts, including, without limitation, encryption and authentication technology, employee email, content delivery to customers, back-office support, credit card processing and other functions. While we have taken steps to protect the confidential and personal information that we have access to, our security measures or those of our third-party service providers that store or otherwise process certain of our and our customers’ data on our behalf could be breached or we could suffer a loss of our or our customers’ data. Our ability to monitor our third-party service providers’ data security is limited. Cyber-attacks, computer malware, viruses, employee mistakes or malfeasance, social engineering (including spear phishing and ransomware attacks), malicious code, denial-of-service attacks, credential harvesting and general hacking have become more prevalent in our industry, particularly against cloud services. Ransomware attacks, including those from organized criminal threat actors, nation-states and nation-state supported actors, are becoming increasingly prevalent and can lead to significant interruptions, delays, or outages in our operations, loss of data (including customer data), loss of income, significant extra expenses to restore data or systems, reputational loss and the diversion of funds. To alleviate the financial, operational and reputational impact of a ransomware attack it may be preferable to make extortion payments, but we may be unwilling or unable to do so (including, for example, if applicable laws or regulations prohibit such payments). Similarly, supply chain attacks have increased in frequency and severity, and we cannot guarantee that third parties and infrastructure in our supply chain have not been compromised or that they do not contain exploitable defects or bugs that could result in a breach of or disruption to our platform, systems and networks or the systems and networks of third parties that support us and our services. Despite the security controls we have in place, such attacks are very difficult to avoid.</w:t>
      </w:r>
    </w:p>
    <w:p>
      <w:pPr>
        <w:spacing w:after="0" w:line="180"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There can be no assurance that any security measures that we or our third-party service providers have implemented will be effective against current or future security threats. While we have developed systems and processes designed to protect the integrity, confidentiality, and security of our and our customers’ data, our security measures or those of our third-party service providers could fail and result in unauthorized access to or disclosure, modification, misuse, loss or destruction of such data.</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13" w:right="339" w:bottom="1440" w:gutter="0" w:footer="0" w:header="0"/>
        </w:sectPr>
      </w:pPr>
    </w:p>
    <w:bookmarkStart w:id="41" w:name="page42"/>
    <w:bookmarkEnd w:id="41"/>
    <w:p>
      <w:pPr>
        <w:jc w:val="both"/>
        <w:ind w:firstLine="486"/>
        <w:spacing w:after="0" w:line="255" w:lineRule="auto"/>
        <w:rPr>
          <w:sz w:val="20"/>
          <w:szCs w:val="20"/>
          <w:color w:val="auto"/>
        </w:rPr>
      </w:pPr>
      <w:r>
        <w:rPr>
          <w:rFonts w:ascii="Arial" w:cs="Arial" w:eastAsia="Arial" w:hAnsi="Arial"/>
          <w:sz w:val="18"/>
          <w:szCs w:val="18"/>
          <w:color w:val="auto"/>
        </w:rPr>
        <w:t>Third parties may also conduct attacks designed to temporarily deny customers access to our cloud services. Any security breach or other security incident, or the perception that one has occurred, could result in a loss of customer confidence in the security of our platform and damage to our brand, reduce the demand for our products, disrupt normal business operations, require us to spend material resources to investigate or correct the breach and to prevent future security breaches and incidents, expose us to legal liabilities, including litigation, regulatory enforcement, and indemnity obligations, and adversely affect our business, financial condition and results of operations. These risks are likely to increase as we continue to grow and process, store, and transmit increasingly large amounts of data.</w:t>
      </w:r>
    </w:p>
    <w:p>
      <w:pPr>
        <w:spacing w:after="0" w:line="192"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In addition, we do not directly control content that our customers store in our products. If our customers use our products for the collection, transmission or storage of personal information and our security measures are or are believed to have been breached as a result of third-party action, employee error, malfeasance or otherwise, our reputation could be damaged, our business may suffer, and we could incur significant liability. In addition, our remediation efforts may not be successful.</w:t>
      </w:r>
    </w:p>
    <w:p>
      <w:pPr>
        <w:spacing w:after="0" w:line="187" w:lineRule="exact"/>
        <w:rPr>
          <w:sz w:val="20"/>
          <w:szCs w:val="20"/>
          <w:color w:val="auto"/>
        </w:rPr>
      </w:pPr>
    </w:p>
    <w:p>
      <w:pPr>
        <w:jc w:val="both"/>
        <w:ind w:firstLine="486"/>
        <w:spacing w:after="0" w:line="286" w:lineRule="auto"/>
        <w:rPr>
          <w:sz w:val="20"/>
          <w:szCs w:val="20"/>
          <w:color w:val="auto"/>
        </w:rPr>
      </w:pPr>
      <w:r>
        <w:rPr>
          <w:rFonts w:ascii="Arial" w:cs="Arial" w:eastAsia="Arial" w:hAnsi="Arial"/>
          <w:sz w:val="17"/>
          <w:szCs w:val="17"/>
          <w:color w:val="auto"/>
        </w:rPr>
        <w:t>We also process, store and transmit our own data as part of our business and operations. This data may include personal, confidential or proprietary information. We may expend significant resources, fundamentally change our business activities and practices, or modify our operations or information technology in an effort to protect against security incidents and to mitigate, detect, and remediate actual and potential vulnerabilities.</w:t>
      </w:r>
    </w:p>
    <w:p>
      <w:pPr>
        <w:spacing w:after="0" w:line="165" w:lineRule="exact"/>
        <w:rPr>
          <w:sz w:val="20"/>
          <w:szCs w:val="20"/>
          <w:color w:val="auto"/>
        </w:rPr>
      </w:pPr>
    </w:p>
    <w:p>
      <w:pPr>
        <w:jc w:val="both"/>
        <w:ind w:firstLine="486"/>
        <w:spacing w:after="0" w:line="291" w:lineRule="auto"/>
        <w:rPr>
          <w:sz w:val="20"/>
          <w:szCs w:val="20"/>
          <w:color w:val="auto"/>
        </w:rPr>
      </w:pPr>
      <w:r>
        <w:rPr>
          <w:rFonts w:ascii="Arial" w:cs="Arial" w:eastAsia="Arial" w:hAnsi="Arial"/>
          <w:sz w:val="16"/>
          <w:szCs w:val="16"/>
          <w:color w:val="auto"/>
        </w:rPr>
        <w:t>Because many different security vulnerabilities exist and exploits of such vulnerabilities continue to evolve, we may be unable to anticipate attempted security breaches, react in a timely manner or implement adequate preventative measures. Among other things, our applications, systems, networks, software, other computer assets and physical facilities could be breached or could otherwise malfunction or fail, or the personal or confidential information that we store could be otherwise compromised due to employee error or malfeasance, if, for example, third parties fraudulently induce our employees or our members to disclose information or user names and/or passwords, or otherwise compromise the security of our networks, systems and/or physical facilities. Additionally, from time to time employees or service providers may inadvertently misconfigure resources or misdirect certain communications, leading to security vulnerabilities or incidents that we must then expend effort and incur expenses to correct.</w:t>
      </w:r>
    </w:p>
    <w:p>
      <w:pPr>
        <w:spacing w:after="0" w:line="166" w:lineRule="exact"/>
        <w:rPr>
          <w:sz w:val="20"/>
          <w:szCs w:val="20"/>
          <w:color w:val="auto"/>
        </w:rPr>
      </w:pPr>
    </w:p>
    <w:p>
      <w:pPr>
        <w:jc w:val="both"/>
        <w:ind w:firstLine="486"/>
        <w:spacing w:after="0" w:line="269" w:lineRule="auto"/>
        <w:rPr>
          <w:sz w:val="20"/>
          <w:szCs w:val="20"/>
          <w:color w:val="auto"/>
        </w:rPr>
      </w:pPr>
      <w:r>
        <w:rPr>
          <w:rFonts w:ascii="Arial" w:cs="Arial" w:eastAsia="Arial" w:hAnsi="Arial"/>
          <w:sz w:val="17"/>
          <w:szCs w:val="17"/>
          <w:color w:val="auto"/>
        </w:rPr>
        <w:t>We may have contractual and other legal obligations to notify relevant stakeholders of security incidents. For instance, most jurisdictions have enacted laws, such as the Health Insurance Portability and Accountability Act of 1996, or HIPAA, requiring companies to notify individuals, regulatory authorities, and others of security breaches involving certain types of data. Such mandatory contractual and legal disclosures are costly, could lead to negative publicity, may cause our customers to lose confidence in the effectiveness of our security measures and require us to expend significant capital and other resources to respond to and/or alleviate problems caused by the actual or perceived security breach, and any failure to provide appropriate notice may violate the terms of our customer contracts. Applicable laws, our contracts, our representations, or industry standards may require us to use industry-standard or reasonable measures to safeguard sensitive personal information or confidential information. A security breach could lead to claims by our customers, or other relevant stakeholders, that we have failed to comply with such legal or contractual obligations. As a result, we could be subject to legal action or our customers could end their relationships with us. Further, there can be no assurance that any limitations of liability in our contracts would be enforceable or adequate or would otherwise protect us from liabilities or damages.</w:t>
      </w:r>
    </w:p>
    <w:p>
      <w:pPr>
        <w:spacing w:after="0" w:line="185" w:lineRule="exact"/>
        <w:rPr>
          <w:sz w:val="20"/>
          <w:szCs w:val="20"/>
          <w:color w:val="auto"/>
        </w:rPr>
      </w:pPr>
    </w:p>
    <w:p>
      <w:pPr>
        <w:jc w:val="both"/>
        <w:ind w:firstLine="486"/>
        <w:spacing w:after="0" w:line="279" w:lineRule="auto"/>
        <w:rPr>
          <w:sz w:val="20"/>
          <w:szCs w:val="20"/>
          <w:color w:val="auto"/>
        </w:rPr>
      </w:pPr>
      <w:r>
        <w:rPr>
          <w:rFonts w:ascii="Arial" w:cs="Arial" w:eastAsia="Arial" w:hAnsi="Arial"/>
          <w:sz w:val="17"/>
          <w:szCs w:val="17"/>
          <w:color w:val="auto"/>
        </w:rPr>
        <w:t>The costs to respond to a security breach and/or mitigate any security vulnerabilities that may be identified could be significant, our efforts to address these problems may not be successful, and these problems could result in unexpected interruptions, delays, cessation of service, negative publicity, and other harm to our business and our competitive position. We could be required to fundamentally change our business activities and practices in response to a security breach or related regulatory actions or litigation, which could have an adverse effect on our business.</w:t>
      </w:r>
    </w:p>
    <w:p>
      <w:pPr>
        <w:spacing w:after="0" w:line="171" w:lineRule="exact"/>
        <w:rPr>
          <w:sz w:val="20"/>
          <w:szCs w:val="20"/>
          <w:color w:val="auto"/>
        </w:rPr>
      </w:pPr>
    </w:p>
    <w:p>
      <w:pPr>
        <w:jc w:val="both"/>
        <w:ind w:firstLine="486"/>
        <w:spacing w:after="0" w:line="289" w:lineRule="auto"/>
        <w:rPr>
          <w:sz w:val="20"/>
          <w:szCs w:val="20"/>
          <w:color w:val="auto"/>
        </w:rPr>
      </w:pPr>
      <w:r>
        <w:rPr>
          <w:rFonts w:ascii="Arial" w:cs="Arial" w:eastAsia="Arial" w:hAnsi="Arial"/>
          <w:sz w:val="16"/>
          <w:szCs w:val="16"/>
          <w:color w:val="auto"/>
        </w:rPr>
        <w:t>Additionally, we cannot be certain that our insurance coverage will be adequate for fines, judgments, settlements, penalties, costs, attorney fees and other impacts that arise out of privacy or security incidents or breaches. If the impacts of a privacy or security incident or breach, or the successful assertion of one or more large claims against us that exceeds our available insurance coverage, or results in changes to our insurance policies (including premium increases or the imposition of large deductible or co-insurance requirements), it could have an adverse effect on our business. In addition, we cannot be sure that our existing insurance coverage, cyber coverage and coverage for errors and omissions will continue to be available on acceptable terms or that our insurers will not deny coverage as to any future claim. The successful assertion of one or more large claims against us that exceed available insurance coverage, or the occurrence of changes in our insurance policies, including premium increases or the imposition of large deductible or co-insurance requirements, could adversely affect our reputation, business, financial condition and results of operations. Our risks are likely to increase as we continue to expand, grow our customer base, and process, store, and transmit increasingly large amounts of proprietary and sensitive data.</w:t>
      </w: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13" w:right="339" w:bottom="1440" w:gutter="0" w:footer="0" w:header="0"/>
        </w:sectPr>
      </w:pPr>
    </w:p>
    <w:bookmarkStart w:id="42" w:name="page43"/>
    <w:bookmarkEnd w:id="42"/>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Interruptions or performance problems associated with our products and platform capabilities may adversely affect our business, financial condition and results of operations.</w:t>
      </w:r>
    </w:p>
    <w:p>
      <w:pPr>
        <w:spacing w:after="0" w:line="170" w:lineRule="exact"/>
        <w:rPr>
          <w:sz w:val="20"/>
          <w:szCs w:val="20"/>
          <w:color w:val="auto"/>
        </w:rPr>
      </w:pPr>
    </w:p>
    <w:p>
      <w:pPr>
        <w:jc w:val="both"/>
        <w:ind w:firstLine="486"/>
        <w:spacing w:after="0" w:line="255" w:lineRule="auto"/>
        <w:rPr>
          <w:sz w:val="20"/>
          <w:szCs w:val="20"/>
          <w:color w:val="auto"/>
        </w:rPr>
      </w:pPr>
      <w:r>
        <w:rPr>
          <w:rFonts w:ascii="Arial" w:cs="Arial" w:eastAsia="Arial" w:hAnsi="Arial"/>
          <w:sz w:val="18"/>
          <w:szCs w:val="18"/>
          <w:color w:val="auto"/>
        </w:rPr>
        <w:t>Our continued growth depends in part on the ability of our existing and potential customers to access our products and platform capabilities at any time and within an acceptable amount of time. We have experienced, and may in the future experience, disruptions, outages, and other performance problems due to a variety of factors, including infrastructure changes, introductions of new functionality, human or software errors, capacity constraints due to an overwhelming number of users accessing our products and platform capabilities simultaneously, denial of service attacks, or other security-related incidents. For example, in March 2023, our platform experienced widespread outages across multiple products and regions, which was substantially resolved in approximately a day.</w:t>
      </w:r>
    </w:p>
    <w:p>
      <w:pPr>
        <w:spacing w:after="0" w:line="192" w:lineRule="exact"/>
        <w:rPr>
          <w:sz w:val="20"/>
          <w:szCs w:val="20"/>
          <w:color w:val="auto"/>
        </w:rPr>
      </w:pPr>
    </w:p>
    <w:p>
      <w:pPr>
        <w:jc w:val="both"/>
        <w:ind w:firstLine="486"/>
        <w:spacing w:after="0" w:line="254" w:lineRule="auto"/>
        <w:rPr>
          <w:sz w:val="20"/>
          <w:szCs w:val="20"/>
          <w:color w:val="auto"/>
        </w:rPr>
      </w:pPr>
      <w:r>
        <w:rPr>
          <w:rFonts w:ascii="Arial" w:cs="Arial" w:eastAsia="Arial" w:hAnsi="Arial"/>
          <w:sz w:val="18"/>
          <w:szCs w:val="18"/>
          <w:color w:val="auto"/>
        </w:rPr>
        <w:t>It may become increasingly difficult to maintain and improve our performance, especially during peak usage times and as our products and platform capabilities become more complex and our user traffic increases. If our products and platform capabilities are unavailable or if our users are unable to access our products and platform capabilities within a reasonable amount of time or at all, we may experience a loss of customers, lost or delayed market acceptance of our platform and products, delays in payment to us by customers, injury to our reputation and brand, legal claims against us, and the diversion of our resources. In addition, to the extent that we do not effectively address capacity constraints, upgrade our systems as needed and continually develop our technology and network architecture to accommodate actual and anticipated changes in technology, our business, financial condition and results of operations may be adversely affected.</w:t>
      </w:r>
    </w:p>
    <w:p>
      <w:pPr>
        <w:spacing w:after="0" w:line="222"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b w:val="1"/>
          <w:bCs w:val="1"/>
          <w:i w:val="1"/>
          <w:iCs w:val="1"/>
          <w:color w:val="auto"/>
        </w:rPr>
        <w:t>We may not be able to successfully manage our growth, and if we are not able to grow efficiently, our business, financial condition and results of operations could be harmed.</w:t>
      </w:r>
    </w:p>
    <w:p>
      <w:pPr>
        <w:spacing w:after="0" w:line="170" w:lineRule="exact"/>
        <w:rPr>
          <w:sz w:val="20"/>
          <w:szCs w:val="20"/>
          <w:color w:val="auto"/>
        </w:rPr>
      </w:pPr>
    </w:p>
    <w:p>
      <w:pPr>
        <w:jc w:val="both"/>
        <w:ind w:firstLine="486"/>
        <w:spacing w:after="0" w:line="289" w:lineRule="auto"/>
        <w:rPr>
          <w:sz w:val="20"/>
          <w:szCs w:val="20"/>
          <w:color w:val="auto"/>
        </w:rPr>
      </w:pPr>
      <w:r>
        <w:rPr>
          <w:rFonts w:ascii="Arial" w:cs="Arial" w:eastAsia="Arial" w:hAnsi="Arial"/>
          <w:sz w:val="16"/>
          <w:szCs w:val="16"/>
          <w:color w:val="auto"/>
        </w:rPr>
        <w:t>As usage of our platform capabilities grow, we will need to devote additional resources to improving and maintaining our infrastructure and integrating with third-party applications. In addition, we will need to appropriately scale our internal business systems and our services organization, including customer support and professional services, to serve our growing customer base. Any failure of or delay in these efforts could result in impaired system performance and reduced customer satisfaction, resulting in decreased sales to new customers, lower dollar-based net retention rates or, the issuance of service credits or requested refunds, which would hurt our revenue growth and our reputation. Further, any failure in optimizing our spend on third-party cloud services as we scale could negatively impact our gross margins. Even if we are successful in our expansion efforts, they will be expensive and complex, and require the dedication of significant management time and attention. We could also face inefficiencies or service disruptions as a result of our efforts to scale our internal infrastructure. We cannot be sure that the expansion of and improvements to our internal infrastructure will be effectively implemented on a timely basis, if at all, and such failures could harm our business, financial condition and results of operations.</w:t>
      </w:r>
    </w:p>
    <w:p>
      <w:pPr>
        <w:spacing w:after="0" w:line="166" w:lineRule="exact"/>
        <w:rPr>
          <w:sz w:val="20"/>
          <w:szCs w:val="20"/>
          <w:color w:val="auto"/>
        </w:rPr>
      </w:pPr>
    </w:p>
    <w:p>
      <w:pPr>
        <w:jc w:val="both"/>
        <w:spacing w:after="0" w:line="342" w:lineRule="auto"/>
        <w:rPr>
          <w:sz w:val="20"/>
          <w:szCs w:val="20"/>
          <w:color w:val="auto"/>
        </w:rPr>
      </w:pPr>
      <w:r>
        <w:rPr>
          <w:rFonts w:ascii="Arial" w:cs="Arial" w:eastAsia="Arial" w:hAnsi="Arial"/>
          <w:sz w:val="16"/>
          <w:szCs w:val="16"/>
          <w:b w:val="1"/>
          <w:bCs w:val="1"/>
          <w:i w:val="1"/>
          <w:iCs w:val="1"/>
          <w:color w:val="auto"/>
        </w:rPr>
        <w:t>We rely upon third-party providers of cloud-based infrastructure to host our products. Any disruption in the operations of these third-party providers, limitations on capacity or interference with our use could adversely affect our business, financial condition and results of operations.</w:t>
      </w:r>
    </w:p>
    <w:p>
      <w:pPr>
        <w:spacing w:after="0" w:line="124" w:lineRule="exact"/>
        <w:rPr>
          <w:sz w:val="20"/>
          <w:szCs w:val="20"/>
          <w:color w:val="auto"/>
        </w:rPr>
      </w:pPr>
    </w:p>
    <w:p>
      <w:pPr>
        <w:jc w:val="both"/>
        <w:ind w:firstLine="486"/>
        <w:spacing w:after="0" w:line="287" w:lineRule="auto"/>
        <w:rPr>
          <w:sz w:val="20"/>
          <w:szCs w:val="20"/>
          <w:color w:val="auto"/>
        </w:rPr>
      </w:pPr>
      <w:r>
        <w:rPr>
          <w:rFonts w:ascii="Arial" w:cs="Arial" w:eastAsia="Arial" w:hAnsi="Arial"/>
          <w:sz w:val="16"/>
          <w:szCs w:val="16"/>
          <w:color w:val="auto"/>
        </w:rPr>
        <w:t>We outsource substantially all of the infrastructure relating to our cloud solution to third-party hosting services. Customers of our cloud-based products need to be able to access our platform at any time, without interruption or degradation of performance, and we provide them with service-level commitments with respect to uptime. Our cloud-based products depend on protecting the virtual cloud infrastructure hosted by third-party hosting services by maintaining its configuration, architecture, features and interconnection specifications, as well as the information stored in these virtual data centers, which is transmitted by third-party internet service providers. Any limitation on the capacity of our third-party hosting services could impede our ability to onboard new customers or expand the usage of our existing customers, which could adversely affect our business, financial condition and results of operations. In addition, any incident affecting our third-party hosting services’ infrastructure that may be caused by cyber-attacks, natural disasters, fire, flood, severe storm, earthquake, power loss, telecommunications failures, outbreaks of contagious diseases, terrorist or other attacks, and other similar events beyond our control could negatively affect our cloud-based products. A prolonged service disruption affecting our cloud-based solution for any of the foregoing reasons would negatively impact our ability to serve our customers and could damage our reputation with current and potential customers, expose us to liability, cause us to lose customers or otherwise harm our business. We may also incur significant costs for using alternative equipment or taking other actions in preparation for, or in reaction to, events that damage the third-party hosting services we use.</w:t>
      </w:r>
    </w:p>
    <w:p>
      <w:pPr>
        <w:spacing w:after="0" w:line="168"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In the event that our service agreements with our third-party hosting services are terminated, or there is a lapse of service, elimination of services or features that we utilize, interruption of internet service provider connectivity or damage to such facilities, we could experience interruptions in access to our platform as well as significant delays and additional expense</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13" w:right="339" w:bottom="1440" w:gutter="0" w:footer="0" w:header="0"/>
        </w:sectPr>
      </w:pPr>
    </w:p>
    <w:bookmarkStart w:id="43" w:name="page44"/>
    <w:bookmarkEnd w:id="43"/>
    <w:p>
      <w:pPr>
        <w:jc w:val="both"/>
        <w:spacing w:after="0" w:line="277" w:lineRule="auto"/>
        <w:rPr>
          <w:sz w:val="20"/>
          <w:szCs w:val="20"/>
          <w:color w:val="auto"/>
        </w:rPr>
      </w:pPr>
      <w:r>
        <w:rPr>
          <w:rFonts w:ascii="Arial" w:cs="Arial" w:eastAsia="Arial" w:hAnsi="Arial"/>
          <w:sz w:val="18"/>
          <w:szCs w:val="18"/>
          <w:color w:val="auto"/>
        </w:rPr>
        <w:t>in arranging or creating new facilities and services and/or re-architecting our cloud solution for deployment on a different cloud infrastructure service provider, which could adversely affect our business, financial condition and results of operations.</w:t>
      </w:r>
    </w:p>
    <w:p>
      <w:pPr>
        <w:spacing w:after="0" w:line="170"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b w:val="1"/>
          <w:bCs w:val="1"/>
          <w:i w:val="1"/>
          <w:iCs w:val="1"/>
          <w:color w:val="auto"/>
        </w:rPr>
        <w:t>We offer free trials and a free tier of our platform to drive developer awareness of our products, and encourage usage and adoption. If these marketing strategies fail to lead to customers purchasing paid subscriptions, our ability to grow our revenue will be adversely affected.</w:t>
      </w:r>
    </w:p>
    <w:p>
      <w:pPr>
        <w:spacing w:after="0" w:line="124" w:lineRule="exact"/>
        <w:rPr>
          <w:sz w:val="20"/>
          <w:szCs w:val="20"/>
          <w:color w:val="auto"/>
        </w:rPr>
      </w:pPr>
    </w:p>
    <w:p>
      <w:pPr>
        <w:jc w:val="both"/>
        <w:ind w:firstLine="486"/>
        <w:spacing w:after="0" w:line="301" w:lineRule="auto"/>
        <w:rPr>
          <w:sz w:val="20"/>
          <w:szCs w:val="20"/>
          <w:color w:val="auto"/>
        </w:rPr>
      </w:pPr>
      <w:r>
        <w:rPr>
          <w:rFonts w:ascii="Arial" w:cs="Arial" w:eastAsia="Arial" w:hAnsi="Arial"/>
          <w:sz w:val="16"/>
          <w:szCs w:val="16"/>
          <w:color w:val="auto"/>
        </w:rPr>
        <w:t>To encourage awareness, usage, familiarity and adoption of our platform and products, we offer free trials and a free tier of our platform. These strategies may not be successful in leading customers to purchase our products. Many users of our free tier may not lead to others within their organization purchasing and deploying our platform and products. To the extent that users do not become, or we are unable to successfully attract paying customers, we will not realize the intended benefits of these marketing strategies and our ability to grow our revenue will be adversely affected.</w:t>
      </w:r>
    </w:p>
    <w:p>
      <w:pPr>
        <w:spacing w:after="0" w:line="15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We expect fluctuations in our financial results, making it difficult to project future results, and if we fail to meet the expectations of securities analysts or investors with respect to our results of operations, our stock price could decline.</w:t>
      </w:r>
    </w:p>
    <w:p>
      <w:pPr>
        <w:spacing w:after="0" w:line="170"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Our results of operations have fluctuated in the past and are expected to fluctuate in the future due to a variety of factors, many of which are outside of our control. As a result, our past results may not be indicative of our future performance. In addition to the other risks described herein, factors that may affect our results of operations include the following:</w:t>
      </w:r>
    </w:p>
    <w:p>
      <w:pPr>
        <w:spacing w:after="0" w:line="76" w:lineRule="exact"/>
        <w:rPr>
          <w:sz w:val="20"/>
          <w:szCs w:val="20"/>
          <w:color w:val="auto"/>
        </w:rPr>
      </w:pPr>
    </w:p>
    <w:p>
      <w:pPr>
        <w:ind w:left="980" w:hanging="486"/>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fluctuations in demand for or pricing of our platform and products;</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fluctuations in usage of our platform and products;</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ability to attract new customers;</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ability to retain our existing customers;</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customer expansion rates and the pricing and quantity of subscriptions renewed;</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pricing of subscriptions from customers in our cloud-provider marketplaces;</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timing and amount of our investments to expand the capacity of our third-party cloud infrastructure providers;</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seasonality driven by industry conferences;</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investment in new products and features relative to investments in our existing infrastructure and products;</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timing of our customer purchases;</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fluctuations or delays in purchasing decisions in anticipation of new products or enhancements by us or our competitors;</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changes in customers’ budgets and in the timing of their budget cycles and purchasing decisions;</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ability to control costs, including our operating expenses;</w:t>
      </w:r>
    </w:p>
    <w:p>
      <w:pPr>
        <w:spacing w:after="0" w:line="117" w:lineRule="exact"/>
        <w:rPr>
          <w:rFonts w:ascii="Arial" w:cs="Arial" w:eastAsia="Arial" w:hAnsi="Arial"/>
          <w:sz w:val="18"/>
          <w:szCs w:val="18"/>
          <w:color w:val="auto"/>
        </w:rPr>
      </w:pPr>
    </w:p>
    <w:p>
      <w:pPr>
        <w:ind w:left="980" w:hanging="486"/>
        <w:spacing w:after="0" w:line="277" w:lineRule="auto"/>
        <w:tabs>
          <w:tab w:leader="none" w:pos="975"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amount and timing of payment for operating expenses, particularly research and development and sales and marketing expenses, including commissions;</w:t>
      </w:r>
    </w:p>
    <w:p>
      <w:pPr>
        <w:spacing w:after="0" w:line="62" w:lineRule="exact"/>
        <w:rPr>
          <w:rFonts w:ascii="Arial" w:cs="Arial" w:eastAsia="Arial" w:hAnsi="Arial"/>
          <w:sz w:val="18"/>
          <w:szCs w:val="18"/>
          <w:color w:val="auto"/>
        </w:rPr>
      </w:pPr>
    </w:p>
    <w:p>
      <w:pPr>
        <w:ind w:left="980" w:hanging="486"/>
        <w:spacing w:after="0"/>
        <w:tabs>
          <w:tab w:leader="none" w:pos="980" w:val="left"/>
        </w:tabs>
        <w:numPr>
          <w:ilvl w:val="0"/>
          <w:numId w:val="14"/>
        </w:numPr>
        <w:rPr>
          <w:rFonts w:ascii="Arial" w:cs="Arial" w:eastAsia="Arial" w:hAnsi="Arial"/>
          <w:sz w:val="17"/>
          <w:szCs w:val="17"/>
          <w:color w:val="auto"/>
        </w:rPr>
      </w:pPr>
      <w:r>
        <w:rPr>
          <w:rFonts w:ascii="Arial" w:cs="Arial" w:eastAsia="Arial" w:hAnsi="Arial"/>
          <w:sz w:val="17"/>
          <w:szCs w:val="17"/>
          <w:color w:val="auto"/>
        </w:rPr>
        <w:t>the amount and timing of non-cash expenses, including stock-based compensation, goodwill impairments and other non-cash charges;</w:t>
      </w:r>
    </w:p>
    <w:p>
      <w:pPr>
        <w:spacing w:after="0" w:line="128" w:lineRule="exact"/>
        <w:rPr>
          <w:rFonts w:ascii="Arial" w:cs="Arial" w:eastAsia="Arial" w:hAnsi="Arial"/>
          <w:sz w:val="17"/>
          <w:szCs w:val="17"/>
          <w:color w:val="auto"/>
        </w:rPr>
      </w:pPr>
    </w:p>
    <w:p>
      <w:pPr>
        <w:ind w:left="980" w:hanging="486"/>
        <w:spacing w:after="0" w:line="277" w:lineRule="auto"/>
        <w:tabs>
          <w:tab w:leader="none" w:pos="975"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amount and timing of costs associated with recruiting, training and integrating new employees and retaining and motivating existing employees;</w:t>
      </w:r>
    </w:p>
    <w:p>
      <w:pPr>
        <w:spacing w:after="0" w:line="62" w:lineRule="exact"/>
        <w:rPr>
          <w:rFonts w:ascii="Arial" w:cs="Arial" w:eastAsia="Arial" w:hAnsi="Arial"/>
          <w:sz w:val="18"/>
          <w:szCs w:val="18"/>
          <w:color w:val="auto"/>
        </w:rPr>
      </w:pPr>
    </w:p>
    <w:p>
      <w:pPr>
        <w:ind w:left="980" w:hanging="486"/>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effects of acquisitions and their integration;</w:t>
      </w:r>
    </w:p>
    <w:p>
      <w:pPr>
        <w:spacing w:after="0" w:line="117" w:lineRule="exact"/>
        <w:rPr>
          <w:rFonts w:ascii="Arial" w:cs="Arial" w:eastAsia="Arial" w:hAnsi="Arial"/>
          <w:sz w:val="18"/>
          <w:szCs w:val="18"/>
          <w:color w:val="auto"/>
        </w:rPr>
      </w:pPr>
    </w:p>
    <w:p>
      <w:pPr>
        <w:ind w:left="980" w:hanging="486"/>
        <w:spacing w:after="0" w:line="342" w:lineRule="auto"/>
        <w:tabs>
          <w:tab w:leader="none" w:pos="975" w:val="left"/>
        </w:tabs>
        <w:numPr>
          <w:ilvl w:val="0"/>
          <w:numId w:val="14"/>
        </w:numPr>
        <w:rPr>
          <w:rFonts w:ascii="Arial" w:cs="Arial" w:eastAsia="Arial" w:hAnsi="Arial"/>
          <w:sz w:val="16"/>
          <w:szCs w:val="16"/>
          <w:color w:val="auto"/>
        </w:rPr>
      </w:pPr>
      <w:r>
        <w:rPr>
          <w:rFonts w:ascii="Arial" w:cs="Arial" w:eastAsia="Arial" w:hAnsi="Arial"/>
          <w:sz w:val="16"/>
          <w:szCs w:val="16"/>
          <w:color w:val="auto"/>
        </w:rPr>
        <w:t>general economic conditions, both domestically and internationally, as well as economic conditions specifically affecting industries in which our customers participate, including those impacted by the COVID-19 pandemic, war in Ukraine and evolving conflict in Israel and Gaza;</w:t>
      </w:r>
    </w:p>
    <w:p>
      <w:pPr>
        <w:spacing w:after="0" w:line="15" w:lineRule="exact"/>
        <w:rPr>
          <w:rFonts w:ascii="Arial" w:cs="Arial" w:eastAsia="Arial" w:hAnsi="Arial"/>
          <w:sz w:val="16"/>
          <w:szCs w:val="16"/>
          <w:color w:val="auto"/>
        </w:rPr>
      </w:pPr>
    </w:p>
    <w:p>
      <w:pPr>
        <w:ind w:left="980" w:hanging="486"/>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effect of other economic factors, including inflation, pricing and currency fluctuations;</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impact of new accounting pronouncements;</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14"/>
        </w:numPr>
        <w:rPr>
          <w:rFonts w:ascii="Arial" w:cs="Arial" w:eastAsia="Arial" w:hAnsi="Arial"/>
          <w:sz w:val="17"/>
          <w:szCs w:val="17"/>
          <w:color w:val="auto"/>
        </w:rPr>
      </w:pPr>
      <w:r>
        <w:rPr>
          <w:rFonts w:ascii="Arial" w:cs="Arial" w:eastAsia="Arial" w:hAnsi="Arial"/>
          <w:sz w:val="17"/>
          <w:szCs w:val="17"/>
          <w:color w:val="auto"/>
        </w:rPr>
        <w:t>changes in regulatory or legal environments that may cause us to incur, among other elements, expenses associated with compliance;</w:t>
      </w:r>
    </w:p>
    <w:p>
      <w:pPr>
        <w:spacing w:after="0" w:line="128" w:lineRule="exact"/>
        <w:rPr>
          <w:rFonts w:ascii="Arial" w:cs="Arial" w:eastAsia="Arial" w:hAnsi="Arial"/>
          <w:sz w:val="17"/>
          <w:szCs w:val="17"/>
          <w:color w:val="auto"/>
        </w:rPr>
      </w:pPr>
    </w:p>
    <w:p>
      <w:pPr>
        <w:ind w:left="980" w:hanging="486"/>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changes in the competitive dynamics of our market, including consolidation among competitors or customers; and</w:t>
      </w:r>
    </w:p>
    <w:p>
      <w:pPr>
        <w:sectPr>
          <w:pgSz w:w="11900" w:h="16838" w:orient="portrait"/>
          <w:cols w:equalWidth="0" w:num="1">
            <w:col w:w="11240"/>
          </w:cols>
          <w:pgMar w:left="320" w:top="1313" w:right="339" w:bottom="1440" w:gutter="0" w:footer="0" w:header="0"/>
        </w:sectPr>
      </w:pP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13" w:right="339" w:bottom="1440" w:gutter="0" w:footer="0" w:header="0"/>
          <w:type w:val="continuous"/>
        </w:sectPr>
      </w:pPr>
    </w:p>
    <w:bookmarkStart w:id="44" w:name="page45"/>
    <w:bookmarkEnd w:id="44"/>
    <w:p>
      <w:pPr>
        <w:ind w:left="980" w:hanging="486"/>
        <w:spacing w:after="0"/>
        <w:tabs>
          <w:tab w:leader="none" w:pos="980" w:val="left"/>
        </w:tabs>
        <w:numPr>
          <w:ilvl w:val="0"/>
          <w:numId w:val="15"/>
        </w:numPr>
        <w:rPr>
          <w:rFonts w:ascii="Arial" w:cs="Arial" w:eastAsia="Arial" w:hAnsi="Arial"/>
          <w:sz w:val="16"/>
          <w:szCs w:val="16"/>
          <w:color w:val="auto"/>
        </w:rPr>
      </w:pPr>
      <w:r>
        <w:rPr>
          <w:rFonts w:ascii="Arial" w:cs="Arial" w:eastAsia="Arial" w:hAnsi="Arial"/>
          <w:sz w:val="16"/>
          <w:szCs w:val="16"/>
          <w:color w:val="auto"/>
        </w:rPr>
        <w:t>significant security breaches of, technical difficulties with, or interruptions to, the delivery and use of our products and platform capabilities.</w:t>
      </w:r>
    </w:p>
    <w:p>
      <w:pPr>
        <w:spacing w:after="0" w:line="248" w:lineRule="exact"/>
        <w:rPr>
          <w:sz w:val="20"/>
          <w:szCs w:val="20"/>
          <w:color w:val="auto"/>
        </w:rPr>
      </w:pPr>
    </w:p>
    <w:p>
      <w:pPr>
        <w:jc w:val="both"/>
        <w:ind w:firstLine="486"/>
        <w:spacing w:after="0" w:line="271" w:lineRule="auto"/>
        <w:rPr>
          <w:sz w:val="20"/>
          <w:szCs w:val="20"/>
          <w:color w:val="auto"/>
        </w:rPr>
      </w:pPr>
      <w:r>
        <w:rPr>
          <w:rFonts w:ascii="Arial" w:cs="Arial" w:eastAsia="Arial" w:hAnsi="Arial"/>
          <w:sz w:val="17"/>
          <w:szCs w:val="17"/>
          <w:color w:val="auto"/>
        </w:rPr>
        <w:t>The global economy, including credit and financial markets, has experienced extreme volatility and disruptions, including severely diminished liquidity and credit availability, declines in consumer confidence, declines in economic growth, increases in unemployment rates, increases in inflation rates, higher interest rates and uncertainty about economic stability. For example, the COVID-19 pandemic resulted in widespread unemployment, economic slowdown and extreme volatility in the capital markets. The ongoing military conflict between Russia and Ukraine has also created extreme volatility in the global capital markets and is expected to have further global economic consequences. Any such volatility and disruptions may have adverse consequences on us or the third parties on whom we rely. If the equity and credit markets deteriorate, or do not improve, including as a result of political unrest or war, it may make any necessary debt or equity financing more difficult to obtain in a timely manner or on favorable terms, more costly or more dilutive. Increased inflation rates can adversely affect us by increasing our costs, including personnel costs.</w:t>
      </w:r>
    </w:p>
    <w:p>
      <w:pPr>
        <w:spacing w:after="0" w:line="178"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Any of these and other factors, or the cumulative effect of some of these factors, may cause our results of operations to vary significantly. If our quarterly results of operations fall below the expectations of investors and securities analysts who follow our stock, the price of our Class A common stock could decline substantially, and we could face costly lawsuits, including securities class action suits.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Seasonality may cause fluctuations in our sales and results of operations.</w:t>
      </w:r>
    </w:p>
    <w:p>
      <w:pPr>
        <w:spacing w:after="0" w:line="225" w:lineRule="exact"/>
        <w:rPr>
          <w:sz w:val="20"/>
          <w:szCs w:val="20"/>
          <w:color w:val="auto"/>
        </w:rPr>
      </w:pPr>
    </w:p>
    <w:p>
      <w:pPr>
        <w:jc w:val="both"/>
        <w:ind w:firstLine="486"/>
        <w:spacing w:after="0" w:line="301" w:lineRule="auto"/>
        <w:rPr>
          <w:sz w:val="20"/>
          <w:szCs w:val="20"/>
          <w:color w:val="auto"/>
        </w:rPr>
      </w:pPr>
      <w:r>
        <w:rPr>
          <w:rFonts w:ascii="Arial" w:cs="Arial" w:eastAsia="Arial" w:hAnsi="Arial"/>
          <w:sz w:val="16"/>
          <w:szCs w:val="16"/>
          <w:color w:val="auto"/>
        </w:rPr>
        <w:t>Historically, we have experienced seasonality in new customer bookings, as we typically enter into a higher percentage of subscription agreements with new customers and renewals with existing customers in the fourth quarter of the year. We believe that this results from the procurement, budgeting, and deployment cycles of many of our customers, particularly our enterprise customers. We expect that this seasonality will continue to affect our bookings and our results of operations in the future, and might become more pronounced as we continue to target larger enterprise customers.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Downturns or upturns in our sales may not be immediately reflected in our financial position and results of operations.</w:t>
      </w:r>
    </w:p>
    <w:p>
      <w:pPr>
        <w:spacing w:after="0" w:line="225" w:lineRule="exact"/>
        <w:rPr>
          <w:sz w:val="20"/>
          <w:szCs w:val="20"/>
          <w:color w:val="auto"/>
        </w:rPr>
      </w:pPr>
    </w:p>
    <w:p>
      <w:pPr>
        <w:jc w:val="both"/>
        <w:ind w:firstLine="486"/>
        <w:spacing w:after="0" w:line="273" w:lineRule="auto"/>
        <w:rPr>
          <w:sz w:val="20"/>
          <w:szCs w:val="20"/>
          <w:color w:val="auto"/>
        </w:rPr>
      </w:pPr>
      <w:r>
        <w:rPr>
          <w:rFonts w:ascii="Arial" w:cs="Arial" w:eastAsia="Arial" w:hAnsi="Arial"/>
          <w:sz w:val="17"/>
          <w:szCs w:val="17"/>
          <w:color w:val="auto"/>
        </w:rPr>
        <w:t>Because we recognize a large portion of our revenue ratably over the term of the subscription agreement, any decreases in new subscriptions or renewals in any one period may not be immediately reflected as a decrease in revenue for that period, but could negatively affect our revenue in future quarters. This also makes it difficult for us to rapidly increase our revenue through the sale of additional subscriptions in any period, as revenue is recognized over the term of the subscription agreement. In addition, fluctuations in monthly subscriptions based on usage could affect our revenue on a period-over-period basis. If our quarterly results of operations fall below the expectations of investors and securities analysts who follow our stock, the price of our Class A common stock would decline substantially, and we could face costly lawsuits, including securities class actions.</w:t>
      </w:r>
    </w:p>
    <w:p>
      <w:pPr>
        <w:spacing w:after="0" w:line="17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target enterprise customers, and sales to these customers involve risks that may not be present or that are present to a lesser extent with sales to smaller entities.</w:t>
      </w:r>
    </w:p>
    <w:p>
      <w:pPr>
        <w:spacing w:after="0" w:line="170" w:lineRule="exact"/>
        <w:rPr>
          <w:sz w:val="20"/>
          <w:szCs w:val="20"/>
          <w:color w:val="auto"/>
        </w:rPr>
      </w:pPr>
    </w:p>
    <w:p>
      <w:pPr>
        <w:jc w:val="both"/>
        <w:ind w:firstLine="486"/>
        <w:spacing w:after="0" w:line="269" w:lineRule="auto"/>
        <w:rPr>
          <w:sz w:val="20"/>
          <w:szCs w:val="20"/>
          <w:color w:val="auto"/>
        </w:rPr>
      </w:pPr>
      <w:r>
        <w:rPr>
          <w:rFonts w:ascii="Arial" w:cs="Arial" w:eastAsia="Arial" w:hAnsi="Arial"/>
          <w:sz w:val="17"/>
          <w:szCs w:val="17"/>
          <w:color w:val="auto"/>
        </w:rPr>
        <w:t>We have a field sales team that targets enterprise customers. Sales to large customers involve risks that may not be present or that are present to a lesser extent with sales to smaller entities, such as longer sales cycles, more complex customer requirements, substantial upfront sales costs, and less predictability in completing some of our sales. For example, enterprise customers may require considerable time to evaluate and test our solutions and those of our competitors prior to making a purchase decision and placing an order. A number of factors influence the length and variability of our sales cycle, including the need to educate potential customers about the uses and benefits of our solutions, the discretionary nature of purchasing and budget cycles, and the competitive nature of evaluation and purchasing approval processes. As a result, the length of our sales cycle, from identification of the opportunity to deal closure, may vary significantly from customer to customer, with sales to large enterprises typically taking longer to complete. Moreover, large enterprise customers often begin to deploy our products on a limited basis, but nevertheless demand configuration, integration services and pricing negotiations, which increase our upfront investment in the sales effort with no guarantee that these customers will deploy our products widely enough across their organization to justify our substantial upfront investment.</w:t>
      </w:r>
    </w:p>
    <w:p>
      <w:pPr>
        <w:spacing w:after="0" w:line="18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If we fail to retain and motivate members of our management team or other key employees, or fail to attract additional qualified personnel to support our operations, our business and future growth prospects would be harmed.</w:t>
      </w:r>
    </w:p>
    <w:p>
      <w:pPr>
        <w:spacing w:after="0" w:line="170"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Our success and future growth depend largely upon the continued services of our executive officers, particularly Olivier Pomel, our co-founder and Chief Executive Officer, Alexis Lê-Quôc, our co-founder and Chief Technology Officer, and David Obstler, our Chief Financial Officer, as well as our other key employees in the areas of research and development and sales and</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5" w:right="339" w:bottom="1440" w:gutter="0" w:footer="0" w:header="0"/>
        </w:sectPr>
      </w:pPr>
    </w:p>
    <w:bookmarkStart w:id="45" w:name="page46"/>
    <w:bookmarkEnd w:id="45"/>
    <w:p>
      <w:pPr>
        <w:jc w:val="both"/>
        <w:spacing w:after="0" w:line="257" w:lineRule="auto"/>
        <w:rPr>
          <w:sz w:val="20"/>
          <w:szCs w:val="20"/>
          <w:color w:val="auto"/>
        </w:rPr>
      </w:pPr>
      <w:r>
        <w:rPr>
          <w:rFonts w:ascii="Arial" w:cs="Arial" w:eastAsia="Arial" w:hAnsi="Arial"/>
          <w:sz w:val="18"/>
          <w:szCs w:val="18"/>
          <w:color w:val="auto"/>
        </w:rPr>
        <w:t>marketing functions. From time to time, there may be changes in our executive management team or other key employees resulting from the hiring or departure of these personnel. Our executive officers and other key employees are employed on an at-will basis, which means that these personnel could terminate their employment with us at any time. The loss of one or more of our executive officers, or the failure by our executive team to effectively work with our employees and lead our company, could harm our business. We also are dependent on the continued service of our existing software engineers because of the complexity of our products and platform capabilities.</w:t>
      </w:r>
    </w:p>
    <w:p>
      <w:pPr>
        <w:spacing w:after="0" w:line="188" w:lineRule="exact"/>
        <w:rPr>
          <w:sz w:val="20"/>
          <w:szCs w:val="20"/>
          <w:color w:val="auto"/>
        </w:rPr>
      </w:pPr>
    </w:p>
    <w:p>
      <w:pPr>
        <w:jc w:val="both"/>
        <w:ind w:firstLine="486"/>
        <w:spacing w:after="0" w:line="288" w:lineRule="auto"/>
        <w:rPr>
          <w:sz w:val="20"/>
          <w:szCs w:val="20"/>
          <w:color w:val="auto"/>
        </w:rPr>
      </w:pPr>
      <w:r>
        <w:rPr>
          <w:rFonts w:ascii="Arial" w:cs="Arial" w:eastAsia="Arial" w:hAnsi="Arial"/>
          <w:sz w:val="16"/>
          <w:szCs w:val="16"/>
          <w:color w:val="auto"/>
        </w:rPr>
        <w:t>In addition, to execute our growth plan, we must attract and retain highly qualified personnel. Competition for these personnel is intense, especially for engineers experienced in designing and developing SaaS applications and experienced sales professionals. If we are unable to attract such personnel in cities where we are located, we may need to hire in other locations which may add to the complexity and costs of our business operations. We have experienced, and we expect to continue to experience, difficulty in hiring and retaining employees with appropriate qualifications. Many of the companies with which we compete for experienced personnel have greater resources than we have. If we hire employees from competitors or other companies, their former employers may attempt to assert that these employees or we have breached their legal obligations, resulting in a diversion of our time and resources. In addition, prospective and existing employees often consider the value of the equity awards they receive in connection with their employment. If the value or perceived value of our equity awards declines, experiences significant volatility, or increases such that prospective employees believe there is limited upside to the value of our equity awards, it may adversely affect our ability to recruit and retain key employees. If we fail to attract new personnel or fail to retain and motivate our current personnel, our business and future growth prospects would be harmed.</w:t>
      </w:r>
    </w:p>
    <w:p>
      <w:pPr>
        <w:spacing w:after="0" w:line="16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If we fail to maintain and enhance our brand, our ability to expand our customer base will be impaired and our business, financial condition and results of operations may suffer.</w:t>
      </w:r>
    </w:p>
    <w:p>
      <w:pPr>
        <w:spacing w:after="0" w:line="170" w:lineRule="exact"/>
        <w:rPr>
          <w:sz w:val="20"/>
          <w:szCs w:val="20"/>
          <w:color w:val="auto"/>
        </w:rPr>
      </w:pPr>
    </w:p>
    <w:p>
      <w:pPr>
        <w:jc w:val="both"/>
        <w:ind w:firstLine="486"/>
        <w:spacing w:after="0" w:line="271" w:lineRule="auto"/>
        <w:rPr>
          <w:sz w:val="20"/>
          <w:szCs w:val="20"/>
          <w:color w:val="auto"/>
        </w:rPr>
      </w:pPr>
      <w:r>
        <w:rPr>
          <w:rFonts w:ascii="Arial" w:cs="Arial" w:eastAsia="Arial" w:hAnsi="Arial"/>
          <w:sz w:val="17"/>
          <w:szCs w:val="17"/>
          <w:color w:val="auto"/>
        </w:rPr>
        <w:t>We believe that maintaining and enhancing the Datadog brand is important to support the marketing and sale of our existing and future products to new customers and expand sales of our platform and products to existing customers. We also believe that the importance of brand recognition will increase as competition in our market increases. Successfully maintaining and enhancing our brand will depend largely on the effectiveness of our marketing efforts, our ability to provide reliable products that continue to meet the needs of our customers at competitive prices, our ability to maintain our customers’ trust, our ability to continue to develop new functionality and use cases, and our ability to successfully differentiate our products and platform capabilities from competitive products. Our brand promotion activities may not generate customer awareness or yield increased revenue, and even if they do, any increased revenue may not offset the expenses we incur in building our brand. If we fail to successfully promote and maintain our brand, our business, financial condition and results of operations may suffer.</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cannot maintain our company culture as we grow, our success and our business and competitive position may be harmed.</w:t>
      </w:r>
    </w:p>
    <w:p>
      <w:pPr>
        <w:spacing w:after="0" w:line="225" w:lineRule="exact"/>
        <w:rPr>
          <w:sz w:val="20"/>
          <w:szCs w:val="20"/>
          <w:color w:val="auto"/>
        </w:rPr>
      </w:pPr>
    </w:p>
    <w:p>
      <w:pPr>
        <w:jc w:val="both"/>
        <w:ind w:firstLine="486"/>
        <w:spacing w:after="0" w:line="275" w:lineRule="auto"/>
        <w:rPr>
          <w:sz w:val="20"/>
          <w:szCs w:val="20"/>
          <w:color w:val="auto"/>
        </w:rPr>
      </w:pPr>
      <w:r>
        <w:rPr>
          <w:rFonts w:ascii="Arial" w:cs="Arial" w:eastAsia="Arial" w:hAnsi="Arial"/>
          <w:sz w:val="17"/>
          <w:szCs w:val="17"/>
          <w:color w:val="auto"/>
        </w:rPr>
        <w:t>We believe our culture has been a key contributor to our success to date and that the critical nature of the platform that we provide promotes a sense of greater purpose and fulfillment in our employees. Any failure to preserve our culture could negatively affect our ability to retain and recruit personnel, which is critical to our growth, and to effectively focus on and pursue our corporate objectives. As we continue to grow and expand globally, we may find it difficult to maintain these important aspects of our culture particularly given remote or hybrid work arrangements, which increased as a result of the COVID-19 pandemic. If we fail to maintain our company culture, our business and competitive position may be harmed.</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fail to offer high-quality support, our reputation could suffer.</w:t>
      </w:r>
    </w:p>
    <w:p>
      <w:pPr>
        <w:spacing w:after="0" w:line="225" w:lineRule="exact"/>
        <w:rPr>
          <w:sz w:val="20"/>
          <w:szCs w:val="20"/>
          <w:color w:val="auto"/>
        </w:rPr>
      </w:pPr>
    </w:p>
    <w:p>
      <w:pPr>
        <w:jc w:val="both"/>
        <w:ind w:firstLine="486"/>
        <w:spacing w:after="0" w:line="301" w:lineRule="auto"/>
        <w:rPr>
          <w:sz w:val="20"/>
          <w:szCs w:val="20"/>
          <w:color w:val="auto"/>
        </w:rPr>
      </w:pPr>
      <w:r>
        <w:rPr>
          <w:rFonts w:ascii="Arial" w:cs="Arial" w:eastAsia="Arial" w:hAnsi="Arial"/>
          <w:sz w:val="16"/>
          <w:szCs w:val="16"/>
          <w:color w:val="auto"/>
        </w:rPr>
        <w:t>Our customers rely on our customer support personnel to resolve issues and realize the full benefits that our platform provides. High-quality support is also important for the renewal and expansion of our subscriptions with existing customers. The importance of our support function will increase as we expand our business and pursue new customers. If we do not help our customers quickly resolve issues and provide effective ongoing support, our ability to maintain and expand our subscriptions to existing and new customers could suffer, and our reputation with existing or potential customers could suffer.</w:t>
      </w:r>
    </w:p>
    <w:p>
      <w:pPr>
        <w:spacing w:after="0" w:line="157" w:lineRule="exact"/>
        <w:rPr>
          <w:sz w:val="20"/>
          <w:szCs w:val="20"/>
          <w:color w:val="auto"/>
        </w:rPr>
      </w:pPr>
    </w:p>
    <w:p>
      <w:pPr>
        <w:jc w:val="both"/>
        <w:spacing w:after="0" w:line="342" w:lineRule="auto"/>
        <w:rPr>
          <w:sz w:val="20"/>
          <w:szCs w:val="20"/>
          <w:color w:val="auto"/>
        </w:rPr>
      </w:pPr>
      <w:r>
        <w:rPr>
          <w:rFonts w:ascii="Arial" w:cs="Arial" w:eastAsia="Arial" w:hAnsi="Arial"/>
          <w:sz w:val="16"/>
          <w:szCs w:val="16"/>
          <w:b w:val="1"/>
          <w:bCs w:val="1"/>
          <w:i w:val="1"/>
          <w:iCs w:val="1"/>
          <w:color w:val="auto"/>
        </w:rPr>
        <w:t>Acquisitions, strategic investments, partnerships, or alliances could be difficult to identify, pose integration challenges, divert the attention of management, disrupt our business, dilute stockholder value, and adversely affect our business, financial condition and results of operations.</w:t>
      </w:r>
    </w:p>
    <w:p>
      <w:pPr>
        <w:spacing w:after="0" w:line="124"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We have in the past and may in the future seek to acquire or invest in businesses, joint ventures, products and platform capabilities, or technologies that we believe could complement or expand our services and platform capabilities, enhance our technical capabilities, or otherwise offer growth opportunities. Any such acquisition or investment may divert the attention of management and cause us to incur various expenses in identifying, investigating and pursuing suitable opportunities, whether or</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13" w:right="339" w:bottom="1440" w:gutter="0" w:footer="0" w:header="0"/>
        </w:sectPr>
      </w:pPr>
    </w:p>
    <w:bookmarkStart w:id="46" w:name="page47"/>
    <w:bookmarkEnd w:id="46"/>
    <w:p>
      <w:pPr>
        <w:jc w:val="both"/>
        <w:spacing w:after="0" w:line="269" w:lineRule="auto"/>
        <w:rPr>
          <w:sz w:val="20"/>
          <w:szCs w:val="20"/>
          <w:color w:val="auto"/>
        </w:rPr>
      </w:pPr>
      <w:r>
        <w:rPr>
          <w:rFonts w:ascii="Arial" w:cs="Arial" w:eastAsia="Arial" w:hAnsi="Arial"/>
          <w:sz w:val="17"/>
          <w:szCs w:val="17"/>
          <w:color w:val="auto"/>
        </w:rPr>
        <w:t>not the transactions are completed, and may result in unforeseen operating difficulties and expenditures. In particular, we may encounter difficulties assimilating or integrating the businesses, technologies, products and platform capabilities, personnel internal controls or operations of any acquired companies, particularly if the key personnel of an acquired company choose not to work for us, their software is not easily adapted to work with our platform, or we have difficulty retaining the customers of any acquired business due to changes in ownership, management or otherwise. These transactions may also disrupt our business, divert our resources, and require significant management attention that would otherwise be available for development of our existing business. Any such transactions that we are able to complete may not result in any synergies or other benefits we had expected to achieve, which could result in impairment charges that could be substantial. In addition, we may not be able to find and identify desirable acquisition targets or business opportunities or be successful in entering into an agreement with any particular strategic partner. These transactions could also result in dilutive issuances of equity securities or the incurrence of debt, which could adversely affect our results of operations. In addition, if the resulting business from such a transaction fails to meet our expectations, our business, financial condition and results of operations may be adversely affected or we may be exposed to unknown risks or liabilities.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Industry and Competitive Risks</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If we fail to adapt and respond effectively to rapidly changing technology, evolving industry standards, changing regulations, or to changing customer needs, requirements or preferences, our platform and products may become less competitive.</w:t>
      </w:r>
    </w:p>
    <w:p>
      <w:pPr>
        <w:spacing w:after="0" w:line="170" w:lineRule="exact"/>
        <w:rPr>
          <w:sz w:val="20"/>
          <w:szCs w:val="20"/>
          <w:color w:val="auto"/>
        </w:rPr>
      </w:pPr>
    </w:p>
    <w:p>
      <w:pPr>
        <w:jc w:val="both"/>
        <w:ind w:firstLine="486"/>
        <w:spacing w:after="0" w:line="269" w:lineRule="auto"/>
        <w:rPr>
          <w:sz w:val="20"/>
          <w:szCs w:val="20"/>
          <w:color w:val="auto"/>
        </w:rPr>
      </w:pPr>
      <w:r>
        <w:rPr>
          <w:rFonts w:ascii="Arial" w:cs="Arial" w:eastAsia="Arial" w:hAnsi="Arial"/>
          <w:sz w:val="17"/>
          <w:szCs w:val="17"/>
          <w:color w:val="auto"/>
        </w:rPr>
        <w:t>Our ability to attract new users and customers and increase revenue from existing customers depends in large part on our ability to enhance and improve our existing products, increase adoption and usage of our products, and introduce new products and capabilities. The market in which we compete is relatively new and subject to rapid technological change, evolving industry standards, and changing regulations, as well as changing customer needs, requirements and preferences. The success of our business will depend, in part, on our ability to adapt and respond effectively to these changes on a timely basis. For example, some of our products use artificial intelligence, or AI, and machine learning, and we are making investments in expanding our artificial intelligence capabilities, which will require significant investment in infrastructure and personnel. However, AI technologies are complex and rapidly evolving in a changing competitive market and market acceptance of AI technologies remains uncertain. If we were unable to enhance our products and platform capabilities to keep pace with rapid technological and regulatory change, or if new technologies emerge that are able to deliver competitive products at lower prices, more efficiently, more conveniently, or more securely than our products, our business, financial condition and results of operations could be adversely affected.</w:t>
      </w:r>
    </w:p>
    <w:p>
      <w:pPr>
        <w:spacing w:after="0" w:line="185" w:lineRule="exact"/>
        <w:rPr>
          <w:sz w:val="20"/>
          <w:szCs w:val="20"/>
          <w:color w:val="auto"/>
        </w:rPr>
      </w:pPr>
    </w:p>
    <w:p>
      <w:pPr>
        <w:jc w:val="both"/>
        <w:ind w:firstLine="486"/>
        <w:spacing w:after="0" w:line="271" w:lineRule="auto"/>
        <w:rPr>
          <w:sz w:val="20"/>
          <w:szCs w:val="20"/>
          <w:color w:val="auto"/>
        </w:rPr>
      </w:pPr>
      <w:r>
        <w:rPr>
          <w:rFonts w:ascii="Arial" w:cs="Arial" w:eastAsia="Arial" w:hAnsi="Arial"/>
          <w:sz w:val="17"/>
          <w:szCs w:val="17"/>
          <w:color w:val="auto"/>
        </w:rPr>
        <w:t>The success of our platform depends, in part, on its ability to be deployed in a self-service installation process. We currently offer more than 650 out-of-the-box integrations to assist customers in deploying Datadog, and we need to continuously modify and enhance our products to adapt to changes and innovation in existing and new technologies to maintain and grow our integrations. We expect that the number of integrations we will need to support will continue to expand as developers adopt new software platforms, and we will have to develop new versions of our products to work with those new platforms. This development effort may require significant engineering, sales and marketing resources, all of which would adversely affect our business. Any failure of our products to operate effectively with future infrastructure platforms and technologies could reduce the demand for our products. If we are unable to respond to these changes in a cost-effective manner, our products may become less marketable and less competitive or obsolete, and our business, financial condition and results of operations could be adversely affected.</w:t>
      </w:r>
    </w:p>
    <w:p>
      <w:pPr>
        <w:spacing w:after="0" w:line="17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The markets in which we participate are competitive, and if we do not compete effectively, our business, financial condition and results of operations could be harmed.</w:t>
      </w:r>
    </w:p>
    <w:p>
      <w:pPr>
        <w:spacing w:after="0" w:line="170" w:lineRule="exact"/>
        <w:rPr>
          <w:sz w:val="20"/>
          <w:szCs w:val="20"/>
          <w:color w:val="auto"/>
        </w:rPr>
      </w:pPr>
    </w:p>
    <w:p>
      <w:pPr>
        <w:jc w:val="both"/>
        <w:ind w:firstLine="486"/>
        <w:spacing w:after="0" w:line="290" w:lineRule="auto"/>
        <w:rPr>
          <w:sz w:val="20"/>
          <w:szCs w:val="20"/>
          <w:color w:val="auto"/>
        </w:rPr>
      </w:pPr>
      <w:r>
        <w:rPr>
          <w:rFonts w:ascii="Arial" w:cs="Arial" w:eastAsia="Arial" w:hAnsi="Arial"/>
          <w:sz w:val="16"/>
          <w:szCs w:val="16"/>
          <w:color w:val="auto"/>
        </w:rPr>
        <w:t>Our unified platform combines functionality from numerous traditional product categories, and hence we compete in each of these categories with home-grown and open-source technologies, as well as a number of different vendors. With respect to on-premise infrastructure monitoring, we compete with diversified technology companies and systems management vendors including IBM, Microsoft Corporation, and SolarWinds Corporation. With respect to APM, we compete with companies including Cisco Systems, Inc., New Relic, Inc. and Dynatrace Software Inc. With respect to log management, we compete with companies including Splunk Inc. and Elastic N.V. With respect to cloud monitoring, we compete with native solutions from cloud providers such as AWS, GCP and Microsoft Azure. In addition, we may increasingly choose to allow these third-party hosting providers to offer our solutions directly through their customer marketplaces. An increasing number of sales through cloud provider marketplaces could reduce both the number of customers with whom we have direct commercial relationships as well as our profit margins on sales made through such marketplaces.</w:t>
      </w: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13" w:right="339" w:bottom="1440" w:gutter="0" w:footer="0" w:header="0"/>
        </w:sectPr>
      </w:pPr>
    </w:p>
    <w:bookmarkStart w:id="47" w:name="page48"/>
    <w:bookmarkEnd w:id="47"/>
    <w:p>
      <w:pPr>
        <w:jc w:val="both"/>
        <w:ind w:firstLine="486"/>
        <w:spacing w:after="0" w:line="273" w:lineRule="auto"/>
        <w:rPr>
          <w:sz w:val="20"/>
          <w:szCs w:val="20"/>
          <w:color w:val="auto"/>
        </w:rPr>
      </w:pPr>
      <w:r>
        <w:rPr>
          <w:rFonts w:ascii="Arial" w:cs="Arial" w:eastAsia="Arial" w:hAnsi="Arial"/>
          <w:sz w:val="17"/>
          <w:szCs w:val="17"/>
          <w:color w:val="auto"/>
        </w:rPr>
        <w:t>With the introduction of new technologies and market entrants, we expect that the competitive environment will remain intense going forward. Some of our actual and potential competitors have been acquired by other larger enterprises and have made or may make acquisitions or may enter into partnerships or other strategic relationships that may provide more comprehensive offerings than they individually had offered or achieve greater economies of scale than us. In addition, new entrants not currently considered to be competitors may enter the market through acquisitions, partnerships or strategic relationships. As we look to market and sell our products and platform capabilities to potential customers with existing internal solutions, we must convince their internal stakeholders that our products and platform capabilities are superior to their current solutions.</w:t>
      </w:r>
    </w:p>
    <w:p>
      <w:pPr>
        <w:spacing w:after="0" w:line="178" w:lineRule="exact"/>
        <w:rPr>
          <w:sz w:val="20"/>
          <w:szCs w:val="20"/>
          <w:color w:val="auto"/>
        </w:rPr>
      </w:pPr>
    </w:p>
    <w:p>
      <w:pPr>
        <w:ind w:left="500"/>
        <w:spacing w:after="0"/>
        <w:rPr>
          <w:sz w:val="20"/>
          <w:szCs w:val="20"/>
          <w:color w:val="auto"/>
        </w:rPr>
      </w:pPr>
      <w:r>
        <w:rPr>
          <w:rFonts w:ascii="Arial" w:cs="Arial" w:eastAsia="Arial" w:hAnsi="Arial"/>
          <w:sz w:val="18"/>
          <w:szCs w:val="18"/>
          <w:color w:val="auto"/>
        </w:rPr>
        <w:t>We compete on the basis of a number of factors, including:</w:t>
      </w:r>
    </w:p>
    <w:p>
      <w:pPr>
        <w:spacing w:after="0" w:line="117" w:lineRule="exact"/>
        <w:rPr>
          <w:sz w:val="20"/>
          <w:szCs w:val="20"/>
          <w:color w:val="auto"/>
        </w:rPr>
      </w:pPr>
    </w:p>
    <w:p>
      <w:pPr>
        <w:ind w:left="980" w:hanging="486"/>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ability to provide unified, real-time observability of IT environments;</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ability to operate in dynamic and elastic environments;</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extensibility across the enterprise, including development, operations and business users;</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propensity to enable collaboration between development, operations and business users;</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ability to monitor any combination of public clouds, private clouds, on-premise and multi-cloud hybrids;</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ability to provide advanced analytics and machine learning;</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ease of deployment, implementation and use;</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ability to operate across a broad range of geographies in compliance with local regulations;</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breadth of offering and key technology integrations;</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performance, security, scalability and reliability;</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quality of service and customer satisfaction;</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total cost of ownership; and</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brand recognition and reputation.</w:t>
      </w:r>
    </w:p>
    <w:p>
      <w:pPr>
        <w:spacing w:after="0" w:line="225" w:lineRule="exact"/>
        <w:rPr>
          <w:sz w:val="20"/>
          <w:szCs w:val="20"/>
          <w:color w:val="auto"/>
        </w:rPr>
      </w:pPr>
    </w:p>
    <w:p>
      <w:pPr>
        <w:jc w:val="both"/>
        <w:ind w:firstLine="486"/>
        <w:spacing w:after="0" w:line="253" w:lineRule="auto"/>
        <w:rPr>
          <w:sz w:val="20"/>
          <w:szCs w:val="20"/>
          <w:color w:val="auto"/>
        </w:rPr>
      </w:pPr>
      <w:r>
        <w:rPr>
          <w:rFonts w:ascii="Arial" w:cs="Arial" w:eastAsia="Arial" w:hAnsi="Arial"/>
          <w:sz w:val="18"/>
          <w:szCs w:val="18"/>
          <w:color w:val="auto"/>
        </w:rPr>
        <w:t>Our competitors vary in size and in the breadth and scope of the products offered. Many of our competitors and potential competitors have greater name recognition, longer operating histories, more established customer relationships and installed customer bases, larger marketing budgets and greater resources than we do. Further, other potential competitors not currently offering competitive solutions may expand their product or service offerings to compete with our products and platform capabilities, or our current and potential competitors may establish cooperative relationships among themselves or with third parties that may further enhance their resources and product offerings in our addressable market. Our competitors may be able to respond more quickly and effectively than we can to new or changing opportunities, technologies, standards, and customer requirements. An existing competitor or new entrant could introduce new technology that reduces demand for our products and platform capabilities. In addition to product and technology competition, we face pricing competition. Some of our competitors offer their solutions at a lower price, which has resulted in, and may continue to result in, pricing pressures.</w:t>
      </w:r>
    </w:p>
    <w:p>
      <w:pPr>
        <w:spacing w:after="0" w:line="196"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For all of these reasons, we may not be able to compete successfully against our current or future competitors, and this competition could result in the failure of our platform to continue to achieve or maintain market acceptance, any of which would harm our business, results of operations, and financial condition.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market for our solutions may develop more slowly or differently than we expect.</w:t>
      </w:r>
    </w:p>
    <w:p>
      <w:pPr>
        <w:spacing w:after="0" w:line="225" w:lineRule="exact"/>
        <w:rPr>
          <w:sz w:val="20"/>
          <w:szCs w:val="20"/>
          <w:color w:val="auto"/>
        </w:rPr>
      </w:pPr>
    </w:p>
    <w:p>
      <w:pPr>
        <w:jc w:val="both"/>
        <w:ind w:firstLine="486"/>
        <w:spacing w:after="0" w:line="289" w:lineRule="auto"/>
        <w:rPr>
          <w:sz w:val="20"/>
          <w:szCs w:val="20"/>
          <w:color w:val="auto"/>
        </w:rPr>
      </w:pPr>
      <w:r>
        <w:rPr>
          <w:rFonts w:ascii="Arial" w:cs="Arial" w:eastAsia="Arial" w:hAnsi="Arial"/>
          <w:sz w:val="16"/>
          <w:szCs w:val="16"/>
          <w:color w:val="auto"/>
        </w:rPr>
        <w:t>It is difficult to predict customer adoption rates and demand for our products, the entry of competitive products or the future growth rate and size of the cloud-based software and SaaS business software markets. The expansion of these markets depends on a number of factors, including: the cost, performance, and perceived value associated with cloud-based and SaaS business software as an alternative to legacy systems, as well as the ability of cloud-based software and SaaS providers to address heightened data security and privacy concerns. If we have a security incident or other cloud-based software and SaaS providers experience security incidents, loss of customer data, disruptions in delivery or other similar problems, which is an increasing focus of the public and investors in recent years, the market for these applications as a whole, including our platform and products, may be negatively affected. If cloud-based and SaaS business software does not continue to achieve market acceptance, or there is a reduction in demand caused by a lack of customer acceptance, technological challenges, weakening economic conditions, data security or privacy concerns, governmental regulation, competing technologies and products, or decreases in information technology spending or otherwise, the market for our platform and products might not continue to</w:t>
      </w:r>
    </w:p>
    <w:p>
      <w:pPr>
        <w:sectPr>
          <w:pgSz w:w="11900" w:h="16838" w:orient="portrait"/>
          <w:cols w:equalWidth="0" w:num="1">
            <w:col w:w="11240"/>
          </w:cols>
          <w:pgMar w:left="320" w:top="1313" w:right="339" w:bottom="1440" w:gutter="0" w:footer="0" w:header="0"/>
        </w:sectPr>
      </w:pPr>
    </w:p>
    <w:p>
      <w:pPr>
        <w:spacing w:after="0" w:line="200" w:lineRule="exact"/>
        <w:rPr>
          <w:sz w:val="20"/>
          <w:szCs w:val="20"/>
          <w:color w:val="auto"/>
        </w:rPr>
      </w:pPr>
    </w:p>
    <w:p>
      <w:pPr>
        <w:spacing w:after="0" w:line="30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13" w:right="339" w:bottom="1440" w:gutter="0" w:footer="0" w:header="0"/>
          <w:type w:val="continuous"/>
        </w:sectPr>
      </w:pPr>
    </w:p>
    <w:bookmarkStart w:id="48" w:name="page49"/>
    <w:bookmarkEnd w:id="48"/>
    <w:p>
      <w:pPr>
        <w:spacing w:after="0"/>
        <w:rPr>
          <w:sz w:val="20"/>
          <w:szCs w:val="20"/>
          <w:color w:val="auto"/>
        </w:rPr>
      </w:pPr>
      <w:r>
        <w:rPr>
          <w:rFonts w:ascii="Arial" w:cs="Arial" w:eastAsia="Arial" w:hAnsi="Arial"/>
          <w:sz w:val="17"/>
          <w:szCs w:val="17"/>
          <w:color w:val="auto"/>
        </w:rPr>
        <w:t>develop or might develop more slowly than we expect, which would adversely affect our business, financial condition and results of operations.</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and Regulatory Risks</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We typically provide service-level commitments under our subscription agreements. If we fail to meet these contractual commitments, we could be obligated to provide credits for future service or face subscription termination with refunds of prepaid amounts, which would lower our revenue and harm our business, financial condition and results of operations.</w:t>
      </w:r>
    </w:p>
    <w:p>
      <w:pPr>
        <w:spacing w:after="0" w:line="184" w:lineRule="exact"/>
        <w:rPr>
          <w:sz w:val="20"/>
          <w:szCs w:val="20"/>
          <w:color w:val="auto"/>
        </w:rPr>
      </w:pPr>
    </w:p>
    <w:p>
      <w:pPr>
        <w:jc w:val="both"/>
        <w:ind w:firstLine="486"/>
        <w:spacing w:after="0" w:line="296" w:lineRule="auto"/>
        <w:rPr>
          <w:sz w:val="20"/>
          <w:szCs w:val="20"/>
          <w:color w:val="auto"/>
        </w:rPr>
      </w:pPr>
      <w:r>
        <w:rPr>
          <w:rFonts w:ascii="Arial" w:cs="Arial" w:eastAsia="Arial" w:hAnsi="Arial"/>
          <w:sz w:val="16"/>
          <w:szCs w:val="16"/>
          <w:color w:val="auto"/>
        </w:rPr>
        <w:t>Our subscription agreements typically contain service-level commitments. If we are unable to meet the stated service-level commitments, including failure to meet the uptime and response time requirements under our customer subscription agreements, we may be contractually obligated to provide these customers with service credits which could significantly affect our revenue in the periods in which the failure occurs and the credits are applied. We could also face subscription terminations and a reduction in renewals, which could significantly affect both our current and future revenue. Any service-level failures could also damage our reputation, which could also adversely affect our business, financial condition and results of operations.</w:t>
      </w:r>
    </w:p>
    <w:p>
      <w:pPr>
        <w:spacing w:after="0" w:line="16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Indemnity provisions in various agreements to which we are party potentially expose us to substantial liability for infringement, misappropriation or other violation of intellectual property rights, data protection and other losses.</w:t>
      </w:r>
    </w:p>
    <w:p>
      <w:pPr>
        <w:spacing w:after="0" w:line="170" w:lineRule="exact"/>
        <w:rPr>
          <w:sz w:val="20"/>
          <w:szCs w:val="20"/>
          <w:color w:val="auto"/>
        </w:rPr>
      </w:pPr>
    </w:p>
    <w:p>
      <w:pPr>
        <w:jc w:val="both"/>
        <w:ind w:firstLine="486"/>
        <w:spacing w:after="0" w:line="287" w:lineRule="auto"/>
        <w:rPr>
          <w:sz w:val="20"/>
          <w:szCs w:val="20"/>
          <w:color w:val="auto"/>
        </w:rPr>
      </w:pPr>
      <w:r>
        <w:rPr>
          <w:rFonts w:ascii="Arial" w:cs="Arial" w:eastAsia="Arial" w:hAnsi="Arial"/>
          <w:sz w:val="16"/>
          <w:szCs w:val="16"/>
          <w:color w:val="auto"/>
        </w:rPr>
        <w:t>Our agreements with our customers and other third parties may include indemnification provisions under which we agree to indemnify or otherwise be liable to them for losses suffered or incurred as a result of claims of infringement, misappropriation or other violation of intellectual property rights, data protection, damages caused by us to property or persons, or other liabilities relating to or arising from our software, services, platform, our acts or omissions under such agreements or other contractual obligations. Some of these indemnity agreements provide for uncapped liability and some indemnity provisions survive termination or expiration of the applicable agreement. Large indemnity payments could harm our business, financial condition and results of operations. Although we attempt to contractually limit our liability with respect to such indemnity obligations, we are not always successful and may still incur substantial liability related to them, and we may be required to cease use of certain functions of our platform or products as a result of any such claims. Any dispute with a customer or other third party with respect to such obligations could have adverse effects on our relationship with such customer or other third party and other existing or prospective customers, reduce demand for our products and services and adversely affect our business, financial conditions and results of operations. In addition, although we carry general liability insurance, our insurance may not be adequate to indemnify us for all liability that may be imposed or otherwise protect us from liabilities or damages with respect to claims alleging compromises of customer data, and any such coverage may not continue to be available to us on acceptable terms or at all.</w:t>
      </w:r>
    </w:p>
    <w:p>
      <w:pPr>
        <w:spacing w:after="0" w:line="16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We and our third-party service providers are subject to stringent and changing laws, regulations and standards, and contractual obligations related to data privacy and security. Actual or perceived failure by us or our third-party service providers to comply with such laws, regulations, standards, or contractual obligations could harm our business.</w:t>
      </w:r>
    </w:p>
    <w:p>
      <w:pPr>
        <w:spacing w:after="0" w:line="184" w:lineRule="exact"/>
        <w:rPr>
          <w:sz w:val="20"/>
          <w:szCs w:val="20"/>
          <w:color w:val="auto"/>
        </w:rPr>
      </w:pPr>
    </w:p>
    <w:p>
      <w:pPr>
        <w:jc w:val="both"/>
        <w:ind w:firstLine="486"/>
        <w:spacing w:after="0" w:line="272" w:lineRule="auto"/>
        <w:rPr>
          <w:sz w:val="20"/>
          <w:szCs w:val="20"/>
          <w:color w:val="auto"/>
        </w:rPr>
      </w:pPr>
      <w:r>
        <w:rPr>
          <w:rFonts w:ascii="Arial" w:cs="Arial" w:eastAsia="Arial" w:hAnsi="Arial"/>
          <w:sz w:val="17"/>
          <w:szCs w:val="17"/>
          <w:color w:val="auto"/>
        </w:rPr>
        <w:t>We have legal, contractual and other applicable obligations regarding the protection and appropriate use of personal information, confidential information, and other proprietary information that we, our third-party service providers or other partners process. We are subject to a variety of federal, state, local and international laws, directives, regulations, and industry standards, relating to the collection, use, retention, security, disclosure, transfer and other processing of personal information. The regulatory framework for privacy and security issues worldwide is rapidly evolving and as a result implementation standards and enforcement practices are likely to remain uncertain for the foreseeable future. In addition, new technologies we use in our products or in our business, like AI and machine learning, may also subject us to new or enhanced governmental or regulatory scrutiny, litigation, ethical concerns, or other complications that could adversely affect our business, reputation, or financial results.</w:t>
      </w:r>
    </w:p>
    <w:p>
      <w:pPr>
        <w:spacing w:after="0" w:line="177" w:lineRule="exact"/>
        <w:rPr>
          <w:sz w:val="20"/>
          <w:szCs w:val="20"/>
          <w:color w:val="auto"/>
        </w:rPr>
      </w:pPr>
    </w:p>
    <w:p>
      <w:pPr>
        <w:jc w:val="both"/>
        <w:ind w:firstLine="486"/>
        <w:spacing w:after="0" w:line="275" w:lineRule="auto"/>
        <w:rPr>
          <w:sz w:val="20"/>
          <w:szCs w:val="20"/>
          <w:color w:val="auto"/>
        </w:rPr>
      </w:pPr>
      <w:r>
        <w:rPr>
          <w:rFonts w:ascii="Arial" w:cs="Arial" w:eastAsia="Arial" w:hAnsi="Arial"/>
          <w:sz w:val="17"/>
          <w:szCs w:val="17"/>
          <w:color w:val="auto"/>
        </w:rPr>
        <w:t>Internationally, nearly every jurisdiction in which we operate has established its own data security and privacy legal framework with which we, our third-party service providers, or our customers must comply. The data protection landscape is currently unstable, resulting in possible significant operational costs for internal compliance and risk to our business. For example, the European Union's General Data Protection Regulation, or EU GDPR, contains numerous requirements and changes from previously existing law, including more robust obligations on data processors and heavier documentation requirements for data protection compliance programs by companies and data protection authorities.</w:t>
      </w:r>
    </w:p>
    <w:p>
      <w:pPr>
        <w:spacing w:after="0" w:line="176"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In addition, certain jurisdictions have enacted data localization laws and cross-border personal data transfer laws. For example, absent appropriate safeguards or other circumstances, the EU has implemented a data-transfer regime that applies to transfers of personal information from the European Economic Area (EEA) to the United States. While the EU recently adopted</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13" w:right="339" w:bottom="1440" w:gutter="0" w:footer="0" w:header="0"/>
        </w:sectPr>
      </w:pPr>
    </w:p>
    <w:bookmarkStart w:id="49" w:name="page50"/>
    <w:bookmarkEnd w:id="49"/>
    <w:p>
      <w:pPr>
        <w:jc w:val="both"/>
        <w:spacing w:after="0" w:line="288" w:lineRule="auto"/>
        <w:rPr>
          <w:sz w:val="20"/>
          <w:szCs w:val="20"/>
          <w:color w:val="auto"/>
        </w:rPr>
      </w:pPr>
      <w:r>
        <w:rPr>
          <w:rFonts w:ascii="Arial" w:cs="Arial" w:eastAsia="Arial" w:hAnsi="Arial"/>
          <w:sz w:val="16"/>
          <w:szCs w:val="16"/>
          <w:color w:val="auto"/>
        </w:rPr>
        <w:t>an adequacy decision that covers transfers of personal information to the United States under the EU-U.S. Data Privacy Framework, there is no guarantee that the framework will survive legal challenges. In light of this uncertainty, we have taken steps to mitigate the impact on us with respect to transfers of data, such as relying on the European Commission's 2021 Standard Contractual Clauses, or EU SCCs. However, the efficacy and longevity of this transfer mechanism also remains uncertain as it may be subject to legal challenges and there is no assurance that we can satisfy or rely on it to lawfully transfer personal information to the United States. Moreover, the EU SCCs require parties that rely on them to comply with additional obligations, such as conducting transfer impact assessments and implementing additional security and privacy measures, which may make sales of our product to European customers more complex. In addition, laws in Switzerland and the United Kingdom similarly restrict transfers of personal information outside of those jurisdictions to countries such as the United States that do not provide an adequate level of data protection but require their own, slightly modified transfer mechanisms, resulting in a patchwork of different methods and requirements for Europe alone. If the requirements for legally-compliant transfers are too onerous, we could face significant costs relating to updating and amending vendor agreements to reflect changing transfer mechanisms or requirements.</w:t>
      </w:r>
    </w:p>
    <w:p>
      <w:pPr>
        <w:spacing w:after="0" w:line="168" w:lineRule="exact"/>
        <w:rPr>
          <w:sz w:val="20"/>
          <w:szCs w:val="20"/>
          <w:color w:val="auto"/>
        </w:rPr>
      </w:pPr>
    </w:p>
    <w:p>
      <w:pPr>
        <w:jc w:val="both"/>
        <w:ind w:firstLine="486"/>
        <w:spacing w:after="0" w:line="279" w:lineRule="auto"/>
        <w:rPr>
          <w:sz w:val="20"/>
          <w:szCs w:val="20"/>
          <w:color w:val="auto"/>
        </w:rPr>
      </w:pPr>
      <w:r>
        <w:rPr>
          <w:rFonts w:ascii="Arial" w:cs="Arial" w:eastAsia="Arial" w:hAnsi="Arial"/>
          <w:sz w:val="17"/>
          <w:szCs w:val="17"/>
          <w:color w:val="auto"/>
        </w:rPr>
        <w:t>Additionally, other countries outside of Europe have enacted or are considering enacting similar cross-border data transfer restrictions and laws requiring local data residency, and strict limitations to the processing of personal information, which could increase the cost and complexity of delivering our services and operating our business. For example, Brazil enacted the General Data Protection Law, New Zealand enacted the New Zealand Privacy Act, China enacted its Personal Information Protection Law, and Canada introduced the Digital Charter Implementation Act.</w:t>
      </w:r>
    </w:p>
    <w:p>
      <w:pPr>
        <w:spacing w:after="0" w:line="171" w:lineRule="exact"/>
        <w:rPr>
          <w:sz w:val="20"/>
          <w:szCs w:val="20"/>
          <w:color w:val="auto"/>
        </w:rPr>
      </w:pPr>
    </w:p>
    <w:p>
      <w:pPr>
        <w:jc w:val="both"/>
        <w:ind w:firstLine="486"/>
        <w:spacing w:after="0" w:line="275" w:lineRule="auto"/>
        <w:rPr>
          <w:sz w:val="20"/>
          <w:szCs w:val="20"/>
          <w:color w:val="auto"/>
        </w:rPr>
      </w:pPr>
      <w:r>
        <w:rPr>
          <w:rFonts w:ascii="Arial" w:cs="Arial" w:eastAsia="Arial" w:hAnsi="Arial"/>
          <w:sz w:val="17"/>
          <w:szCs w:val="17"/>
          <w:color w:val="auto"/>
        </w:rPr>
        <w:t>If we are unable to implement a valid compliance mechanism for cross-border personal information transfers, we may face increased exposure to regulatory actions, substantial fines and injunctions against processing or transferring personal information from Europe or elsewhere. Inability to import personal information from other jurisdictions to the United States may significantly and negatively impact our business operations, including by lowering sales on our platform due to the difficulty of establishing a lawful mechanism for personal information transfers out of Europe or other jurisdictions, or requiring us to increase our data processing capabilities in Europe or elsewhere at significant expense.</w:t>
      </w:r>
    </w:p>
    <w:p>
      <w:pPr>
        <w:spacing w:after="0" w:line="176" w:lineRule="exact"/>
        <w:rPr>
          <w:sz w:val="20"/>
          <w:szCs w:val="20"/>
          <w:color w:val="auto"/>
        </w:rPr>
      </w:pPr>
    </w:p>
    <w:p>
      <w:pPr>
        <w:jc w:val="both"/>
        <w:ind w:firstLine="486"/>
        <w:spacing w:after="0" w:line="290" w:lineRule="auto"/>
        <w:rPr>
          <w:sz w:val="20"/>
          <w:szCs w:val="20"/>
          <w:color w:val="auto"/>
        </w:rPr>
      </w:pPr>
      <w:r>
        <w:rPr>
          <w:rFonts w:ascii="Arial" w:cs="Arial" w:eastAsia="Arial" w:hAnsi="Arial"/>
          <w:sz w:val="16"/>
          <w:szCs w:val="16"/>
          <w:color w:val="auto"/>
        </w:rPr>
        <w:t>Additionally, European legislative proposals and present laws and regulations apply to cookies and similar tracking technologies, electronic communications, and marketing. In the EU and the United Kingdom, regulators are increasingly focusing on compliance with requirements related to the online behavioral advertising ecosystem and requirements around consent. It is anticipated that the ePrivacy Regulation will replace the current national laws that implement the ePrivacy Directive that governs electronic communications. Outside of Europe, other laws and regulations, including legislative proposals, individual behavior and industry practices are increasingly resistant to the use of personal information to deliver targeted advertising, making certain online advertising activities more difficult and subject to additional scrutiny. For example, the California Consumer Privacy Act, or CCPA, grants California residents the right to opt-out of a company’s sharing of personal information for cross-context behavioral advertising purposes. As a result of these developments, we may be required to change the way we market our products, which would impair our ability to reach new or existing customers.</w:t>
      </w:r>
    </w:p>
    <w:p>
      <w:pPr>
        <w:spacing w:after="0" w:line="165" w:lineRule="exact"/>
        <w:rPr>
          <w:sz w:val="20"/>
          <w:szCs w:val="20"/>
          <w:color w:val="auto"/>
        </w:rPr>
      </w:pPr>
    </w:p>
    <w:p>
      <w:pPr>
        <w:jc w:val="both"/>
        <w:ind w:firstLine="486"/>
        <w:spacing w:after="0" w:line="290" w:lineRule="auto"/>
        <w:rPr>
          <w:sz w:val="20"/>
          <w:szCs w:val="20"/>
          <w:color w:val="auto"/>
        </w:rPr>
      </w:pPr>
      <w:r>
        <w:rPr>
          <w:rFonts w:ascii="Arial" w:cs="Arial" w:eastAsia="Arial" w:hAnsi="Arial"/>
          <w:sz w:val="16"/>
          <w:szCs w:val="16"/>
          <w:color w:val="auto"/>
        </w:rPr>
        <w:t>Complying with these and other applicable laws may cause us to incur substantial operational costs or require us to change our business practices. Despite our efforts to bring practices into compliance with all applicable laws, we may not be successful in our efforts to achieve compliance either due to internal or external factors such as resource allocation limitations or a lack of vendor cooperation. Non-compliance could result in proceedings against us by governmental entities, customers, data subjects or others. We may also experience difficulty retaining or obtaining new European or multi-national customers due to the legal requirements, compliance cost, potential risk exposure, and uncertainty for these entities, and we may experience significantly increased liability with respect to these customers pursuant to the terms set forth in our engagements with them. While we utilize a data center in the EEA to maintain certain customer data (which may include personal information) originating from the EEA, we may find it necessary to establish additional systems and processes to maintain such data in the EEA, which may involve substantial expense and distraction from other aspects of our business.</w:t>
      </w:r>
    </w:p>
    <w:p>
      <w:pPr>
        <w:spacing w:after="0" w:line="165" w:lineRule="exact"/>
        <w:rPr>
          <w:sz w:val="20"/>
          <w:szCs w:val="20"/>
          <w:color w:val="auto"/>
        </w:rPr>
      </w:pPr>
    </w:p>
    <w:p>
      <w:pPr>
        <w:jc w:val="both"/>
        <w:ind w:firstLine="486"/>
        <w:spacing w:after="0" w:line="272" w:lineRule="auto"/>
        <w:rPr>
          <w:sz w:val="20"/>
          <w:szCs w:val="20"/>
          <w:color w:val="auto"/>
        </w:rPr>
      </w:pPr>
      <w:r>
        <w:rPr>
          <w:rFonts w:ascii="Arial" w:cs="Arial" w:eastAsia="Arial" w:hAnsi="Arial"/>
          <w:sz w:val="17"/>
          <w:szCs w:val="17"/>
          <w:color w:val="auto"/>
        </w:rPr>
        <w:t>Domestic laws in this area are also complex and developing rapidly, and we are, or may become, subject to numerous U.S. data privacy and security laws. In the United States, laws governing data privacy and security include those promulgated under the authority of the Federal Trade Commission Act, the Electronic Communications Privacy Act, the Computer Fraud and Abuse Act, the CCPA, HIPAA, and numerous other state and federal laws relating to privacy and data security. Many state legislatures have adopted legislation that regulates how businesses operate online, including measures relating to privacy, data security and data breaches. Laws in all 50 states require businesses to provide notice to customers whose personal information has been disclosed as a result of a data breach. The laws are not consistent, and compliance in the event of a widespread data breach is costly. States are also constantly amending existing laws, requiring attention to frequently changing legal requirements.</w:t>
      </w: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13" w:right="339" w:bottom="1440" w:gutter="0" w:footer="0" w:header="0"/>
        </w:sectPr>
      </w:pPr>
    </w:p>
    <w:bookmarkStart w:id="50" w:name="page51"/>
    <w:bookmarkEnd w:id="50"/>
    <w:p>
      <w:pPr>
        <w:jc w:val="both"/>
        <w:ind w:firstLine="486"/>
        <w:spacing w:after="0" w:line="286" w:lineRule="auto"/>
        <w:rPr>
          <w:sz w:val="20"/>
          <w:szCs w:val="20"/>
          <w:color w:val="auto"/>
        </w:rPr>
      </w:pPr>
      <w:r>
        <w:rPr>
          <w:rFonts w:ascii="Arial" w:cs="Arial" w:eastAsia="Arial" w:hAnsi="Arial"/>
          <w:sz w:val="16"/>
          <w:szCs w:val="16"/>
          <w:color w:val="auto"/>
        </w:rPr>
        <w:t>The CCPA, which became effective on January 1, 2020, gives California residents expanded rights to access and delete their personal information, opt out of the sale of personal information, and receive detailed information about how their personal information is used. The CCPA provides a private right of action and statutory damages for data breaches and may increase our compliance costs and potential liability with respect to other personal information we collect about California residents. In addition, the amendments to the CCPA made by the California Privacy Rights Act, or the CPRA, went into effect on January 1, 2023. The CPRA amends the CCPA to give California residents the ability to limit the use of their sensitive information, provide additional penalties for CPRA violations concerning California residents under the age of 16, and establish a new California Privacy Protection Agency to implement and enforce the law. The CPRA also expands the scope of the CCPA to include job applicant and employee personal information. These changes to the CCPA could impact our business activities depending on how they are interpreted. These laws exemplify the vulnerability of our business to the evolving regulatory environment related to the protection of personal information. Some observers have noted that the CCPA and CPRA could mark the beginning of a trend toward more stringent privacy legislation in the United States, which could increase our potential liability and adversely affect our business, the results of our operations, and our financial condition. For example, privacy laws in Colorado, Connecticut, and Virginia have recently gone into effect and similar laws in Indiana, Iowa, Montana, Tennessee, and Texas have been enacted and are expected to go into effect over the next several years. Moreover, several other state privacy laws are in various stages of the legislative process.</w:t>
      </w:r>
    </w:p>
    <w:p>
      <w:pPr>
        <w:spacing w:after="0" w:line="174" w:lineRule="exact"/>
        <w:rPr>
          <w:sz w:val="20"/>
          <w:szCs w:val="20"/>
          <w:color w:val="auto"/>
        </w:rPr>
      </w:pPr>
    </w:p>
    <w:p>
      <w:pPr>
        <w:jc w:val="both"/>
        <w:ind w:firstLine="486"/>
        <w:spacing w:after="0" w:line="269" w:lineRule="auto"/>
        <w:rPr>
          <w:sz w:val="20"/>
          <w:szCs w:val="20"/>
          <w:color w:val="auto"/>
        </w:rPr>
      </w:pPr>
      <w:r>
        <w:rPr>
          <w:rFonts w:ascii="Arial" w:cs="Arial" w:eastAsia="Arial" w:hAnsi="Arial"/>
          <w:sz w:val="17"/>
          <w:szCs w:val="17"/>
          <w:color w:val="auto"/>
        </w:rPr>
        <w:t>Because the interpretation and application of many privacy and data protection laws and regulations, along with contractually imposed industry standards are uncertain, it is possible that they may be interpreted and applied in a manner that is inconsistent with our existing data management practices or the features of our products and platform capabilities. If so, in addition to the possibility of fines, lawsuits, regulatory investigations and imprisonment of company officials, other claims and penalties, significant costs for remediation and damage to our reputation, we could be required to fundamentally change our business activities and practices or modify our products and platform capabilities, any of which could have an adverse effect on our business. Any inability to adequately address privacy and security concerns, even if unfounded, or comply with applicable privacy and data security laws, regulations, or contractual obligations, could result in additional cost and liability to us, damage our reputation, inhibit sales, and adversely affect our business. Furthermore, the costs of compliance with, and other burdens imposed by, the laws, regulations, and contractual obligations that are applicable to the businesses of our customers may limit the use and adoption of, and reduce the overall demand for, our products. Privacy and data security concerns, whether valid or not valid, may inhibit market adoption of our products, particularly in certain industries and foreign countries. If we are not able to adjust to these changing laws, regulations, and contractual obligations, our business may be harmed.</w:t>
      </w:r>
    </w:p>
    <w:p>
      <w:pPr>
        <w:spacing w:after="0" w:line="182" w:lineRule="exact"/>
        <w:rPr>
          <w:sz w:val="20"/>
          <w:szCs w:val="20"/>
          <w:color w:val="auto"/>
        </w:rPr>
      </w:pPr>
    </w:p>
    <w:p>
      <w:pPr>
        <w:jc w:val="both"/>
        <w:ind w:firstLine="486"/>
        <w:spacing w:after="0" w:line="253" w:lineRule="auto"/>
        <w:rPr>
          <w:sz w:val="20"/>
          <w:szCs w:val="20"/>
          <w:color w:val="auto"/>
        </w:rPr>
      </w:pPr>
      <w:r>
        <w:rPr>
          <w:rFonts w:ascii="Arial" w:cs="Arial" w:eastAsia="Arial" w:hAnsi="Arial"/>
          <w:sz w:val="18"/>
          <w:szCs w:val="18"/>
          <w:color w:val="auto"/>
        </w:rPr>
        <w:t>We publicly post our policies and other documentation regarding our practices concerning the collection, processing, use, transfer, and disclosure of data. Although we endeavor to comply with our published policies and documentation, we may at times fail to do so or be alleged to have failed to do so. The publication of our policies and other documentation that provide promises and assurances about privacy and security can subject us to potential state and federal action if they are found to be deceptive, unfair, or misrepresentative of our actual practices. Any failure by us, our third-party service providers or other parties with whom we do business to comply with our policies or other documentation could result in proceedings against us by governmental entities, private parties or others. We are or may also be subject to the terms of our external and internal privacy and security policies, codes, representations, certifications, industry standards, publications and frameworks and contractual obligations to third parties related to privacy, information security, including contractual obligations to indemnify and hold harmless third parties from the costs or consequences of non-compliance with data protection laws or other obligations.</w:t>
      </w:r>
    </w:p>
    <w:p>
      <w:pPr>
        <w:spacing w:after="0" w:line="19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are subject to anti-corruption, anti-bribery, anti-money laundering, and similar laws, and non-compliance with such laws can subject us to criminal or civil liability and harm our business, financial condition and results of operations.</w:t>
      </w:r>
    </w:p>
    <w:p>
      <w:pPr>
        <w:spacing w:after="0" w:line="170" w:lineRule="exact"/>
        <w:rPr>
          <w:sz w:val="20"/>
          <w:szCs w:val="20"/>
          <w:color w:val="auto"/>
        </w:rPr>
      </w:pPr>
    </w:p>
    <w:p>
      <w:pPr>
        <w:jc w:val="both"/>
        <w:ind w:firstLine="486"/>
        <w:spacing w:after="0" w:line="290" w:lineRule="auto"/>
        <w:rPr>
          <w:sz w:val="20"/>
          <w:szCs w:val="20"/>
          <w:color w:val="auto"/>
        </w:rPr>
      </w:pPr>
      <w:r>
        <w:rPr>
          <w:rFonts w:ascii="Arial" w:cs="Arial" w:eastAsia="Arial" w:hAnsi="Arial"/>
          <w:sz w:val="16"/>
          <w:szCs w:val="16"/>
          <w:color w:val="auto"/>
        </w:rPr>
        <w:t>We are subject to the U.S. Foreign Corrupt Practices Act, or FCPA, U.S. domestic bribery laws, the UK Bribery Act, and other anti-corruption and anti-money laundering laws in the countries in which we conduct activities. Anti-corruption and anti-bribery laws have been enforced aggressively in recent years and are interpreted broadly to generally prohibit companies, their employees and their third-party intermediaries from authorizing, offering, or providing, directly or indirectly, improper payments or benefits to recipients in the public or private sector. As we increase our international sales and business and sales to the public sector, we may engage with business partners and third-party intermediaries to market our products and to obtain necessary permits, licenses, and other regulatory approvals. In addition, we or our third-party intermediaries may have direct or indirect interactions with officials and employees of government agencies or state-owned or affiliated entities. We can be held liable for the corrupt or other illegal activities of these third-party intermediaries, our employees, representatives, contractors, partners and agents, even if we do not explicitly authorize such activities.</w:t>
      </w:r>
    </w:p>
    <w:p>
      <w:pPr>
        <w:spacing w:after="0" w:line="165"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While we have policies and procedures to address compliance with such laws, we cannot assure you that all of our employees and agents will not take actions in violation of our policies and applicable law, for which we may be ultimately held responsible. As we increase our international sales and business, our risks under these laws may increase.</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13" w:right="339" w:bottom="1440" w:gutter="0" w:footer="0" w:header="0"/>
        </w:sectPr>
      </w:pPr>
    </w:p>
    <w:bookmarkStart w:id="51" w:name="page52"/>
    <w:bookmarkEnd w:id="51"/>
    <w:p>
      <w:pPr>
        <w:jc w:val="both"/>
        <w:ind w:firstLine="486"/>
        <w:spacing w:after="0" w:line="291" w:lineRule="auto"/>
        <w:rPr>
          <w:sz w:val="20"/>
          <w:szCs w:val="20"/>
          <w:color w:val="auto"/>
        </w:rPr>
      </w:pPr>
      <w:r>
        <w:rPr>
          <w:rFonts w:ascii="Arial" w:cs="Arial" w:eastAsia="Arial" w:hAnsi="Arial"/>
          <w:sz w:val="16"/>
          <w:szCs w:val="16"/>
          <w:color w:val="auto"/>
        </w:rPr>
        <w:t>Detecting, investigating, and resolving actual or alleged violations of anti-corruption laws can require a significant diversion of time, resources, and attention from senior management. In addition, noncompliance with anti-corruption, anti-bribery, or anti-money laundering laws could subject us to whistleblower complaints, investigations, sanctions, settlements, prosecution, enforcement actions, fines, damages, other civil or criminal penalties or injunctions, suspension or debarment from contracting with certain persons, reputational harm, adverse media coverage, and other collateral consequences. If any subpoenas or investigations are launched, or governmental or other sanctions are imposed, or if we do not prevail in any possible civil or criminal proceeding, our business, financial condition and results of operations could be harmed. In addition, responding to any action will likely result in a materially significant diversion of management’s attention and resources and significant defense costs and other professional fees.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Sales to government entities and highly regulated organizations are subject to a number of challenges and risks.</w:t>
      </w:r>
    </w:p>
    <w:p>
      <w:pPr>
        <w:spacing w:after="0" w:line="225" w:lineRule="exact"/>
        <w:rPr>
          <w:sz w:val="20"/>
          <w:szCs w:val="20"/>
          <w:color w:val="auto"/>
        </w:rPr>
      </w:pPr>
    </w:p>
    <w:p>
      <w:pPr>
        <w:jc w:val="both"/>
        <w:ind w:firstLine="486"/>
        <w:spacing w:after="0" w:line="273" w:lineRule="auto"/>
        <w:rPr>
          <w:sz w:val="20"/>
          <w:szCs w:val="20"/>
          <w:color w:val="auto"/>
        </w:rPr>
      </w:pPr>
      <w:r>
        <w:rPr>
          <w:rFonts w:ascii="Arial" w:cs="Arial" w:eastAsia="Arial" w:hAnsi="Arial"/>
          <w:sz w:val="17"/>
          <w:szCs w:val="17"/>
          <w:color w:val="auto"/>
        </w:rPr>
        <w:t>We may sell to U.S. federal, state, and local, as well as foreign, governmental agency customers, as well as to customers in highly regulated industries such as financial services, telecommunications and healthcare. Sales to such entities are subject to a number of challenges and risks. Selling to such entities can be highly competitive, expensive, and time-consuming, often requiring significant upfront time and expense without any assurance that these efforts will generate a sale. Government contracting requirements may change and in doing so restrict our ability to sell into the government sector until we have attained the revised certification. Government demand and payment for our products are affected by public sector budgetary cycles and funding authorizations, with funding reductions or delays adversely affecting public sector demand for our products.</w:t>
      </w:r>
    </w:p>
    <w:p>
      <w:pPr>
        <w:spacing w:after="0" w:line="178"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Further, governmental and highly regulated entities may demand contract terms that differ from our standard arrangements and are less favorable than terms agreed with private sector customers. Such entities may have statutory, contractual, or other legal rights to terminate contracts with us or our partners for convenience or for other reasons. Any such termination may adversely affect our ability to contract with other government customers as well as our reputation, business, financial condition and results of operations.</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are subject to governmental export and import controls that could impair our ability to compete in international markets or subject us to liability if we violate the controls.</w:t>
      </w:r>
    </w:p>
    <w:p>
      <w:pPr>
        <w:spacing w:after="0" w:line="170"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Our platform and products are subject to U.S. export controls, including the Export Administration Regulations, and we incorporate encryption technology into certain of our products. These encryption products and the underlying technology may be exported outside of the United States only with the required export authorizations, including by license, a license exception, or other appropriate government authorizations, including the filing of an encryption classification request or self-classification report.</w:t>
      </w:r>
    </w:p>
    <w:p>
      <w:pPr>
        <w:spacing w:after="0" w:line="187"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Furthermore, our activities are subject to U.S. economic sanctions laws and regulations administered by the Office of Foreign Assets Control that prohibit the shipment of most products and services to embargoed jurisdictions or sanctioned parties without the required export authorizations. Obtaining the necessary export license or other authorization for a particular sale may be time-consuming and may result in the delay or loss of sales opportunities. Violations of U.S. sanctions or export control regulations can result in significant fines or penalties and possible incarceration for responsible employees and managers.</w:t>
      </w:r>
    </w:p>
    <w:p>
      <w:pPr>
        <w:spacing w:after="0" w:line="188"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If our channel partners fail to obtain appropriate import, export, or re-export licenses or permits, we may also be adversely affected through reputational harm, as well as other negative consequences, including government investigations and penalties.</w:t>
      </w:r>
    </w:p>
    <w:p>
      <w:pPr>
        <w:spacing w:after="0" w:line="170" w:lineRule="exact"/>
        <w:rPr>
          <w:sz w:val="20"/>
          <w:szCs w:val="20"/>
          <w:color w:val="auto"/>
        </w:rPr>
      </w:pPr>
    </w:p>
    <w:p>
      <w:pPr>
        <w:jc w:val="both"/>
        <w:ind w:firstLine="486"/>
        <w:spacing w:after="0" w:line="269" w:lineRule="auto"/>
        <w:rPr>
          <w:sz w:val="20"/>
          <w:szCs w:val="20"/>
          <w:color w:val="auto"/>
        </w:rPr>
      </w:pPr>
      <w:r>
        <w:rPr>
          <w:rFonts w:ascii="Arial" w:cs="Arial" w:eastAsia="Arial" w:hAnsi="Arial"/>
          <w:sz w:val="17"/>
          <w:szCs w:val="17"/>
          <w:color w:val="auto"/>
        </w:rPr>
        <w:t>Also, various countries, in addition to the United States, regulate the import and export of certain encryption and other technology, including import and export licensing requirements, and have enacted laws that could limit our ability to distribute our products or could limit our end-customers’ ability to implement our products in those countries. Changes in our products or future changes in export and import regulations may create delays in the introduction of our platform in international markets, prevent our end-customers with international operations from deploying our platform globally or, in some cases, prevent the export or import of our products to certain countries, governments, or persons altogether. From time to time, various governmental agencies have proposed additional regulation of encryption technology. Any change in export or import regulations, economic sanctions or related legislation, increased export and import controls, or change in the countries, governments, persons, or technologies targeted by such regulations, could result in decreased use of our platform by, or in our decreased ability to export or sell our products to, existing or potential end-customers with international operations. Any decreased use of our platform or limitation on our ability to export or sell our products would adversely affect our business, results of operations, and growth prospects.</w:t>
      </w: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13" w:right="339" w:bottom="1440" w:gutter="0" w:footer="0" w:header="0"/>
        </w:sectPr>
      </w:pPr>
    </w:p>
    <w:bookmarkStart w:id="52" w:name="page53"/>
    <w:bookmarkEnd w:id="52"/>
    <w:p>
      <w:pPr>
        <w:spacing w:after="0"/>
        <w:rPr>
          <w:sz w:val="20"/>
          <w:szCs w:val="20"/>
          <w:color w:val="auto"/>
        </w:rPr>
      </w:pPr>
      <w:r>
        <w:rPr>
          <w:rFonts w:ascii="Arial" w:cs="Arial" w:eastAsia="Arial" w:hAnsi="Arial"/>
          <w:sz w:val="18"/>
          <w:szCs w:val="18"/>
          <w:b w:val="1"/>
          <w:bCs w:val="1"/>
          <w:i w:val="1"/>
          <w:iCs w:val="1"/>
          <w:color w:val="auto"/>
        </w:rPr>
        <w:t>Any future litigation against us could be costly and time-consuming to defend.</w:t>
      </w:r>
    </w:p>
    <w:p>
      <w:pPr>
        <w:spacing w:after="0" w:line="225" w:lineRule="exact"/>
        <w:rPr>
          <w:sz w:val="20"/>
          <w:szCs w:val="20"/>
          <w:color w:val="auto"/>
        </w:rPr>
      </w:pPr>
    </w:p>
    <w:p>
      <w:pPr>
        <w:jc w:val="both"/>
        <w:ind w:firstLine="486"/>
        <w:spacing w:after="0" w:line="255" w:lineRule="auto"/>
        <w:rPr>
          <w:sz w:val="20"/>
          <w:szCs w:val="20"/>
          <w:color w:val="auto"/>
        </w:rPr>
      </w:pPr>
      <w:r>
        <w:rPr>
          <w:rFonts w:ascii="Arial" w:cs="Arial" w:eastAsia="Arial" w:hAnsi="Arial"/>
          <w:sz w:val="18"/>
          <w:szCs w:val="18"/>
          <w:color w:val="auto"/>
        </w:rPr>
        <w:t>We are and in the future may become subject to legal proceedings and claims that arise in the ordinary course of business, such as claims brought by our customers in connection with commercial disputes or employment claims made by our current or former employees. Litigation might result in substantial costs and may divert management’s attention and resources, which might seriously harm our business, financial condition and results of operations. Insurance might not cover such claims, might not provide sufficient payments to cover all the costs to resolve one or more such claims, and might not continue to be available on terms acceptable to us. A claim brought against us that is uninsured or underinsured could result in unanticipated costs, potentially harming our business, financial position and results of operations.</w:t>
      </w:r>
    </w:p>
    <w:p>
      <w:pPr>
        <w:spacing w:after="0" w:line="19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We could be required to collect additional sales taxes or be subject to other tax liabilities that may increase the costs our clients would have to pay for our products and adversely affect our results of operations.</w:t>
      </w:r>
    </w:p>
    <w:p>
      <w:pPr>
        <w:spacing w:after="0" w:line="170" w:lineRule="exact"/>
        <w:rPr>
          <w:sz w:val="20"/>
          <w:szCs w:val="20"/>
          <w:color w:val="auto"/>
        </w:rPr>
      </w:pPr>
    </w:p>
    <w:p>
      <w:pPr>
        <w:jc w:val="both"/>
        <w:ind w:firstLine="486"/>
        <w:spacing w:after="0" w:line="270" w:lineRule="auto"/>
        <w:rPr>
          <w:sz w:val="20"/>
          <w:szCs w:val="20"/>
          <w:color w:val="auto"/>
        </w:rPr>
      </w:pPr>
      <w:r>
        <w:rPr>
          <w:rFonts w:ascii="Arial" w:cs="Arial" w:eastAsia="Arial" w:hAnsi="Arial"/>
          <w:sz w:val="17"/>
          <w:szCs w:val="17"/>
          <w:color w:val="auto"/>
        </w:rPr>
        <w:t xml:space="preserve">An increasing number of states have considered or adopted laws that attempt to impose tax collection obligations on out-of-state companies. Additionally, the Supreme Court of the United States ruled in </w:t>
      </w:r>
      <w:r>
        <w:rPr>
          <w:rFonts w:ascii="Arial" w:cs="Arial" w:eastAsia="Arial" w:hAnsi="Arial"/>
          <w:sz w:val="17"/>
          <w:szCs w:val="17"/>
          <w:i w:val="1"/>
          <w:iCs w:val="1"/>
          <w:color w:val="auto"/>
        </w:rPr>
        <w:t>South Dakota v. Wayfair, Inc. et al</w:t>
      </w:r>
      <w:r>
        <w:rPr>
          <w:rFonts w:ascii="Arial" w:cs="Arial" w:eastAsia="Arial" w:hAnsi="Arial"/>
          <w:sz w:val="17"/>
          <w:szCs w:val="17"/>
          <w:color w:val="auto"/>
        </w:rPr>
        <w:t>, or Wayfair, that online sellers can be required to collect sales and use tax despite not having a physical presence in the buyer’s state. In response to Wayfair, or otherwise, states or local governments may adopt, or begin to enforce, laws requiring us to calculate, collect, and remit taxes on sales in their jurisdictions. A successful assertion by one or more states requiring us to collect taxes where we presently do not do so, or to collect more taxes in a jurisdiction in which we currently do collect some taxes, could result in substantial tax liabilities, including taxes on past sales, as well as penalties and interest. The imposition by state governments or local governments of sales tax collection obligations on out-of-state sellers could also create additional administrative burdens for us, put us at a competitive disadvantage if they do not impose similar obligations on our competitors, and decrease our future sales, which could have a material adverse effect on our business and results of operations.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ability to use our net operating losses to offset future taxable income may be subject to certain limitations.</w:t>
      </w:r>
    </w:p>
    <w:p>
      <w:pPr>
        <w:spacing w:after="0" w:line="225" w:lineRule="exact"/>
        <w:rPr>
          <w:sz w:val="20"/>
          <w:szCs w:val="20"/>
          <w:color w:val="auto"/>
        </w:rPr>
      </w:pPr>
    </w:p>
    <w:p>
      <w:pPr>
        <w:jc w:val="both"/>
        <w:ind w:firstLine="486"/>
        <w:spacing w:after="0" w:line="286" w:lineRule="auto"/>
        <w:rPr>
          <w:sz w:val="20"/>
          <w:szCs w:val="20"/>
          <w:color w:val="auto"/>
        </w:rPr>
      </w:pPr>
      <w:r>
        <w:rPr>
          <w:rFonts w:ascii="Arial" w:cs="Arial" w:eastAsia="Arial" w:hAnsi="Arial"/>
          <w:sz w:val="16"/>
          <w:szCs w:val="16"/>
          <w:color w:val="auto"/>
        </w:rPr>
        <w:t>As of December 31, 2022, we had NOL carryforwards for federal and state income tax purposes of approximately $243.4 million and $92.0 million, respectively, which may be available to offset taxable income in the future, and which expire in 2026 for state purposes if not utilized. Unused U.S. federal NOLs for taxable years beginning before January 1, 2018, may be carried forward to offset future taxable income, if any, until such unused NOLs expire. Under current law, U.S. federal NOLs incurred in taxable years after December 31, 2017, can be carried forward indefinitely, but the deductibility of such U.S. federal NOLs in taxable years beginning after December 31, 2020, is limited to 80% of taxable income. It is uncertain if and to what extent various states will conform to federal tax laws. A lack of future taxable income would adversely affect our ability to utilize portions of these NOLs before they expire. In general, under Section 382 of the Internal Revenue Code of 1986, as amended, or the Code, a corporation that undergoes an “ownership change” (as defined under Section 382 of the Code and applicable Treasury Regulations) is subject to limitations on its ability to utilize its pre-change NOLs to offset post-change taxable income. We may experience a future ownership change under Section 382 of the Code that could affect our ability to utilize the NOLs to offset our income. Furthermore, our ability to utilize NOLs of companies that we have acquired or may acquire in the future may be subject to limitations. There is also a risk that due to regulatory changes, such as suspensions on the use of NOLs or other unforeseen reasons, our existing NOLs could expire or otherwise be unavailable to reduce future income tax liabilities, including for state tax purposes. For these reasons, we may not be able to utilize a material portion of the NOLs reflected on our balance sheets, even if we attain profitability, which could potentially result in increased future tax liability to us and could adversely affect our operating results and financial condition.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our effective tax rate or tax liability may have an adverse effect on our results of operations.</w:t>
      </w:r>
    </w:p>
    <w:p>
      <w:pPr>
        <w:spacing w:after="0" w:line="22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Our effective tax rate could increase due to several factors, including:</w:t>
      </w:r>
    </w:p>
    <w:p>
      <w:pPr>
        <w:spacing w:after="0" w:line="117" w:lineRule="exact"/>
        <w:rPr>
          <w:sz w:val="20"/>
          <w:szCs w:val="20"/>
          <w:color w:val="auto"/>
        </w:rPr>
      </w:pPr>
    </w:p>
    <w:p>
      <w:pPr>
        <w:ind w:left="980" w:hanging="486"/>
        <w:spacing w:after="0"/>
        <w:tabs>
          <w:tab w:leader="none" w:pos="980" w:val="left"/>
        </w:tabs>
        <w:numPr>
          <w:ilvl w:val="0"/>
          <w:numId w:val="17"/>
        </w:numPr>
        <w:rPr>
          <w:rFonts w:ascii="Arial" w:cs="Arial" w:eastAsia="Arial" w:hAnsi="Arial"/>
          <w:sz w:val="16"/>
          <w:szCs w:val="16"/>
          <w:color w:val="auto"/>
        </w:rPr>
      </w:pPr>
      <w:r>
        <w:rPr>
          <w:rFonts w:ascii="Arial" w:cs="Arial" w:eastAsia="Arial" w:hAnsi="Arial"/>
          <w:sz w:val="16"/>
          <w:szCs w:val="16"/>
          <w:color w:val="auto"/>
        </w:rPr>
        <w:t>changes in the relative amounts of income before taxes in the various jurisdictions in which we operate that have differing statutory tax rates;</w:t>
      </w:r>
    </w:p>
    <w:p>
      <w:pPr>
        <w:spacing w:after="0" w:line="140" w:lineRule="exact"/>
        <w:rPr>
          <w:rFonts w:ascii="Arial" w:cs="Arial" w:eastAsia="Arial" w:hAnsi="Arial"/>
          <w:sz w:val="16"/>
          <w:szCs w:val="16"/>
          <w:color w:val="auto"/>
        </w:rPr>
      </w:pPr>
    </w:p>
    <w:p>
      <w:pPr>
        <w:ind w:left="980" w:hanging="486"/>
        <w:spacing w:after="0" w:line="277" w:lineRule="auto"/>
        <w:tabs>
          <w:tab w:leader="none" w:pos="975" w:val="left"/>
        </w:tabs>
        <w:numPr>
          <w:ilvl w:val="0"/>
          <w:numId w:val="17"/>
        </w:numPr>
        <w:rPr>
          <w:rFonts w:ascii="Arial" w:cs="Arial" w:eastAsia="Arial" w:hAnsi="Arial"/>
          <w:sz w:val="18"/>
          <w:szCs w:val="18"/>
          <w:color w:val="auto"/>
        </w:rPr>
      </w:pPr>
      <w:r>
        <w:rPr>
          <w:rFonts w:ascii="Arial" w:cs="Arial" w:eastAsia="Arial" w:hAnsi="Arial"/>
          <w:sz w:val="18"/>
          <w:szCs w:val="18"/>
          <w:color w:val="auto"/>
        </w:rPr>
        <w:t>changes in tax laws, tax treaties, and regulations or the interpretation of them, including the Tax Cuts and Jobs Act and the Inflation Reduction Act;</w:t>
      </w:r>
    </w:p>
    <w:p>
      <w:pPr>
        <w:spacing w:after="0" w:line="62" w:lineRule="exact"/>
        <w:rPr>
          <w:rFonts w:ascii="Arial" w:cs="Arial" w:eastAsia="Arial" w:hAnsi="Arial"/>
          <w:sz w:val="18"/>
          <w:szCs w:val="18"/>
          <w:color w:val="auto"/>
        </w:rPr>
      </w:pPr>
    </w:p>
    <w:p>
      <w:pPr>
        <w:ind w:left="980" w:hanging="486"/>
        <w:spacing w:after="0" w:line="277" w:lineRule="auto"/>
        <w:tabs>
          <w:tab w:leader="none" w:pos="975" w:val="left"/>
        </w:tabs>
        <w:numPr>
          <w:ilvl w:val="0"/>
          <w:numId w:val="17"/>
        </w:numPr>
        <w:rPr>
          <w:rFonts w:ascii="Arial" w:cs="Arial" w:eastAsia="Arial" w:hAnsi="Arial"/>
          <w:sz w:val="18"/>
          <w:szCs w:val="18"/>
          <w:color w:val="auto"/>
        </w:rPr>
      </w:pPr>
      <w:r>
        <w:rPr>
          <w:rFonts w:ascii="Arial" w:cs="Arial" w:eastAsia="Arial" w:hAnsi="Arial"/>
          <w:sz w:val="18"/>
          <w:szCs w:val="18"/>
          <w:color w:val="auto"/>
        </w:rPr>
        <w:t>any implementation of the Organization for Economic Co-operation and Development’s (OECD) international tax framework, including the Pillar II minimum tax regime;</w:t>
      </w:r>
    </w:p>
    <w:p>
      <w:pPr>
        <w:spacing w:after="0" w:line="62" w:lineRule="exact"/>
        <w:rPr>
          <w:rFonts w:ascii="Arial" w:cs="Arial" w:eastAsia="Arial" w:hAnsi="Arial"/>
          <w:sz w:val="18"/>
          <w:szCs w:val="18"/>
          <w:color w:val="auto"/>
        </w:rPr>
      </w:pPr>
    </w:p>
    <w:p>
      <w:pPr>
        <w:ind w:left="980" w:hanging="486"/>
        <w:spacing w:after="0" w:line="308" w:lineRule="auto"/>
        <w:tabs>
          <w:tab w:leader="none" w:pos="975" w:val="left"/>
        </w:tabs>
        <w:numPr>
          <w:ilvl w:val="0"/>
          <w:numId w:val="17"/>
        </w:numPr>
        <w:rPr>
          <w:rFonts w:ascii="Arial" w:cs="Arial" w:eastAsia="Arial" w:hAnsi="Arial"/>
          <w:sz w:val="17"/>
          <w:szCs w:val="17"/>
          <w:color w:val="auto"/>
        </w:rPr>
      </w:pPr>
      <w:r>
        <w:rPr>
          <w:rFonts w:ascii="Arial" w:cs="Arial" w:eastAsia="Arial" w:hAnsi="Arial"/>
          <w:sz w:val="17"/>
          <w:szCs w:val="17"/>
          <w:color w:val="auto"/>
        </w:rPr>
        <w:t>changes to our assessment about our ability to realize our deferred tax assets that are based on estimates of our future results, the prudence and feasibility of possible tax planning strategies, and the economic and political environments in which we do business;</w:t>
      </w: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13" w:right="339" w:bottom="1440" w:gutter="0" w:footer="0" w:header="0"/>
        </w:sectPr>
      </w:pPr>
    </w:p>
    <w:bookmarkStart w:id="53" w:name="page54"/>
    <w:bookmarkEnd w:id="53"/>
    <w:p>
      <w:pPr>
        <w:ind w:left="980" w:hanging="486"/>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outcome of current and future tax audits, examinations, or administrative appeals; and</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limitations or adverse findings regarding our ability to do business in some jurisdictions.</w:t>
      </w:r>
    </w:p>
    <w:p>
      <w:pPr>
        <w:spacing w:after="0" w:line="225"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We will continue to monitor these developments and pending legislation, and evaluate any potential impact on our results of operations. Any of these developments could adversely affect our results of operations.</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reported financial results may be adversely affected by changes in accounting principles generally accepted in the United States.</w:t>
      </w:r>
    </w:p>
    <w:p>
      <w:pPr>
        <w:spacing w:after="0" w:line="237"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GAAP is subject to interpretation by the Financial Accounting Standards Board, the SEC and various bodies formed to promulgate and interpret applicable accounting principles. A change in these principles or interpretations could have a significant effect on our reported results of operations and could affect the reporting of transactions already completed before the announcement of a change.</w:t>
      </w:r>
    </w:p>
    <w:p>
      <w:pPr>
        <w:spacing w:after="0" w:line="184"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If our estimates or judgments relating to our critical accounting policies prove to be incorrect, our results of operations could be adversely affected.</w:t>
      </w:r>
    </w:p>
    <w:p>
      <w:pPr>
        <w:spacing w:after="0" w:line="260" w:lineRule="exact"/>
        <w:rPr>
          <w:sz w:val="20"/>
          <w:szCs w:val="20"/>
          <w:color w:val="auto"/>
        </w:rPr>
      </w:pPr>
    </w:p>
    <w:p>
      <w:pPr>
        <w:jc w:val="both"/>
        <w:ind w:firstLine="486"/>
        <w:spacing w:after="0" w:line="290" w:lineRule="auto"/>
        <w:rPr>
          <w:sz w:val="20"/>
          <w:szCs w:val="20"/>
          <w:color w:val="auto"/>
        </w:rPr>
      </w:pPr>
      <w:r>
        <w:rPr>
          <w:rFonts w:ascii="Arial" w:cs="Arial" w:eastAsia="Arial" w:hAnsi="Arial"/>
          <w:sz w:val="16"/>
          <w:szCs w:val="16"/>
          <w:color w:val="auto"/>
        </w:rPr>
        <w:t>The preparation of financial statements in conformity with GAAP requires management to make estimates and assumptions that affect the amounts reported in our unaudited condensed consolidated financial statements and accompanying notes. We base our estimates on historical experience and on various other assumptions that we believe to be reasonable under the circumstances, as described in Note 2 in the Notes to Condensed Consolidated Financial Statements included in this Quarterly Report on Form 10-Q. The results of these estimates form the basis for making judgments about the carrying values of assets, liabilities and equity, and the amount of revenue and expenses that are not readily apparent from other sources. Significant estimates and judgments involve revenue recognition, business combinations, and internal-use software development costs. Our results of operations may be adversely affected if our assumptions change or if actual circumstances differ from those in our assumptions, which could cause our results of operations to fall below the expectations of securities analysts and investors, resulting in a decline in the market price of our Class A common stock.</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Intellectual Property</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Any failure to obtain, maintain, protect or enforce our intellectual property and proprietary rights could impair our ability to protect our proprietary technology and our brand.</w:t>
      </w:r>
    </w:p>
    <w:p>
      <w:pPr>
        <w:spacing w:after="0" w:line="170" w:lineRule="exact"/>
        <w:rPr>
          <w:sz w:val="20"/>
          <w:szCs w:val="20"/>
          <w:color w:val="auto"/>
        </w:rPr>
      </w:pPr>
    </w:p>
    <w:p>
      <w:pPr>
        <w:jc w:val="both"/>
        <w:ind w:firstLine="486"/>
        <w:spacing w:after="0" w:line="284" w:lineRule="auto"/>
        <w:rPr>
          <w:sz w:val="20"/>
          <w:szCs w:val="20"/>
          <w:color w:val="auto"/>
        </w:rPr>
      </w:pPr>
      <w:r>
        <w:rPr>
          <w:rFonts w:ascii="Arial" w:cs="Arial" w:eastAsia="Arial" w:hAnsi="Arial"/>
          <w:sz w:val="16"/>
          <w:szCs w:val="16"/>
          <w:color w:val="auto"/>
        </w:rPr>
        <w:t>Our success depends to a significant degree on our ability to obtain, maintain, protect and enforce our intellectual property rights, including our proprietary technology, know-how and our brand. We rely on a combination of trademarks, trade secrets, patents, copyrights, contractual restrictions, and other intellectual property laws and confidentiality procedures to establish and protect our proprietary rights. However, the steps we take to obtain, maintain, protect and enforce our intellectual property rights may be inadequate. We will not be able to protect our intellectual property rights if we are unable to enforce our rights or if we do not detect unauthorized use of our intellectual property rights. If we fail to protect our intellectual property rights adequately, our competitors may gain access to our proprietary technology and develop and commercialize substantially identical products, services or technologies, our business, financial condition, results of operations or prospects may be harmed. In addition, defending our intellectual property rights might entail significant expense. Any patents, trademarks, or other intellectual property rights that we have or may obtain may be challenged or circumvented by others or invalidated or held unenforceable through administrative processes, including re-examination, inter partes review, interference and derivation proceedings and equivalent proceedings in foreign jurisdictions (e.g., opposition proceedings) or litigation. Despite our pending patent applications, there can be no assurance that our patent applications will result in issued patents. Even if we continue to seek patent protection in the future, we may be unable to obtain or maintain patent protection for our technology. In addition, any patents issued from pending or future patent applications or licensed to us in the future may not provide us with competitive advantages, or may be successfully challenged by third parties. There may be issued patents of which we are not aware, held by third parties that, if found to be valid and enforceable, could be alleged to be infringed by our current or future technologies or products. There also may be pending patent applications of which we are not aware that may result in issued patents, which could be alleged to be infringed by our current or future technologies or products. Furthermore, legal standards relating to the validity, enforceability, and scope of protection of intellectual property rights are uncertain. Despite our precautions, it may be possible for unauthorized third parties to copy our products and platform capabilities and use information that we regard as proprietary to create products that compete with ours. Patent, trademark, copyright, and trade secret protections may not be available to us in every country in which our products are available. For example, as we have expanded internationally, we have been unable to register and obtain the exclusive right to use the Datadog trademark in certain jurisdictions, including certain European countries outside of the EU, and as we continue to expand, we may face similar issues in other jurisdictions. The</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5" w:right="339" w:bottom="1440" w:gutter="0" w:footer="0" w:header="0"/>
        </w:sectPr>
      </w:pPr>
    </w:p>
    <w:bookmarkStart w:id="54" w:name="page55"/>
    <w:bookmarkEnd w:id="54"/>
    <w:p>
      <w:pPr>
        <w:jc w:val="both"/>
        <w:spacing w:after="0" w:line="269" w:lineRule="auto"/>
        <w:rPr>
          <w:sz w:val="20"/>
          <w:szCs w:val="20"/>
          <w:color w:val="auto"/>
        </w:rPr>
      </w:pPr>
      <w:r>
        <w:rPr>
          <w:rFonts w:ascii="Arial" w:cs="Arial" w:eastAsia="Arial" w:hAnsi="Arial"/>
          <w:sz w:val="17"/>
          <w:szCs w:val="17"/>
          <w:color w:val="auto"/>
        </w:rPr>
        <w:t>value of our intellectual property could diminish if others assert rights in or ownership of our trademarks and other intellectual property rights, or trademarks that are similar to our trademarks. We may be unable to successfully resolve these types of conflicts to our satisfaction. In some cases, litigation or other actions may be necessary to protect or enforce our trademarks and other intellectual property rights. Furthermore, third parties may assert intellectual property claims against us, and we may be subject to liability, required to enter into costly license agreements, or required to rebrand our products and/or prevented from selling some of our products if third parties successfully claim that we infringe, misappropriate or otherwise violate their trademarks or other intellectual property rights. In addition, the laws of some foreign countries may not be as protective of intellectual property rights as those in the United States, and mechanisms for enforcement of intellectual property rights may be inadequate. As we expand our international activities, our exposure to unauthorized copying and use of our products and platform capabilities and proprietary information will likely increase. Moreover, policing unauthorized use of our technologies, trade secrets, and intellectual property may be difficult, expensive, and time-consuming, particularly in foreign countries where the laws may not be as protective of intellectual property rights as those in the United States and where mechanisms for enforcement of intellectual property rights may be weak. Accordingly, despite our efforts, we may be unable to prevent third parties from infringing upon, misappropriating or otherwise violating our intellectual property rights.</w:t>
      </w:r>
    </w:p>
    <w:p>
      <w:pPr>
        <w:spacing w:after="0" w:line="179" w:lineRule="exact"/>
        <w:rPr>
          <w:sz w:val="20"/>
          <w:szCs w:val="20"/>
          <w:color w:val="auto"/>
        </w:rPr>
      </w:pPr>
    </w:p>
    <w:p>
      <w:pPr>
        <w:jc w:val="both"/>
        <w:ind w:firstLine="486"/>
        <w:spacing w:after="0" w:line="254" w:lineRule="auto"/>
        <w:rPr>
          <w:sz w:val="20"/>
          <w:szCs w:val="20"/>
          <w:color w:val="auto"/>
        </w:rPr>
      </w:pPr>
      <w:r>
        <w:rPr>
          <w:rFonts w:ascii="Arial" w:cs="Arial" w:eastAsia="Arial" w:hAnsi="Arial"/>
          <w:sz w:val="18"/>
          <w:szCs w:val="18"/>
          <w:color w:val="auto"/>
        </w:rPr>
        <w:t>We enter into confidentiality and invention assignment agreements with our employees and consultants and enter into confidentiality agreements with other third parties, including suppliers and other partners. However, we cannot guarantee that we have entered into such agreements with each party that has or may have had access to our proprietary information, know-how and trade secrets. Moreover, no assurance can be given that these agreements will be effective in controlling access to, distribution, use, misuse, misappropriation, reverse engineering or disclosure of our proprietary information, know-how and trade secrets. Further, these agreements may not prevent our competitors from independently developing technologies that are substantially equivalent or superior to our products and platform capabilities. These agreements may be breached, and we may not have adequate remedies for any such breach.</w:t>
      </w:r>
    </w:p>
    <w:p>
      <w:pPr>
        <w:spacing w:after="0" w:line="195" w:lineRule="exact"/>
        <w:rPr>
          <w:sz w:val="20"/>
          <w:szCs w:val="20"/>
          <w:color w:val="auto"/>
        </w:rPr>
      </w:pPr>
    </w:p>
    <w:p>
      <w:pPr>
        <w:jc w:val="both"/>
        <w:ind w:firstLine="486"/>
        <w:spacing w:after="0" w:line="270" w:lineRule="auto"/>
        <w:rPr>
          <w:sz w:val="20"/>
          <w:szCs w:val="20"/>
          <w:color w:val="auto"/>
        </w:rPr>
      </w:pPr>
      <w:r>
        <w:rPr>
          <w:rFonts w:ascii="Arial" w:cs="Arial" w:eastAsia="Arial" w:hAnsi="Arial"/>
          <w:sz w:val="17"/>
          <w:szCs w:val="17"/>
          <w:color w:val="auto"/>
        </w:rPr>
        <w:t>In order to protect our intellectual property rights, we may be required to spend significant resources to monitor and protect our intellectual property rights. Litigation may be necessary in the future to enforce our intellectual property rights and to protect our trade secrets. Litigation brought to protect and enforce our intellectual property rights could be costly, time-consuming, and distracting to management, and could result in the impairment or loss of portions of our intellectual property. Further, our efforts to enforce our intellectual property rights may be met with defenses, counterclaims, and countersuits attacking the validity and enforceability of our intellectual property rights, and if such defenses, counterclaims or countersuits are successful, we could lose valuable intellectual property rights. Our inability to protect our proprietary technology against unauthorized copying or use, as well as any costly litigation or diversion of our management’s attention and resources, could delay further sales or the implementation of our products and platform capabilities, impair the functionality of our products and platform capabilities, delay introductions of new solutions, result in our substituting inferior or more costly technologies into our products, or injure our reputation.</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may become subject to intellectual property disputes, which are costly and may subject us to significant liability and increased costs of doing business.</w:t>
      </w:r>
    </w:p>
    <w:p>
      <w:pPr>
        <w:spacing w:after="0" w:line="170" w:lineRule="exact"/>
        <w:rPr>
          <w:sz w:val="20"/>
          <w:szCs w:val="20"/>
          <w:color w:val="auto"/>
        </w:rPr>
      </w:pPr>
    </w:p>
    <w:p>
      <w:pPr>
        <w:jc w:val="both"/>
        <w:ind w:firstLine="486"/>
        <w:spacing w:after="0" w:line="267" w:lineRule="auto"/>
        <w:rPr>
          <w:sz w:val="20"/>
          <w:szCs w:val="20"/>
          <w:color w:val="auto"/>
        </w:rPr>
      </w:pPr>
      <w:r>
        <w:rPr>
          <w:rFonts w:ascii="Arial" w:cs="Arial" w:eastAsia="Arial" w:hAnsi="Arial"/>
          <w:sz w:val="17"/>
          <w:szCs w:val="17"/>
          <w:color w:val="auto"/>
        </w:rPr>
        <w:t>We have been and may continue to be subject to intellectual property disputes. Our success depends, in part, on our ability to develop and commercialize our products and services without infringing, misappropriating or otherwise violating the intellectual property rights of third parties. However, we may not be aware that our products or services are infringing, misappropriating or otherwise violating third-party intellectual property rights and such third parties may bring claims alleging such infringement, misappropriation or violation. Lawsuits are time-consuming and expensive to resolve and they divert management’s time and attention. The software industry is characterized by the existence of a large number of patents, copyrights, trademarks, trade secrets, and other intellectual and proprietary rights. Companies in the software industry are often required to defend against litigation claims based on allegations of infringement, misappropriation or other violations of intellectual property rights. Our technologies may not be able to withstand any third-party claims against their use. In addition, many companies have the capability to dedicate substantially greater resources to enforce their intellectual property rights and to defend claims that may be brought against them. We do not currently have a large patent portfolio, which could prevent us from deterring patent infringement claims through our own patent portfolio, and our competitors and others may now and in the future have significantly larger and more mature patent portfolios than we have. Any litigation may also involve patent holding companies or other adverse patent owners that have no relevant product revenue, and therefore, our patent portfolio may provide little or no deterrence as we would not be able to assert them against such entities or individuals. If a third party is able to obtain an injunction preventing us from accessing such third-party intellectual property rights, or if we cannot license or develop alternative technology for any infringing aspect of our business, we would be forced to limit or stop sales of our products and platform capabilities or cease business activities related to such intellectual property. Although we carry general liability insurance, our insurance may not cover potential claims of this type or may not be adequate to indemnify us for all liability that may be imposed. We cannot predict the outcome of lawsuits and cannot ensure that the results of any such actions</w:t>
      </w: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13" w:right="339" w:bottom="1440" w:gutter="0" w:footer="0" w:header="0"/>
        </w:sectPr>
      </w:pPr>
    </w:p>
    <w:bookmarkStart w:id="55" w:name="page56"/>
    <w:bookmarkEnd w:id="55"/>
    <w:p>
      <w:pPr>
        <w:ind w:right="20"/>
        <w:spacing w:after="0" w:line="342" w:lineRule="auto"/>
        <w:rPr>
          <w:sz w:val="20"/>
          <w:szCs w:val="20"/>
          <w:color w:val="auto"/>
        </w:rPr>
      </w:pPr>
      <w:r>
        <w:rPr>
          <w:rFonts w:ascii="Arial" w:cs="Arial" w:eastAsia="Arial" w:hAnsi="Arial"/>
          <w:sz w:val="16"/>
          <w:szCs w:val="16"/>
          <w:color w:val="auto"/>
        </w:rPr>
        <w:t>will not have an adverse effect on our business, financial condition or results of operations. Any intellectual property litigation to which we might become a party, or for which we have been or may continue to be required to provide indemnification, may require us to do one or more of the following:</w:t>
      </w:r>
    </w:p>
    <w:p>
      <w:pPr>
        <w:spacing w:after="0" w:line="124" w:lineRule="exact"/>
        <w:rPr>
          <w:sz w:val="20"/>
          <w:szCs w:val="20"/>
          <w:color w:val="auto"/>
        </w:rPr>
      </w:pPr>
    </w:p>
    <w:p>
      <w:pPr>
        <w:ind w:left="660" w:hanging="166"/>
        <w:spacing w:after="0"/>
        <w:tabs>
          <w:tab w:leader="none" w:pos="660" w:val="left"/>
        </w:tabs>
        <w:numPr>
          <w:ilvl w:val="0"/>
          <w:numId w:val="19"/>
        </w:numPr>
        <w:rPr>
          <w:rFonts w:ascii="Arial" w:cs="Arial" w:eastAsia="Arial" w:hAnsi="Arial"/>
          <w:sz w:val="16"/>
          <w:szCs w:val="16"/>
          <w:color w:val="auto"/>
        </w:rPr>
      </w:pPr>
      <w:r>
        <w:rPr>
          <w:rFonts w:ascii="Arial" w:cs="Arial" w:eastAsia="Arial" w:hAnsi="Arial"/>
          <w:sz w:val="16"/>
          <w:szCs w:val="16"/>
          <w:color w:val="auto"/>
        </w:rPr>
        <w:t>cease selling or using products or services that incorporate the intellectual property rights that we allegedly infringe, misappropriate or violate;</w:t>
      </w:r>
    </w:p>
    <w:p>
      <w:pPr>
        <w:spacing w:after="0" w:line="248" w:lineRule="exact"/>
        <w:rPr>
          <w:rFonts w:ascii="Arial" w:cs="Arial" w:eastAsia="Arial" w:hAnsi="Arial"/>
          <w:sz w:val="16"/>
          <w:szCs w:val="16"/>
          <w:color w:val="auto"/>
        </w:rPr>
      </w:pPr>
    </w:p>
    <w:p>
      <w:pPr>
        <w:ind w:left="660" w:hanging="166"/>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make substantial payments for legal fees, settlement payments or other costs or damages;</w:t>
      </w:r>
    </w:p>
    <w:p>
      <w:pPr>
        <w:spacing w:after="0" w:line="225" w:lineRule="exact"/>
        <w:rPr>
          <w:rFonts w:ascii="Arial" w:cs="Arial" w:eastAsia="Arial" w:hAnsi="Arial"/>
          <w:sz w:val="18"/>
          <w:szCs w:val="18"/>
          <w:color w:val="auto"/>
        </w:rPr>
      </w:pPr>
    </w:p>
    <w:p>
      <w:pPr>
        <w:ind w:left="660" w:hanging="166"/>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obtain a license, which may not be available on reasonable terms or at all, to sell or use the relevant technology; or</w:t>
      </w:r>
    </w:p>
    <w:p>
      <w:pPr>
        <w:spacing w:after="0" w:line="225" w:lineRule="exact"/>
        <w:rPr>
          <w:rFonts w:ascii="Arial" w:cs="Arial" w:eastAsia="Arial" w:hAnsi="Arial"/>
          <w:sz w:val="18"/>
          <w:szCs w:val="18"/>
          <w:color w:val="auto"/>
        </w:rPr>
      </w:pPr>
    </w:p>
    <w:p>
      <w:pPr>
        <w:ind w:firstLine="494"/>
        <w:spacing w:after="0" w:line="277" w:lineRule="auto"/>
        <w:tabs>
          <w:tab w:leader="none" w:pos="643"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redesign the allegedly infringing products to avoid infringement, misappropriation or violation, which could be costly, time-consuming or impossible.</w:t>
      </w:r>
    </w:p>
    <w:p>
      <w:pPr>
        <w:spacing w:after="0" w:line="170" w:lineRule="exact"/>
        <w:rPr>
          <w:sz w:val="20"/>
          <w:szCs w:val="20"/>
          <w:color w:val="auto"/>
        </w:rPr>
      </w:pPr>
    </w:p>
    <w:p>
      <w:pPr>
        <w:jc w:val="both"/>
        <w:ind w:firstLine="486"/>
        <w:spacing w:after="0" w:line="255" w:lineRule="auto"/>
        <w:rPr>
          <w:sz w:val="20"/>
          <w:szCs w:val="20"/>
          <w:color w:val="auto"/>
        </w:rPr>
      </w:pPr>
      <w:r>
        <w:rPr>
          <w:rFonts w:ascii="Arial" w:cs="Arial" w:eastAsia="Arial" w:hAnsi="Arial"/>
          <w:sz w:val="18"/>
          <w:szCs w:val="18"/>
          <w:color w:val="auto"/>
        </w:rPr>
        <w:t>Even if the claims do not result in litigation or are resolved in our favor, these claims, and the time and resources necessary to resolve them, could divert the resources of our management and harm our business and operating results. Moreover, there could be public announcements of the results of hearings, motions or other interim proceedings or developments and if securities analysts or investors perceive these results to be negative, it could have a substantial adverse effect on the price of our common stock. We expect that the occurrence of infringement claims is likely to grow as the market for our platform and products grows. Accordingly, our exposure to damages resulting from infringement claims could increase and this could further exhaust our financial and management resources.</w:t>
      </w:r>
    </w:p>
    <w:p>
      <w:pPr>
        <w:spacing w:after="0" w:line="192"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use open source software in our products, which could negatively affect our ability to sell our services or subject us to litigation or other actions.</w:t>
      </w:r>
    </w:p>
    <w:p>
      <w:pPr>
        <w:spacing w:after="0" w:line="260" w:lineRule="exact"/>
        <w:rPr>
          <w:sz w:val="20"/>
          <w:szCs w:val="20"/>
          <w:color w:val="auto"/>
        </w:rPr>
      </w:pPr>
    </w:p>
    <w:p>
      <w:pPr>
        <w:jc w:val="both"/>
        <w:ind w:firstLine="486"/>
        <w:spacing w:after="0" w:line="284" w:lineRule="auto"/>
        <w:rPr>
          <w:sz w:val="20"/>
          <w:szCs w:val="20"/>
          <w:color w:val="auto"/>
        </w:rPr>
      </w:pPr>
      <w:r>
        <w:rPr>
          <w:rFonts w:ascii="Arial" w:cs="Arial" w:eastAsia="Arial" w:hAnsi="Arial"/>
          <w:sz w:val="16"/>
          <w:szCs w:val="16"/>
          <w:color w:val="auto"/>
        </w:rPr>
        <w:t>We use open source software in our products and we expect to continue to incorporate open source software in our services in the future. Few of the licenses applicable to open source software have been interpreted by courts, and there is a risk that these licenses could be construed in a manner that could impose unanticipated conditions or restrictions on our ability to commercialize our products. Moreover, we cannot ensure that we have not incorporated additional open source software in our software in a manner that is inconsistent with the terms of the applicable license or our current policies and procedures. If we fail to comply with these licenses, we may be subject to certain requirements, including requirements that we offer our solutions that incorporate the open source software for no cost, that we make available source code for modifications or derivative works we create based upon, incorporating or using the open source software and that we license such modifications or derivative works under the terms of applicable open source licenses. If an author or other third party that distributes such open source software were to allege that we had not complied with the conditions of one or more of these licenses, we could be required to incur significant legal expenses defending against such allegations and could be subject to significant damages, enjoined from the sale of our products that contained the open source software and required to comply with onerous conditions or restrictions on these products, which could disrupt the distribution and sale of these products. From time to time, there have been claims challenging the ownership rights in open source software against companies that incorporate it into their products and the licensors of such open source software provide no warranties or indemnities with respect to such claims. As a result, we and our customers could be subject to lawsuits by parties claiming ownership of what we believe to be open source software. Litigation could be costly for us to defend, have a negative effect on our business, financial condition and results of operations, or require us to devote additional research and development resources to change our products. In addition, although we employ open source software license screening measures, if we were to combine our proprietary software products with open source software in a certain manner we could, under certain open source licenses, be required to release the source code of our proprietary software products. Some open source projects have known vulnerabilities and architectural instabilities and are provided on an “as-is” basis which, if not properly addressed, could negatively affect the performance of our product. If we inappropriately use or incorporate open source software subject to certain types of open source licenses that challenge the proprietary nature of our products, we may be required to re-engineer such products, discontinue the sale of such products or take other remedial actions.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Associated with our International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current operations are international in scope, and we plan further geographic expansion, creating a variety of operational challenges.</w:t>
      </w:r>
    </w:p>
    <w:p>
      <w:pPr>
        <w:spacing w:after="0" w:line="237"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A component of our growth strategy involves the further expansion of our operations and customer base internationally. Revenue, as determined based on the billing address of our customers, from regions outside of North America was 30% and 28% for the nine months ended September 30, 2023 and 2022, respectively. Beyond North America, we now have sales presence internationally, including in Amsterdam, Dublin, London, Paris, Seoul, Singapore, Sydney, and Tokyo. We are</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13" w:right="339" w:bottom="1440" w:gutter="0" w:footer="0" w:header="0"/>
        </w:sectPr>
      </w:pPr>
    </w:p>
    <w:bookmarkStart w:id="56" w:name="page57"/>
    <w:bookmarkEnd w:id="56"/>
    <w:p>
      <w:pPr>
        <w:jc w:val="both"/>
        <w:spacing w:after="0" w:line="255" w:lineRule="auto"/>
        <w:rPr>
          <w:sz w:val="20"/>
          <w:szCs w:val="20"/>
          <w:color w:val="auto"/>
        </w:rPr>
      </w:pPr>
      <w:r>
        <w:rPr>
          <w:rFonts w:ascii="Arial" w:cs="Arial" w:eastAsia="Arial" w:hAnsi="Arial"/>
          <w:sz w:val="18"/>
          <w:szCs w:val="18"/>
          <w:color w:val="auto"/>
        </w:rPr>
        <w:t>continuing to adapt to and develop strategies to address international markets, but there is no guarantee that such efforts will have the desired effect. For example, we anticipate that we will need to establish relationships with new partners in order to expand into certain countries, and if we fail to identify, establish and maintain such relationships, we may be unable to execute on our expansion plans. As of September 30, 2023, approximately 39% of our full-time employees were located outside of the United States, 34% of whom were located in France. We expect that our international activities will continue to grow for the foreseeable future as we continue to pursue opportunities in existing and new international markets, which will require significant dedication of management attention and financial resources.</w:t>
      </w:r>
    </w:p>
    <w:p>
      <w:pPr>
        <w:spacing w:after="0" w:line="192" w:lineRule="exact"/>
        <w:rPr>
          <w:sz w:val="20"/>
          <w:szCs w:val="20"/>
          <w:color w:val="auto"/>
        </w:rPr>
      </w:pPr>
    </w:p>
    <w:p>
      <w:pPr>
        <w:ind w:left="500"/>
        <w:spacing w:after="0"/>
        <w:rPr>
          <w:sz w:val="20"/>
          <w:szCs w:val="20"/>
          <w:color w:val="auto"/>
        </w:rPr>
      </w:pPr>
      <w:r>
        <w:rPr>
          <w:rFonts w:ascii="Arial" w:cs="Arial" w:eastAsia="Arial" w:hAnsi="Arial"/>
          <w:sz w:val="18"/>
          <w:szCs w:val="18"/>
          <w:color w:val="auto"/>
        </w:rPr>
        <w:t>Our current and future international business and operations involve a variety of risks, including:</w:t>
      </w:r>
    </w:p>
    <w:p>
      <w:pPr>
        <w:spacing w:after="0" w:line="117" w:lineRule="exact"/>
        <w:rPr>
          <w:sz w:val="20"/>
          <w:szCs w:val="20"/>
          <w:color w:val="auto"/>
        </w:rPr>
      </w:pPr>
    </w:p>
    <w:p>
      <w:pPr>
        <w:ind w:left="980" w:hanging="486"/>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slower than anticipated availability and adoption of cloud and hybrid IT infrastructures by international businesses;</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changes in a specific country’s or region’s political or economic conditions;</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need to adapt and localize our products for specific countries;</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greater difficulty collecting accounts receivable and longer payment cycles;</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potential changes in trade relations, sanctions, regulations, or laws;</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unexpected changes in laws, regulatory requirements, or tax laws;</w:t>
      </w:r>
    </w:p>
    <w:p>
      <w:pPr>
        <w:spacing w:after="0" w:line="117" w:lineRule="exact"/>
        <w:rPr>
          <w:rFonts w:ascii="Arial" w:cs="Arial" w:eastAsia="Arial" w:hAnsi="Arial"/>
          <w:sz w:val="18"/>
          <w:szCs w:val="18"/>
          <w:color w:val="auto"/>
        </w:rPr>
      </w:pPr>
    </w:p>
    <w:p>
      <w:pPr>
        <w:ind w:left="980" w:hanging="486"/>
        <w:spacing w:after="0" w:line="277" w:lineRule="auto"/>
        <w:tabs>
          <w:tab w:leader="none" w:pos="975" w:val="left"/>
        </w:tabs>
        <w:numPr>
          <w:ilvl w:val="0"/>
          <w:numId w:val="20"/>
        </w:numPr>
        <w:rPr>
          <w:rFonts w:ascii="Arial" w:cs="Arial" w:eastAsia="Arial" w:hAnsi="Arial"/>
          <w:sz w:val="18"/>
          <w:szCs w:val="18"/>
          <w:color w:val="auto"/>
        </w:rPr>
      </w:pPr>
      <w:r>
        <w:rPr>
          <w:rFonts w:ascii="Arial" w:cs="Arial" w:eastAsia="Arial" w:hAnsi="Arial"/>
          <w:sz w:val="18"/>
          <w:szCs w:val="18"/>
          <w:color w:val="auto"/>
        </w:rPr>
        <w:t>more stringent regulations relating to privacy and data security and the unauthorized use of, or access to, commercial and personal information, particularly in Europe and the United Kingdom;</w:t>
      </w:r>
    </w:p>
    <w:p>
      <w:pPr>
        <w:spacing w:after="0" w:line="62" w:lineRule="exact"/>
        <w:rPr>
          <w:rFonts w:ascii="Arial" w:cs="Arial" w:eastAsia="Arial" w:hAnsi="Arial"/>
          <w:sz w:val="18"/>
          <w:szCs w:val="18"/>
          <w:color w:val="auto"/>
        </w:rPr>
      </w:pPr>
    </w:p>
    <w:p>
      <w:pPr>
        <w:ind w:left="980" w:hanging="486"/>
        <w:spacing w:after="0" w:line="308" w:lineRule="auto"/>
        <w:tabs>
          <w:tab w:leader="none" w:pos="975" w:val="left"/>
        </w:tabs>
        <w:numPr>
          <w:ilvl w:val="0"/>
          <w:numId w:val="20"/>
        </w:numPr>
        <w:rPr>
          <w:rFonts w:ascii="Arial" w:cs="Arial" w:eastAsia="Arial" w:hAnsi="Arial"/>
          <w:sz w:val="17"/>
          <w:szCs w:val="17"/>
          <w:color w:val="auto"/>
        </w:rPr>
      </w:pPr>
      <w:r>
        <w:rPr>
          <w:rFonts w:ascii="Arial" w:cs="Arial" w:eastAsia="Arial" w:hAnsi="Arial"/>
          <w:sz w:val="17"/>
          <w:szCs w:val="17"/>
          <w:color w:val="auto"/>
        </w:rPr>
        <w:t>differing and potentially more onerous labor regulations, especially in Europe, where labor laws are generally more advantageous to employees as compared to the United States, including deemed hourly wage and overtime regulations in these locations;</w:t>
      </w:r>
    </w:p>
    <w:p>
      <w:pPr>
        <w:spacing w:after="0" w:line="38" w:lineRule="exact"/>
        <w:rPr>
          <w:rFonts w:ascii="Arial" w:cs="Arial" w:eastAsia="Arial" w:hAnsi="Arial"/>
          <w:sz w:val="17"/>
          <w:szCs w:val="17"/>
          <w:color w:val="auto"/>
        </w:rPr>
      </w:pPr>
    </w:p>
    <w:p>
      <w:pPr>
        <w:ind w:left="980" w:right="60" w:hanging="486"/>
        <w:spacing w:after="0" w:line="263" w:lineRule="auto"/>
        <w:tabs>
          <w:tab w:leader="none" w:pos="975" w:val="left"/>
        </w:tabs>
        <w:numPr>
          <w:ilvl w:val="0"/>
          <w:numId w:val="20"/>
        </w:numPr>
        <w:rPr>
          <w:rFonts w:ascii="Arial" w:cs="Arial" w:eastAsia="Arial" w:hAnsi="Arial"/>
          <w:sz w:val="18"/>
          <w:szCs w:val="18"/>
          <w:color w:val="auto"/>
        </w:rPr>
      </w:pPr>
      <w:r>
        <w:rPr>
          <w:rFonts w:ascii="Arial" w:cs="Arial" w:eastAsia="Arial" w:hAnsi="Arial"/>
          <w:sz w:val="18"/>
          <w:szCs w:val="18"/>
          <w:color w:val="auto"/>
        </w:rPr>
        <w:t>challenges inherent in efficiently managing, and the increased costs associated with, an increased number of employees over large geographic distances, including the need to implement appropriate systems, policies, benefits, and compliance programs that are specific to each jurisdiction;</w:t>
      </w:r>
    </w:p>
    <w:p>
      <w:pPr>
        <w:spacing w:after="0" w:line="75" w:lineRule="exact"/>
        <w:rPr>
          <w:rFonts w:ascii="Arial" w:cs="Arial" w:eastAsia="Arial" w:hAnsi="Arial"/>
          <w:sz w:val="18"/>
          <w:szCs w:val="18"/>
          <w:color w:val="auto"/>
        </w:rPr>
      </w:pPr>
    </w:p>
    <w:p>
      <w:pPr>
        <w:ind w:left="980" w:hanging="486"/>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potential changes in laws, regulations and costs affecting our U.K. operations and local employees due to Brexit;</w:t>
      </w:r>
    </w:p>
    <w:p>
      <w:pPr>
        <w:spacing w:after="0" w:line="117" w:lineRule="exact"/>
        <w:rPr>
          <w:rFonts w:ascii="Arial" w:cs="Arial" w:eastAsia="Arial" w:hAnsi="Arial"/>
          <w:sz w:val="18"/>
          <w:szCs w:val="18"/>
          <w:color w:val="auto"/>
        </w:rPr>
      </w:pPr>
    </w:p>
    <w:p>
      <w:pPr>
        <w:ind w:left="980" w:right="20" w:hanging="486"/>
        <w:spacing w:after="0" w:line="277" w:lineRule="auto"/>
        <w:tabs>
          <w:tab w:leader="none" w:pos="975" w:val="left"/>
        </w:tabs>
        <w:numPr>
          <w:ilvl w:val="0"/>
          <w:numId w:val="20"/>
        </w:numPr>
        <w:rPr>
          <w:rFonts w:ascii="Arial" w:cs="Arial" w:eastAsia="Arial" w:hAnsi="Arial"/>
          <w:sz w:val="18"/>
          <w:szCs w:val="18"/>
          <w:color w:val="auto"/>
        </w:rPr>
      </w:pPr>
      <w:r>
        <w:rPr>
          <w:rFonts w:ascii="Arial" w:cs="Arial" w:eastAsia="Arial" w:hAnsi="Arial"/>
          <w:sz w:val="18"/>
          <w:szCs w:val="18"/>
          <w:color w:val="auto"/>
        </w:rPr>
        <w:t>difficulties in managing a business in new markets with diverse cultures, languages, customs, legal systems, alternative dispute systems, and regulatory systems;</w:t>
      </w:r>
    </w:p>
    <w:p>
      <w:pPr>
        <w:spacing w:after="0" w:line="62" w:lineRule="exact"/>
        <w:rPr>
          <w:rFonts w:ascii="Arial" w:cs="Arial" w:eastAsia="Arial" w:hAnsi="Arial"/>
          <w:sz w:val="18"/>
          <w:szCs w:val="18"/>
          <w:color w:val="auto"/>
        </w:rPr>
      </w:pPr>
    </w:p>
    <w:p>
      <w:pPr>
        <w:ind w:left="980" w:hanging="486"/>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increased travel, real estate, infrastructure, and legal compliance costs associated with international operations;</w:t>
      </w:r>
    </w:p>
    <w:p>
      <w:pPr>
        <w:spacing w:after="0" w:line="117" w:lineRule="exact"/>
        <w:rPr>
          <w:rFonts w:ascii="Arial" w:cs="Arial" w:eastAsia="Arial" w:hAnsi="Arial"/>
          <w:sz w:val="18"/>
          <w:szCs w:val="18"/>
          <w:color w:val="auto"/>
        </w:rPr>
      </w:pPr>
    </w:p>
    <w:p>
      <w:pPr>
        <w:ind w:left="980" w:hanging="486"/>
        <w:spacing w:after="0" w:line="277" w:lineRule="auto"/>
        <w:tabs>
          <w:tab w:leader="none" w:pos="975" w:val="left"/>
        </w:tabs>
        <w:numPr>
          <w:ilvl w:val="0"/>
          <w:numId w:val="20"/>
        </w:numPr>
        <w:rPr>
          <w:rFonts w:ascii="Arial" w:cs="Arial" w:eastAsia="Arial" w:hAnsi="Arial"/>
          <w:sz w:val="18"/>
          <w:szCs w:val="18"/>
          <w:color w:val="auto"/>
        </w:rPr>
      </w:pPr>
      <w:r>
        <w:rPr>
          <w:rFonts w:ascii="Arial" w:cs="Arial" w:eastAsia="Arial" w:hAnsi="Arial"/>
          <w:sz w:val="18"/>
          <w:szCs w:val="18"/>
          <w:color w:val="auto"/>
        </w:rPr>
        <w:t>currency exchange rate fluctuations and the resulting effect on our revenue and expenses, and the cost and risk of entering into hedging transactions if we chose to do so in the future;</w:t>
      </w:r>
    </w:p>
    <w:p>
      <w:pPr>
        <w:spacing w:after="0" w:line="62" w:lineRule="exact"/>
        <w:rPr>
          <w:rFonts w:ascii="Arial" w:cs="Arial" w:eastAsia="Arial" w:hAnsi="Arial"/>
          <w:sz w:val="18"/>
          <w:szCs w:val="18"/>
          <w:color w:val="auto"/>
        </w:rPr>
      </w:pPr>
    </w:p>
    <w:p>
      <w:pPr>
        <w:ind w:left="980" w:hanging="486"/>
        <w:spacing w:after="0"/>
        <w:tabs>
          <w:tab w:leader="none" w:pos="980" w:val="left"/>
        </w:tabs>
        <w:numPr>
          <w:ilvl w:val="0"/>
          <w:numId w:val="20"/>
        </w:numPr>
        <w:rPr>
          <w:rFonts w:ascii="Arial" w:cs="Arial" w:eastAsia="Arial" w:hAnsi="Arial"/>
          <w:sz w:val="16"/>
          <w:szCs w:val="16"/>
          <w:color w:val="auto"/>
        </w:rPr>
      </w:pPr>
      <w:r>
        <w:rPr>
          <w:rFonts w:ascii="Arial" w:cs="Arial" w:eastAsia="Arial" w:hAnsi="Arial"/>
          <w:sz w:val="16"/>
          <w:szCs w:val="16"/>
          <w:color w:val="auto"/>
        </w:rPr>
        <w:t>limitations on our ability to reinvest earnings from operations in one country to fund the capital needs of our operations in other countries;</w:t>
      </w:r>
    </w:p>
    <w:p>
      <w:pPr>
        <w:spacing w:after="0" w:line="140" w:lineRule="exact"/>
        <w:rPr>
          <w:rFonts w:ascii="Arial" w:cs="Arial" w:eastAsia="Arial" w:hAnsi="Arial"/>
          <w:sz w:val="16"/>
          <w:szCs w:val="16"/>
          <w:color w:val="auto"/>
        </w:rPr>
      </w:pPr>
    </w:p>
    <w:p>
      <w:pPr>
        <w:ind w:left="980" w:hanging="486"/>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laws and business practices favoring local competitors or general market preferences for local vendors;</w:t>
      </w:r>
    </w:p>
    <w:p>
      <w:pPr>
        <w:spacing w:after="0" w:line="117" w:lineRule="exact"/>
        <w:rPr>
          <w:rFonts w:ascii="Arial" w:cs="Arial" w:eastAsia="Arial" w:hAnsi="Arial"/>
          <w:sz w:val="18"/>
          <w:szCs w:val="18"/>
          <w:color w:val="auto"/>
        </w:rPr>
      </w:pPr>
    </w:p>
    <w:p>
      <w:pPr>
        <w:ind w:left="980" w:hanging="486"/>
        <w:spacing w:after="0" w:line="277" w:lineRule="auto"/>
        <w:tabs>
          <w:tab w:leader="none" w:pos="975" w:val="left"/>
        </w:tabs>
        <w:numPr>
          <w:ilvl w:val="0"/>
          <w:numId w:val="20"/>
        </w:numPr>
        <w:rPr>
          <w:rFonts w:ascii="Arial" w:cs="Arial" w:eastAsia="Arial" w:hAnsi="Arial"/>
          <w:sz w:val="18"/>
          <w:szCs w:val="18"/>
          <w:color w:val="auto"/>
        </w:rPr>
      </w:pPr>
      <w:r>
        <w:rPr>
          <w:rFonts w:ascii="Arial" w:cs="Arial" w:eastAsia="Arial" w:hAnsi="Arial"/>
          <w:sz w:val="18"/>
          <w:szCs w:val="18"/>
          <w:color w:val="auto"/>
        </w:rPr>
        <w:t>limited or insufficient intellectual property protection or difficulties obtaining, maintaining, protecting or enforcing our intellectual property rights, including our trademarks and patents;</w:t>
      </w:r>
    </w:p>
    <w:p>
      <w:pPr>
        <w:spacing w:after="0" w:line="62" w:lineRule="exact"/>
        <w:rPr>
          <w:rFonts w:ascii="Arial" w:cs="Arial" w:eastAsia="Arial" w:hAnsi="Arial"/>
          <w:sz w:val="18"/>
          <w:szCs w:val="18"/>
          <w:color w:val="auto"/>
        </w:rPr>
      </w:pPr>
    </w:p>
    <w:p>
      <w:pPr>
        <w:ind w:left="980" w:hanging="486"/>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political instability, terrorist activities and military conflict, including the war in Ukraine and evolving conflict in Israel and Gaza;</w:t>
      </w:r>
    </w:p>
    <w:p>
      <w:pPr>
        <w:spacing w:after="0" w:line="117" w:lineRule="exact"/>
        <w:rPr>
          <w:rFonts w:ascii="Arial" w:cs="Arial" w:eastAsia="Arial" w:hAnsi="Arial"/>
          <w:sz w:val="18"/>
          <w:szCs w:val="18"/>
          <w:color w:val="auto"/>
        </w:rPr>
      </w:pPr>
    </w:p>
    <w:p>
      <w:pPr>
        <w:ind w:left="980" w:right="340" w:hanging="486"/>
        <w:spacing w:after="0" w:line="277" w:lineRule="auto"/>
        <w:tabs>
          <w:tab w:leader="none" w:pos="975" w:val="left"/>
        </w:tabs>
        <w:numPr>
          <w:ilvl w:val="0"/>
          <w:numId w:val="20"/>
        </w:numPr>
        <w:rPr>
          <w:rFonts w:ascii="Arial" w:cs="Arial" w:eastAsia="Arial" w:hAnsi="Arial"/>
          <w:sz w:val="18"/>
          <w:szCs w:val="18"/>
          <w:color w:val="auto"/>
        </w:rPr>
      </w:pPr>
      <w:r>
        <w:rPr>
          <w:rFonts w:ascii="Arial" w:cs="Arial" w:eastAsia="Arial" w:hAnsi="Arial"/>
          <w:sz w:val="18"/>
          <w:szCs w:val="18"/>
          <w:color w:val="auto"/>
        </w:rPr>
        <w:t>an outbreak of a contagious disease, which may cause us or our third-party providers and/or customers to temporarily suspend our or their respective operations in the affected city or country;</w:t>
      </w:r>
    </w:p>
    <w:p>
      <w:pPr>
        <w:spacing w:after="0" w:line="62" w:lineRule="exact"/>
        <w:rPr>
          <w:rFonts w:ascii="Arial" w:cs="Arial" w:eastAsia="Arial" w:hAnsi="Arial"/>
          <w:sz w:val="18"/>
          <w:szCs w:val="18"/>
          <w:color w:val="auto"/>
        </w:rPr>
      </w:pPr>
    </w:p>
    <w:p>
      <w:pPr>
        <w:ind w:left="980" w:right="20" w:hanging="486"/>
        <w:spacing w:after="0" w:line="277" w:lineRule="auto"/>
        <w:tabs>
          <w:tab w:leader="none" w:pos="975" w:val="left"/>
        </w:tabs>
        <w:numPr>
          <w:ilvl w:val="0"/>
          <w:numId w:val="20"/>
        </w:numPr>
        <w:rPr>
          <w:rFonts w:ascii="Arial" w:cs="Arial" w:eastAsia="Arial" w:hAnsi="Arial"/>
          <w:sz w:val="18"/>
          <w:szCs w:val="18"/>
          <w:color w:val="auto"/>
        </w:rPr>
      </w:pPr>
      <w:r>
        <w:rPr>
          <w:rFonts w:ascii="Arial" w:cs="Arial" w:eastAsia="Arial" w:hAnsi="Arial"/>
          <w:sz w:val="18"/>
          <w:szCs w:val="18"/>
          <w:color w:val="auto"/>
        </w:rPr>
        <w:t>exposure to liabilities under anti-corruption and anti-money laundering laws, including the FCPA, U.S. bribery laws, the UK Bribery Act, and similar laws and regulations in other jurisdictions; and</w:t>
      </w:r>
    </w:p>
    <w:p>
      <w:pPr>
        <w:spacing w:after="0" w:line="62" w:lineRule="exact"/>
        <w:rPr>
          <w:rFonts w:ascii="Arial" w:cs="Arial" w:eastAsia="Arial" w:hAnsi="Arial"/>
          <w:sz w:val="18"/>
          <w:szCs w:val="18"/>
          <w:color w:val="auto"/>
        </w:rPr>
      </w:pPr>
    </w:p>
    <w:p>
      <w:pPr>
        <w:ind w:left="980" w:hanging="486"/>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adverse tax burdens and foreign exchange controls that could make it difficult to repatriate earnings and cash.</w:t>
      </w:r>
    </w:p>
    <w:p>
      <w:pPr>
        <w:spacing w:after="0" w:line="225" w:lineRule="exact"/>
        <w:rPr>
          <w:sz w:val="20"/>
          <w:szCs w:val="20"/>
          <w:color w:val="auto"/>
        </w:rPr>
      </w:pPr>
    </w:p>
    <w:p>
      <w:pPr>
        <w:ind w:right="20" w:firstLine="486"/>
        <w:spacing w:after="0" w:line="277" w:lineRule="auto"/>
        <w:rPr>
          <w:sz w:val="20"/>
          <w:szCs w:val="20"/>
          <w:color w:val="auto"/>
        </w:rPr>
      </w:pPr>
      <w:r>
        <w:rPr>
          <w:rFonts w:ascii="Arial" w:cs="Arial" w:eastAsia="Arial" w:hAnsi="Arial"/>
          <w:sz w:val="18"/>
          <w:szCs w:val="18"/>
          <w:color w:val="auto"/>
        </w:rPr>
        <w:t>If we invest substantial time and resources to further expand our international operations and are unable to do so successfully and in a timely manner, our business and results of operations will suffer.</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exposed to fluctuations in currency exchange rates, which could negatively affect our results of operations.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13" w:right="339" w:bottom="1440" w:gutter="0" w:footer="0" w:header="0"/>
        </w:sectPr>
      </w:pPr>
    </w:p>
    <w:bookmarkStart w:id="57" w:name="page58"/>
    <w:bookmarkEnd w:id="57"/>
    <w:p>
      <w:pPr>
        <w:jc w:val="both"/>
        <w:ind w:firstLine="486"/>
        <w:spacing w:after="0" w:line="296" w:lineRule="auto"/>
        <w:rPr>
          <w:sz w:val="20"/>
          <w:szCs w:val="20"/>
          <w:color w:val="auto"/>
        </w:rPr>
      </w:pPr>
      <w:r>
        <w:rPr>
          <w:rFonts w:ascii="Arial" w:cs="Arial" w:eastAsia="Arial" w:hAnsi="Arial"/>
          <w:sz w:val="16"/>
          <w:szCs w:val="16"/>
          <w:color w:val="auto"/>
        </w:rPr>
        <w:t>Our sales contracts are denominated in U.S. dollars, and therefore, our revenue is not subject to foreign currency risk. However, a strengthening of the U.S. dollar could increase the real cost of our products and platform capabilities to our customers outside of the United States, which could adversely affect our results of operations. In addition, an increasing amount of our operating expenses are incurred outside the United States. These operating expenses are denominated in foreign currencies and are subject to fluctuations due to changes in foreign currency exchange rates. If we are not able to successfully hedge against the risks associated with currency fluctuations, our results of operations could be adversely affected.</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international operations may subject us to potential adverse tax consequences.</w:t>
      </w:r>
    </w:p>
    <w:p>
      <w:pPr>
        <w:spacing w:after="0" w:line="225" w:lineRule="exact"/>
        <w:rPr>
          <w:sz w:val="20"/>
          <w:szCs w:val="20"/>
          <w:color w:val="auto"/>
        </w:rPr>
      </w:pPr>
    </w:p>
    <w:p>
      <w:pPr>
        <w:jc w:val="both"/>
        <w:ind w:firstLine="486"/>
        <w:spacing w:after="0" w:line="269" w:lineRule="auto"/>
        <w:rPr>
          <w:sz w:val="20"/>
          <w:szCs w:val="20"/>
          <w:color w:val="auto"/>
        </w:rPr>
      </w:pPr>
      <w:r>
        <w:rPr>
          <w:rFonts w:ascii="Arial" w:cs="Arial" w:eastAsia="Arial" w:hAnsi="Arial"/>
          <w:sz w:val="17"/>
          <w:szCs w:val="17"/>
          <w:color w:val="auto"/>
        </w:rPr>
        <w:t>We are expanding our international operations to better support our growth into international markets. Our corporate structure and associated transfer pricing policies contemplate future growth in international markets, and consider the functions, risks, and assets of the various entities involved in intercompany transactions. The amount of taxes we pay in different jurisdictions may depend on the application of the tax laws of the various jurisdictions, including the United States, to our international business activities, changes in tax rates, new or revised tax laws or interpretations of existing tax laws and policies, and our ability to operate our business in a manner consistent with our corporate structure and intercompany arrangements. The taxing authorities of the jurisdictions in which we operate may challenge our methodologies for pricing intercompany transactions pursuant to our intercompany arrangements or disagree with our determinations as to the income and expenses attributable to specific jurisdictions. If such a challenge or disagreement were to occur, and our position was not sustained, we could be required to pay additional taxes, interest, and penalties, which could result in one-time tax charges, higher effective tax rates, reduced cash flows and lower overall profitability of our operations. Our financial statements could fail to reflect adequate reserves to cover such a contingency.</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Ownership of Our Class A Common Stock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stock price may be volatile, and the value of our Class A common stock may decline.</w:t>
      </w:r>
    </w:p>
    <w:p>
      <w:pPr>
        <w:spacing w:after="0" w:line="225"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The market price of our Class A common stock may be highly volatile and may fluctuate or decline substantially as a result of a variety of factors, some of which are beyond our control, including:</w:t>
      </w:r>
    </w:p>
    <w:p>
      <w:pPr>
        <w:spacing w:after="0" w:line="62" w:lineRule="exact"/>
        <w:rPr>
          <w:sz w:val="20"/>
          <w:szCs w:val="20"/>
          <w:color w:val="auto"/>
        </w:rPr>
      </w:pPr>
    </w:p>
    <w:p>
      <w:pPr>
        <w:ind w:left="980" w:hanging="486"/>
        <w:spacing w:after="0"/>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actual or anticipated fluctuations in our financial condition or results of operations;</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variance in our financial performance from expectations of securities analysts;</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changes in the pricing of subscriptions to our products;</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changes in our projected operating and financial results;</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changes in laws or regulations applicable to our platform and products;</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announcements by us or our competitors of significant business developments, acquisitions, or new offerings;</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significant data breaches, disruptions to or other incidents involving our software;</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involvement in litigation;</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future sales of our Class A common stock by us or our stockholders;</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changes in senior management or key personnel;</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trading volume of our Class A common stock;</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changes in the anticipated future size and growth rate of our market; and</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general economic and market conditions.</w:t>
      </w:r>
    </w:p>
    <w:p>
      <w:pPr>
        <w:spacing w:after="0" w:line="225" w:lineRule="exact"/>
        <w:rPr>
          <w:sz w:val="20"/>
          <w:szCs w:val="20"/>
          <w:color w:val="auto"/>
        </w:rPr>
      </w:pPr>
    </w:p>
    <w:p>
      <w:pPr>
        <w:jc w:val="both"/>
        <w:ind w:firstLine="486"/>
        <w:spacing w:after="0" w:line="255" w:lineRule="auto"/>
        <w:rPr>
          <w:sz w:val="20"/>
          <w:szCs w:val="20"/>
          <w:color w:val="auto"/>
        </w:rPr>
      </w:pPr>
      <w:r>
        <w:rPr>
          <w:rFonts w:ascii="Arial" w:cs="Arial" w:eastAsia="Arial" w:hAnsi="Arial"/>
          <w:sz w:val="18"/>
          <w:szCs w:val="18"/>
          <w:color w:val="auto"/>
        </w:rPr>
        <w:t>Broad market and industry fluctuations, as well as general economic, political, regulatory, and market conditions may also negatively impact the market price of our Class A common stock. Additional risks are described in “Risks Associated with our Growth—Unfavorable conditions in our industry or the global economy, or reductions in information technology spending, could limit our ability to grow our business and negatively affect our results of operations”. In addition, technology stocks have historically experienced high levels of volatility. In the past, companies that have experienced volatility in the market price of their securities have been subject to securities class action litigation. We may be the target of this type of litigation in the future, which could result in substantial expenses and divert our management’s attention.</w:t>
      </w: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13" w:right="339" w:bottom="1440" w:gutter="0" w:footer="0" w:header="0"/>
        </w:sectPr>
      </w:pPr>
    </w:p>
    <w:bookmarkStart w:id="58" w:name="page59"/>
    <w:bookmarkEnd w:id="58"/>
    <w:p>
      <w:pPr>
        <w:jc w:val="both"/>
        <w:ind w:right="20"/>
        <w:spacing w:after="0" w:line="263" w:lineRule="auto"/>
        <w:rPr>
          <w:sz w:val="20"/>
          <w:szCs w:val="20"/>
          <w:color w:val="auto"/>
        </w:rPr>
      </w:pPr>
      <w:r>
        <w:rPr>
          <w:rFonts w:ascii="Arial" w:cs="Arial" w:eastAsia="Arial" w:hAnsi="Arial"/>
          <w:sz w:val="18"/>
          <w:szCs w:val="18"/>
          <w:b w:val="1"/>
          <w:bCs w:val="1"/>
          <w:i w:val="1"/>
          <w:iCs w:val="1"/>
          <w:color w:val="auto"/>
        </w:rPr>
        <w:t>The dual class structure of our common stock has the effect of concentrating voting control with holders of our Class B common stock, including our executive officers, directors and their affiliates, which will limit the ability of holders of our Class A common stock to influence the outcome of important transactions.</w:t>
      </w:r>
    </w:p>
    <w:p>
      <w:pPr>
        <w:spacing w:after="0" w:line="184" w:lineRule="exact"/>
        <w:rPr>
          <w:sz w:val="20"/>
          <w:szCs w:val="20"/>
          <w:color w:val="auto"/>
        </w:rPr>
      </w:pPr>
    </w:p>
    <w:p>
      <w:pPr>
        <w:jc w:val="both"/>
        <w:ind w:firstLine="486"/>
        <w:spacing w:after="0" w:line="254" w:lineRule="auto"/>
        <w:rPr>
          <w:sz w:val="20"/>
          <w:szCs w:val="20"/>
          <w:color w:val="auto"/>
        </w:rPr>
      </w:pPr>
      <w:r>
        <w:rPr>
          <w:rFonts w:ascii="Arial" w:cs="Arial" w:eastAsia="Arial" w:hAnsi="Arial"/>
          <w:sz w:val="18"/>
          <w:szCs w:val="18"/>
          <w:color w:val="auto"/>
        </w:rPr>
        <w:t>Our Class B common stock has ten votes per share and our Class A common stock has one vote per share. As of September 30, 2023, our outstanding shares of Class B common stock represented approximately 47% of the voting power of our outstanding capital stock. As a result, the holders of our Class B common stock, which includes certain of our directors, executive officers and their affiliates, exercise considerable influence over matters requiring stockholder approval, including the election of directors and approval of significant corporate transactions, such as a merger or other sale of our company or our assets, even if their stock holdings represent less than 50% of the outstanding shares of our capital stock. This concentration of ownership limits the ability of other stockholders to influence corporate matters and may cause us to make strategic decisions that could involve risks to holders of our Class A common stock or that may not be aligned with the interests of holders of our Class A common stock. This control may adversely affect the market price of our Class A common stock.</w:t>
      </w:r>
    </w:p>
    <w:p>
      <w:pPr>
        <w:spacing w:after="0" w:line="192"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Further, future transfers by holders of our Class B common stock will generally result in those shares converting into shares of our Class A common stock, subject to limited exceptions, such as certain transfers effected for tax or estate planning purposes. The conversion of shares of our Class B common stock into shares of our Class A common stock has had and will continue to have the effect, over time, of increasing the relative voting power of those holders of Class B common stock who retain their Class B shares.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cannot predict the impact our dual class structure may have on the market price of our Class A common stock.</w:t>
      </w:r>
    </w:p>
    <w:p>
      <w:pPr>
        <w:spacing w:after="0" w:line="225" w:lineRule="exact"/>
        <w:rPr>
          <w:sz w:val="20"/>
          <w:szCs w:val="20"/>
          <w:color w:val="auto"/>
        </w:rPr>
      </w:pPr>
    </w:p>
    <w:p>
      <w:pPr>
        <w:jc w:val="both"/>
        <w:ind w:firstLine="486"/>
        <w:spacing w:after="0" w:line="270" w:lineRule="auto"/>
        <w:rPr>
          <w:sz w:val="20"/>
          <w:szCs w:val="20"/>
          <w:color w:val="auto"/>
        </w:rPr>
      </w:pPr>
      <w:r>
        <w:rPr>
          <w:rFonts w:ascii="Arial" w:cs="Arial" w:eastAsia="Arial" w:hAnsi="Arial"/>
          <w:sz w:val="17"/>
          <w:szCs w:val="17"/>
          <w:color w:val="auto"/>
        </w:rPr>
        <w:t>We cannot predict whether our dual class structure, combined with the concentrated control of our stockholders who held our capital stock prior to the completion of our initial public offering, or IPO, including our executive officers, employees and directors and their affiliates, will result in a lower or more volatile market price of our Class A common stock or in adverse publicity or other adverse consequences. For example, certain index providers have announced restrictions on including companies with multiple class share structures in certain of their indexes. For example, in July 2017, FTSE Russell and Standard &amp; Poor’s announced that they would cease to allow most newly public companies utilizing dual or multi-class capital structures to be included in their indices. Under the announced policies, our dual class capital structure would make us ineligible for inclusion in any of these indices. Given the sustained flow of investment funds into passive strategies that seek to track certain indexes, exclusion from stock indexes would likely preclude investment by many of these funds and could make our Class A common stock less attractive to other investors. As a result, the market price of our Class A common stock could be adversely affected.</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Future sales of our Class A common stock in the public market could cause the market price of our Class A common stock to decline.</w:t>
      </w:r>
    </w:p>
    <w:p>
      <w:pPr>
        <w:spacing w:after="0" w:line="237" w:lineRule="exact"/>
        <w:rPr>
          <w:sz w:val="20"/>
          <w:szCs w:val="20"/>
          <w:color w:val="auto"/>
        </w:rPr>
      </w:pPr>
    </w:p>
    <w:p>
      <w:pPr>
        <w:jc w:val="both"/>
        <w:ind w:firstLine="486"/>
        <w:spacing w:after="0" w:line="296" w:lineRule="auto"/>
        <w:rPr>
          <w:sz w:val="20"/>
          <w:szCs w:val="20"/>
          <w:color w:val="auto"/>
        </w:rPr>
      </w:pPr>
      <w:r>
        <w:rPr>
          <w:rFonts w:ascii="Arial" w:cs="Arial" w:eastAsia="Arial" w:hAnsi="Arial"/>
          <w:sz w:val="16"/>
          <w:szCs w:val="16"/>
          <w:color w:val="auto"/>
        </w:rPr>
        <w:t>Sales of a substantial number of shares of our Class A common stock in the public market, or the perception that these sales might occur, could depress the market price of our Class A common stock and could impair our ability to raise capital through the sale of additional equity securities. Many of our stockholders who held our capital stock prior to the completion of our IPO have substantial unrecognized gains on the value of the equity they hold based upon the price at which shares were sold in our IPO, and therefore they may take steps to sell their shares or otherwise secure the unrecognized gains on those shares. We are unable to predict the timing of or the effect that such sales may have on the prevailing market price of our Class A common stock.</w:t>
      </w:r>
    </w:p>
    <w:p>
      <w:pPr>
        <w:spacing w:after="0" w:line="161" w:lineRule="exact"/>
        <w:rPr>
          <w:sz w:val="20"/>
          <w:szCs w:val="20"/>
          <w:color w:val="auto"/>
        </w:rPr>
      </w:pPr>
    </w:p>
    <w:p>
      <w:pPr>
        <w:jc w:val="both"/>
        <w:ind w:firstLine="486"/>
        <w:spacing w:after="0" w:line="311" w:lineRule="auto"/>
        <w:rPr>
          <w:sz w:val="20"/>
          <w:szCs w:val="20"/>
          <w:color w:val="auto"/>
        </w:rPr>
      </w:pPr>
      <w:r>
        <w:rPr>
          <w:rFonts w:ascii="Arial" w:cs="Arial" w:eastAsia="Arial" w:hAnsi="Arial"/>
          <w:sz w:val="16"/>
          <w:szCs w:val="16"/>
          <w:color w:val="auto"/>
        </w:rPr>
        <w:t>We have registered all of the shares of Class A common stock and Class B common stock issuable upon exercise of outstanding options or other equity incentives we may grant in the future, for public resale under the Securities Act. The shares of Class A common stock and Class B common stock will become eligible for sale in the public market to the extent such options are exercised, subject to compliance with applicable securities laws.</w:t>
      </w:r>
    </w:p>
    <w:p>
      <w:pPr>
        <w:spacing w:after="0" w:line="149" w:lineRule="exact"/>
        <w:rPr>
          <w:sz w:val="20"/>
          <w:szCs w:val="20"/>
          <w:color w:val="auto"/>
        </w:rPr>
      </w:pPr>
    </w:p>
    <w:p>
      <w:pPr>
        <w:jc w:val="both"/>
        <w:ind w:right="20" w:firstLine="486"/>
        <w:spacing w:after="0" w:line="342" w:lineRule="auto"/>
        <w:rPr>
          <w:sz w:val="20"/>
          <w:szCs w:val="20"/>
          <w:color w:val="auto"/>
        </w:rPr>
      </w:pPr>
      <w:r>
        <w:rPr>
          <w:rFonts w:ascii="Arial" w:cs="Arial" w:eastAsia="Arial" w:hAnsi="Arial"/>
          <w:sz w:val="16"/>
          <w:szCs w:val="16"/>
          <w:color w:val="auto"/>
        </w:rPr>
        <w:t>Further, as of September 30, 2023, holders of a substantial number of shares had rights, subject to certain conditions, to require us to file registration statements covering the sale of their shares or to include their shares in registration statements that we may file for ourselves or other stockholders.</w:t>
      </w:r>
    </w:p>
    <w:p>
      <w:pPr>
        <w:spacing w:after="0" w:line="12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issuance of additional capital stock in connection with financings, acquisitions, investments, our equity incentive plans or otherwise will dilute all other stockholders.</w:t>
      </w:r>
    </w:p>
    <w:p>
      <w:pPr>
        <w:spacing w:after="0" w:line="170"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We expect to issue additional capital stock in the future that will result in dilution to all other stockholders. We expect to continue to grant equity awards to employees, directors and consultants under our equity incentive plans. We may also raise</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13" w:right="339" w:bottom="1440" w:gutter="0" w:footer="0" w:header="0"/>
        </w:sectPr>
      </w:pPr>
    </w:p>
    <w:bookmarkStart w:id="59" w:name="page60"/>
    <w:bookmarkEnd w:id="59"/>
    <w:p>
      <w:pPr>
        <w:jc w:val="both"/>
        <w:spacing w:after="0" w:line="272" w:lineRule="auto"/>
        <w:rPr>
          <w:sz w:val="20"/>
          <w:szCs w:val="20"/>
          <w:color w:val="auto"/>
        </w:rPr>
      </w:pPr>
      <w:r>
        <w:rPr>
          <w:rFonts w:ascii="Arial" w:cs="Arial" w:eastAsia="Arial" w:hAnsi="Arial"/>
          <w:sz w:val="17"/>
          <w:szCs w:val="17"/>
          <w:color w:val="auto"/>
        </w:rPr>
        <w:t>capital through equity financings in the future. As part of our business strategy, we have and may continue to acquire or make investments in companies, products or technologies and issue equity securities to pay for any such acquisition or investment. Any such issuances of additional capital stock may cause stockholders to experience significant dilution of their ownership interests and the per share value of our Class A common stock to decline. Furthermore, if we issue additional equity or convertible debt securities, the new equity securities could have rights senior to those of our common stock. For example, if we elect to settle our conversion obligation under our 0.125% Convertible Senior Notes due 2025, or our 2025 Notes, in shares of our Class A common stock or a combination of cash and shares of our Class A common stock, the issuance of such Class A common stock may dilute the ownership interests of our stockholders and sales in the public market could adversely affect prevailing market prices.</w:t>
      </w:r>
    </w:p>
    <w:p>
      <w:pPr>
        <w:spacing w:after="0" w:line="17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If securities or industry analysts cease publishing research or publish unfavorable or inaccurate research about our business, or if we fail to meet or significantly exceed our publicly announced financial guidance or the expectations of analysts or public investors, the market price and trading volume of our Class A common stock could decline.</w:t>
      </w:r>
    </w:p>
    <w:p>
      <w:pPr>
        <w:spacing w:after="0" w:line="184" w:lineRule="exact"/>
        <w:rPr>
          <w:sz w:val="20"/>
          <w:szCs w:val="20"/>
          <w:color w:val="auto"/>
        </w:rPr>
      </w:pPr>
    </w:p>
    <w:p>
      <w:pPr>
        <w:jc w:val="both"/>
        <w:ind w:firstLine="486"/>
        <w:spacing w:after="0" w:line="254" w:lineRule="auto"/>
        <w:rPr>
          <w:sz w:val="20"/>
          <w:szCs w:val="20"/>
          <w:color w:val="auto"/>
        </w:rPr>
      </w:pPr>
      <w:r>
        <w:rPr>
          <w:rFonts w:ascii="Arial" w:cs="Arial" w:eastAsia="Arial" w:hAnsi="Arial"/>
          <w:sz w:val="18"/>
          <w:szCs w:val="18"/>
          <w:color w:val="auto"/>
        </w:rPr>
        <w:t>The market price and trading volume of our Class A common stock will be heavily influenced by the way analysts interpret our financial information and other disclosures. We do not have control over these analysts. If securities or industry analysts cease coverage of us, downgrade our Class A common stock, or publish negative reports about our business, our stock price would likely decline. In addition, the stock prices of many companies in the technology industry have declined significantly after those companies have failed to meet, or significantly exceed, the financial guidance publicly announced by those companies or the expectations of analysts. If our financial results fail to meet, or significantly exceed, our announced guidance or the expectations or analysts or public investors, analysts could downgrade or Class A common stock or publish unfavorable research on us. As a result, demand for our Class A common stock could decrease, which might cause our stock price to decline and could decrease the trading volume of our Class A common stock.</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do not intend to pay dividends for the foreseeable future.</w:t>
      </w:r>
    </w:p>
    <w:p>
      <w:pPr>
        <w:spacing w:after="0" w:line="225"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We have never declared or paid any cash dividends on our capital stock, and we do not intend to pay any cash dividends in the foreseeable future. Any determination to pay dividends in the future will be at the discretion of our board of directors. Accordingly, holders of our Class A common stock may need to rely on sales of their holdings of Class A common stock after price appreciation, which may never occur, as the only way to realize any future gains on their investment.</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will continue to incur increased costs as a result of operating as a public company, and our management will be required to continue to devote substantial time to compliance with our public company responsibilities and corporate governance practices.</w:t>
      </w:r>
    </w:p>
    <w:p>
      <w:pPr>
        <w:spacing w:after="0" w:line="170"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We have incurred significant legal, accounting, insurance, and other expenses as a public company, which we expect to further increase. The Sarbanes-Oxley Act, the Dodd-Frank Wall Street Reform and Consumer Protection Act, the listing requirements of the Nasdaq Global Select Market and other applicable securities rules and regulations impose various requirements on public companies. Our management and other personnel devote a substantial amount of time to compliance with these requirements. These rules and regulations contribute to increased legal and financial compliance costs and make some activities more time-consuming and costly.</w:t>
      </w:r>
    </w:p>
    <w:p>
      <w:pPr>
        <w:spacing w:after="0" w:line="188" w:lineRule="exact"/>
        <w:rPr>
          <w:sz w:val="20"/>
          <w:szCs w:val="20"/>
          <w:color w:val="auto"/>
        </w:rPr>
      </w:pPr>
    </w:p>
    <w:p>
      <w:pPr>
        <w:jc w:val="both"/>
        <w:spacing w:after="0" w:line="342" w:lineRule="auto"/>
        <w:rPr>
          <w:sz w:val="20"/>
          <w:szCs w:val="20"/>
          <w:color w:val="auto"/>
        </w:rPr>
      </w:pPr>
      <w:r>
        <w:rPr>
          <w:rFonts w:ascii="Arial" w:cs="Arial" w:eastAsia="Arial" w:hAnsi="Arial"/>
          <w:sz w:val="16"/>
          <w:szCs w:val="16"/>
          <w:b w:val="1"/>
          <w:bCs w:val="1"/>
          <w:i w:val="1"/>
          <w:iCs w:val="1"/>
          <w:color w:val="auto"/>
        </w:rPr>
        <w:t>We are obligated to develop and maintain proper and effective internal controls over financial reporting, and any failure to maintain the adequacy of these internal controls may adversely affect investor confidence in our company and, as a result, the value of our Class A common stock.</w:t>
      </w:r>
    </w:p>
    <w:p>
      <w:pPr>
        <w:spacing w:after="0" w:line="124" w:lineRule="exact"/>
        <w:rPr>
          <w:sz w:val="20"/>
          <w:szCs w:val="20"/>
          <w:color w:val="auto"/>
        </w:rPr>
      </w:pPr>
    </w:p>
    <w:p>
      <w:pPr>
        <w:jc w:val="both"/>
        <w:ind w:firstLine="486"/>
        <w:spacing w:after="0" w:line="273" w:lineRule="auto"/>
        <w:rPr>
          <w:sz w:val="20"/>
          <w:szCs w:val="20"/>
          <w:color w:val="auto"/>
        </w:rPr>
      </w:pPr>
      <w:r>
        <w:rPr>
          <w:rFonts w:ascii="Arial" w:cs="Arial" w:eastAsia="Arial" w:hAnsi="Arial"/>
          <w:sz w:val="17"/>
          <w:szCs w:val="17"/>
          <w:color w:val="auto"/>
        </w:rPr>
        <w:t>We are required, pursuant to Section 404 of the Sarbanes-Oxley Act, to furnish a report by management on, among other things, the effectiveness of our internal control over financial reporting on an annual basis. This assessment must include disclosure of any material weaknesses identified by our management in our internal control over financial reporting. In addition, our independent registered public accounting firm is required to attest to the effectiveness of our internal control over financial reporting. Our compliance with Section 404 requires that we incur substantial expenses and expend significant management efforts. We have hired, and need to continue to hire, additional accounting and financial staff with appropriate public company experience and technical accounting knowledge to comply with Section 404.</w:t>
      </w:r>
    </w:p>
    <w:p>
      <w:pPr>
        <w:spacing w:after="0" w:line="178"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During the evaluation and testing process of our internal controls in future years, if we identify one or more material weaknesses in our internal control over financial reporting, we will be unable to certify that our internal control over financial reporting is effective. We cannot assure you that there will not be material weaknesses in our internal control over financial reporting in the future. Any failure to maintain internal control over financial reporting could severely inhibit our ability to accurately report our financial condition or results of operations. If we are unable to conclude that our internal control over</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13" w:right="339" w:bottom="1440" w:gutter="0" w:footer="0" w:header="0"/>
        </w:sectPr>
      </w:pPr>
    </w:p>
    <w:bookmarkStart w:id="60" w:name="page61"/>
    <w:bookmarkEnd w:id="60"/>
    <w:p>
      <w:pPr>
        <w:jc w:val="both"/>
        <w:spacing w:after="0" w:line="257" w:lineRule="auto"/>
        <w:rPr>
          <w:sz w:val="20"/>
          <w:szCs w:val="20"/>
          <w:color w:val="auto"/>
        </w:rPr>
      </w:pPr>
      <w:r>
        <w:rPr>
          <w:rFonts w:ascii="Arial" w:cs="Arial" w:eastAsia="Arial" w:hAnsi="Arial"/>
          <w:sz w:val="18"/>
          <w:szCs w:val="18"/>
          <w:color w:val="auto"/>
        </w:rPr>
        <w:t>financial reporting is effective, or if our independent registered public accounting firm determines we have a material weakness in our internal control over financial reporting, we could lose investor confidence in the accuracy and completeness of our financial reports, the market price of our Class A common stock could decline, and we could be subject to sanctions or investigations by the SEC or other regulatory authorities. Failure to remedy any material weakness in our internal control over financial reporting, or to implement or maintain other effective control systems required of public companies, could also restrict our future access to the capital markets.</w:t>
      </w:r>
    </w:p>
    <w:p>
      <w:pPr>
        <w:spacing w:after="0" w:line="188"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b w:val="1"/>
          <w:bCs w:val="1"/>
          <w:i w:val="1"/>
          <w:iCs w:val="1"/>
          <w:color w:val="auto"/>
        </w:rPr>
        <w:t>Anti-takeover provisions in our charter documents and under Delaware law could make an acquisition of our company more difficult, limit attempts by our stockholders to replace or remove our current management and limit the market price of our Class A common stock.</w:t>
      </w:r>
    </w:p>
    <w:p>
      <w:pPr>
        <w:spacing w:after="0" w:line="146"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Provisions in our amended and restated certificate of incorporation and amended and restated bylaws may have the effect of delaying or preventing a change of control or changes in our management. Our amended and restated certificate of incorporation and amended and restated bylaws include provisions that:</w:t>
      </w:r>
    </w:p>
    <w:p>
      <w:pPr>
        <w:spacing w:after="0" w:line="76" w:lineRule="exact"/>
        <w:rPr>
          <w:sz w:val="20"/>
          <w:szCs w:val="20"/>
          <w:color w:val="auto"/>
        </w:rPr>
      </w:pPr>
    </w:p>
    <w:p>
      <w:pPr>
        <w:ind w:left="980" w:hanging="486"/>
        <w:spacing w:after="0" w:line="277" w:lineRule="auto"/>
        <w:tabs>
          <w:tab w:leader="none" w:pos="975" w:val="left"/>
        </w:tabs>
        <w:numPr>
          <w:ilvl w:val="0"/>
          <w:numId w:val="22"/>
        </w:numPr>
        <w:rPr>
          <w:rFonts w:ascii="Arial" w:cs="Arial" w:eastAsia="Arial" w:hAnsi="Arial"/>
          <w:sz w:val="18"/>
          <w:szCs w:val="18"/>
          <w:color w:val="auto"/>
        </w:rPr>
      </w:pPr>
      <w:r>
        <w:rPr>
          <w:rFonts w:ascii="Arial" w:cs="Arial" w:eastAsia="Arial" w:hAnsi="Arial"/>
          <w:sz w:val="18"/>
          <w:szCs w:val="18"/>
          <w:color w:val="auto"/>
        </w:rPr>
        <w:t>authorize our board of directors to issue, without further action by the stockholders, shares of undesignated preferred stock with terms, rights, and preferences determined by our board of directors that may be senior to our Class A common stock;</w:t>
      </w:r>
    </w:p>
    <w:p>
      <w:pPr>
        <w:spacing w:after="0" w:line="62" w:lineRule="exact"/>
        <w:rPr>
          <w:rFonts w:ascii="Arial" w:cs="Arial" w:eastAsia="Arial" w:hAnsi="Arial"/>
          <w:sz w:val="18"/>
          <w:szCs w:val="18"/>
          <w:color w:val="auto"/>
        </w:rPr>
      </w:pPr>
    </w:p>
    <w:p>
      <w:pPr>
        <w:ind w:left="980" w:hanging="486"/>
        <w:spacing w:after="0"/>
        <w:tabs>
          <w:tab w:leader="none" w:pos="980" w:val="left"/>
        </w:tabs>
        <w:numPr>
          <w:ilvl w:val="0"/>
          <w:numId w:val="22"/>
        </w:numPr>
        <w:rPr>
          <w:rFonts w:ascii="Arial" w:cs="Arial" w:eastAsia="Arial" w:hAnsi="Arial"/>
          <w:sz w:val="17"/>
          <w:szCs w:val="17"/>
          <w:color w:val="auto"/>
        </w:rPr>
      </w:pPr>
      <w:r>
        <w:rPr>
          <w:rFonts w:ascii="Arial" w:cs="Arial" w:eastAsia="Arial" w:hAnsi="Arial"/>
          <w:sz w:val="17"/>
          <w:szCs w:val="17"/>
          <w:color w:val="auto"/>
        </w:rPr>
        <w:t>require that any action to be taken by our stockholders be effected at a duly called annual or special meeting and not by written consent;</w:t>
      </w:r>
    </w:p>
    <w:p>
      <w:pPr>
        <w:spacing w:after="0" w:line="128" w:lineRule="exact"/>
        <w:rPr>
          <w:rFonts w:ascii="Arial" w:cs="Arial" w:eastAsia="Arial" w:hAnsi="Arial"/>
          <w:sz w:val="17"/>
          <w:szCs w:val="17"/>
          <w:color w:val="auto"/>
        </w:rPr>
      </w:pPr>
    </w:p>
    <w:p>
      <w:pPr>
        <w:ind w:left="980" w:right="20" w:hanging="486"/>
        <w:spacing w:after="0" w:line="277" w:lineRule="auto"/>
        <w:tabs>
          <w:tab w:leader="none" w:pos="975" w:val="left"/>
        </w:tabs>
        <w:numPr>
          <w:ilvl w:val="0"/>
          <w:numId w:val="22"/>
        </w:numPr>
        <w:rPr>
          <w:rFonts w:ascii="Arial" w:cs="Arial" w:eastAsia="Arial" w:hAnsi="Arial"/>
          <w:sz w:val="18"/>
          <w:szCs w:val="18"/>
          <w:color w:val="auto"/>
        </w:rPr>
      </w:pPr>
      <w:r>
        <w:rPr>
          <w:rFonts w:ascii="Arial" w:cs="Arial" w:eastAsia="Arial" w:hAnsi="Arial"/>
          <w:sz w:val="18"/>
          <w:szCs w:val="18"/>
          <w:color w:val="auto"/>
        </w:rPr>
        <w:t>specify that special meetings of our stockholders can be called only by our board of directors, the chairperson of our board of directors, or our chief executive officer;</w:t>
      </w:r>
    </w:p>
    <w:p>
      <w:pPr>
        <w:spacing w:after="0" w:line="62" w:lineRule="exact"/>
        <w:rPr>
          <w:rFonts w:ascii="Arial" w:cs="Arial" w:eastAsia="Arial" w:hAnsi="Arial"/>
          <w:sz w:val="18"/>
          <w:szCs w:val="18"/>
          <w:color w:val="auto"/>
        </w:rPr>
      </w:pPr>
    </w:p>
    <w:p>
      <w:pPr>
        <w:ind w:left="980" w:right="20" w:hanging="486"/>
        <w:spacing w:after="0" w:line="277" w:lineRule="auto"/>
        <w:tabs>
          <w:tab w:leader="none" w:pos="975" w:val="left"/>
        </w:tabs>
        <w:numPr>
          <w:ilvl w:val="0"/>
          <w:numId w:val="22"/>
        </w:numPr>
        <w:rPr>
          <w:rFonts w:ascii="Arial" w:cs="Arial" w:eastAsia="Arial" w:hAnsi="Arial"/>
          <w:sz w:val="18"/>
          <w:szCs w:val="18"/>
          <w:color w:val="auto"/>
        </w:rPr>
      </w:pPr>
      <w:r>
        <w:rPr>
          <w:rFonts w:ascii="Arial" w:cs="Arial" w:eastAsia="Arial" w:hAnsi="Arial"/>
          <w:sz w:val="18"/>
          <w:szCs w:val="18"/>
          <w:color w:val="auto"/>
        </w:rPr>
        <w:t>establish an advance notice procedure for stockholder proposals to be brought before an annual meeting, including proposed nominations of persons for election to our board of directors;</w:t>
      </w:r>
    </w:p>
    <w:p>
      <w:pPr>
        <w:spacing w:after="0" w:line="62" w:lineRule="exact"/>
        <w:rPr>
          <w:rFonts w:ascii="Arial" w:cs="Arial" w:eastAsia="Arial" w:hAnsi="Arial"/>
          <w:sz w:val="18"/>
          <w:szCs w:val="18"/>
          <w:color w:val="auto"/>
        </w:rPr>
      </w:pPr>
    </w:p>
    <w:p>
      <w:pPr>
        <w:ind w:left="980" w:hanging="486"/>
        <w:spacing w:after="0"/>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establish that our board of directors is divided into three classes, with each class serving three-year staggered terms;</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prohibit cumulative voting in the election of directors;</w:t>
      </w:r>
    </w:p>
    <w:p>
      <w:pPr>
        <w:spacing w:after="0" w:line="117" w:lineRule="exact"/>
        <w:rPr>
          <w:rFonts w:ascii="Arial" w:cs="Arial" w:eastAsia="Arial" w:hAnsi="Arial"/>
          <w:sz w:val="18"/>
          <w:szCs w:val="18"/>
          <w:color w:val="auto"/>
        </w:rPr>
      </w:pPr>
    </w:p>
    <w:p>
      <w:pPr>
        <w:ind w:left="980" w:hanging="486"/>
        <w:spacing w:after="0"/>
        <w:tabs>
          <w:tab w:leader="none" w:pos="980" w:val="left"/>
        </w:tabs>
        <w:numPr>
          <w:ilvl w:val="0"/>
          <w:numId w:val="22"/>
        </w:numPr>
        <w:rPr>
          <w:rFonts w:ascii="Arial" w:cs="Arial" w:eastAsia="Arial" w:hAnsi="Arial"/>
          <w:sz w:val="17"/>
          <w:szCs w:val="17"/>
          <w:color w:val="auto"/>
        </w:rPr>
      </w:pPr>
      <w:r>
        <w:rPr>
          <w:rFonts w:ascii="Arial" w:cs="Arial" w:eastAsia="Arial" w:hAnsi="Arial"/>
          <w:sz w:val="17"/>
          <w:szCs w:val="17"/>
          <w:color w:val="auto"/>
        </w:rPr>
        <w:t>provide that our directors may be removed for cause only upon the vote of at least 66 2/3% of our outstanding shares of voting stock;</w:t>
      </w:r>
    </w:p>
    <w:p>
      <w:pPr>
        <w:spacing w:after="0" w:line="128" w:lineRule="exact"/>
        <w:rPr>
          <w:rFonts w:ascii="Arial" w:cs="Arial" w:eastAsia="Arial" w:hAnsi="Arial"/>
          <w:sz w:val="17"/>
          <w:szCs w:val="17"/>
          <w:color w:val="auto"/>
        </w:rPr>
      </w:pPr>
    </w:p>
    <w:p>
      <w:pPr>
        <w:ind w:left="980" w:hanging="486"/>
        <w:spacing w:after="0" w:line="277" w:lineRule="auto"/>
        <w:tabs>
          <w:tab w:leader="none" w:pos="975" w:val="left"/>
        </w:tabs>
        <w:numPr>
          <w:ilvl w:val="0"/>
          <w:numId w:val="22"/>
        </w:numPr>
        <w:rPr>
          <w:rFonts w:ascii="Arial" w:cs="Arial" w:eastAsia="Arial" w:hAnsi="Arial"/>
          <w:sz w:val="18"/>
          <w:szCs w:val="18"/>
          <w:color w:val="auto"/>
        </w:rPr>
      </w:pPr>
      <w:r>
        <w:rPr>
          <w:rFonts w:ascii="Arial" w:cs="Arial" w:eastAsia="Arial" w:hAnsi="Arial"/>
          <w:sz w:val="18"/>
          <w:szCs w:val="18"/>
          <w:color w:val="auto"/>
        </w:rPr>
        <w:t>provide that vacancies on our board of directors may be filled only by a majority of directors then in office, even though less than a quorum; and</w:t>
      </w:r>
    </w:p>
    <w:p>
      <w:pPr>
        <w:spacing w:after="0" w:line="62" w:lineRule="exact"/>
        <w:rPr>
          <w:rFonts w:ascii="Arial" w:cs="Arial" w:eastAsia="Arial" w:hAnsi="Arial"/>
          <w:sz w:val="18"/>
          <w:szCs w:val="18"/>
          <w:color w:val="auto"/>
        </w:rPr>
      </w:pPr>
    </w:p>
    <w:p>
      <w:pPr>
        <w:ind w:left="980" w:right="20" w:hanging="486"/>
        <w:spacing w:after="0" w:line="277" w:lineRule="auto"/>
        <w:tabs>
          <w:tab w:leader="none" w:pos="975"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require the approval of our board of directors or the holders of at least 66 2/3% of our outstanding shares of voting stock to amend our bylaws and certain provisions of our certificate of incorporation.</w:t>
      </w:r>
    </w:p>
    <w:p>
      <w:pPr>
        <w:spacing w:after="0" w:line="170" w:lineRule="exact"/>
        <w:rPr>
          <w:sz w:val="20"/>
          <w:szCs w:val="20"/>
          <w:color w:val="auto"/>
        </w:rPr>
      </w:pPr>
    </w:p>
    <w:p>
      <w:pPr>
        <w:jc w:val="both"/>
        <w:ind w:firstLine="486"/>
        <w:spacing w:after="0" w:line="254" w:lineRule="auto"/>
        <w:rPr>
          <w:sz w:val="20"/>
          <w:szCs w:val="20"/>
          <w:color w:val="auto"/>
        </w:rPr>
      </w:pPr>
      <w:r>
        <w:rPr>
          <w:rFonts w:ascii="Arial" w:cs="Arial" w:eastAsia="Arial" w:hAnsi="Arial"/>
          <w:sz w:val="18"/>
          <w:szCs w:val="18"/>
          <w:color w:val="auto"/>
        </w:rPr>
        <w:t>These provisions may frustrate or prevent any attempts by our stockholders to replace or remove our current management by making it more difficult for stockholders to replace members of our board of directors, which is responsible for appointing the members of our management. In addition, because we are incorporated in Delaware, we are governed by the provisions of Section 203 of the Delaware General Corporation Law, which generally, subject to certain exceptions, prohibits a Delaware corporation from engaging in any of a broad range of business combinations with any “interested” stockholder for a period of three years following the date on which the stockholder became an “interested” stockholder. Any of the foregoing provisions could limit the price that investors might be willing to pay in the future for shares of our Class A common stock, and they could deter potential acquirers of our company, thereby reducing the likelihood that holders of our Class A common stock would receive a premium for their shares of our Class A common stock in an acquisition.</w:t>
      </w:r>
    </w:p>
    <w:p>
      <w:pPr>
        <w:spacing w:after="0" w:line="192" w:lineRule="exact"/>
        <w:rPr>
          <w:sz w:val="20"/>
          <w:szCs w:val="20"/>
          <w:color w:val="auto"/>
        </w:rPr>
      </w:pPr>
    </w:p>
    <w:p>
      <w:pPr>
        <w:jc w:val="both"/>
        <w:spacing w:after="0" w:line="286" w:lineRule="auto"/>
        <w:rPr>
          <w:sz w:val="20"/>
          <w:szCs w:val="20"/>
          <w:color w:val="auto"/>
        </w:rPr>
      </w:pPr>
      <w:r>
        <w:rPr>
          <w:rFonts w:ascii="Arial" w:cs="Arial" w:eastAsia="Arial" w:hAnsi="Arial"/>
          <w:sz w:val="17"/>
          <w:szCs w:val="17"/>
          <w:b w:val="1"/>
          <w:bCs w:val="1"/>
          <w:i w:val="1"/>
          <w:iCs w:val="1"/>
          <w:color w:val="auto"/>
        </w:rPr>
        <w:t>Our amended and restated certificate of incorporation designates the Court of Chancery of the State of Delaware and the federal district courts of the United States of America as the exclusive forums for substantially all disputes between us and our stockholders, which could restrict our stockholders’ ability to choose the judicial forum for disputes with us or our directors, officers, or employees.</w:t>
      </w:r>
    </w:p>
    <w:p>
      <w:pPr>
        <w:spacing w:after="0" w:line="165" w:lineRule="exact"/>
        <w:rPr>
          <w:sz w:val="20"/>
          <w:szCs w:val="20"/>
          <w:color w:val="auto"/>
        </w:rPr>
      </w:pPr>
    </w:p>
    <w:p>
      <w:pPr>
        <w:jc w:val="both"/>
        <w:ind w:firstLine="486"/>
        <w:spacing w:after="0" w:line="296" w:lineRule="auto"/>
        <w:rPr>
          <w:sz w:val="20"/>
          <w:szCs w:val="20"/>
          <w:color w:val="auto"/>
        </w:rPr>
      </w:pPr>
      <w:r>
        <w:rPr>
          <w:rFonts w:ascii="Arial" w:cs="Arial" w:eastAsia="Arial" w:hAnsi="Arial"/>
          <w:sz w:val="16"/>
          <w:szCs w:val="16"/>
          <w:color w:val="auto"/>
        </w:rPr>
        <w:t>Our amended and restated certificate of incorporation provides that the Court of Chancery of the State of Delaware is the exclusive forum for the following types of actions or proceedings under Delaware statutory or common law: any derivative action or proceeding brought on our behalf; any action asserting a breach of a fiduciary duty; any action asserting a claim against us arising pursuant to the Delaware General Corporation Law, our amended and restated certificate of incorporation, or our amended and restated bylaws; or any action asserting a claim against us that is governed by the internal affairs doctrine. The provisions would not apply to suits brought to enforce a duty or liability created by the Exchange Act. In addition, our amended</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13" w:right="339" w:bottom="1440" w:gutter="0" w:footer="0" w:header="0"/>
        </w:sectPr>
      </w:pPr>
    </w:p>
    <w:bookmarkStart w:id="61" w:name="page62"/>
    <w:bookmarkEnd w:id="61"/>
    <w:p>
      <w:pPr>
        <w:jc w:val="both"/>
        <w:spacing w:after="0" w:line="277" w:lineRule="auto"/>
        <w:rPr>
          <w:sz w:val="20"/>
          <w:szCs w:val="20"/>
          <w:color w:val="auto"/>
        </w:rPr>
      </w:pPr>
      <w:r>
        <w:rPr>
          <w:rFonts w:ascii="Arial" w:cs="Arial" w:eastAsia="Arial" w:hAnsi="Arial"/>
          <w:sz w:val="18"/>
          <w:szCs w:val="18"/>
          <w:color w:val="auto"/>
        </w:rPr>
        <w:t>and restated certificate of incorporation provides that the federal district courts of the United States of America will be the exclusive forum for resolving any complaint asserting a cause of action arising under the Securities Act.</w:t>
      </w:r>
    </w:p>
    <w:p>
      <w:pPr>
        <w:spacing w:after="0" w:line="170" w:lineRule="exact"/>
        <w:rPr>
          <w:sz w:val="20"/>
          <w:szCs w:val="20"/>
          <w:color w:val="auto"/>
        </w:rPr>
      </w:pPr>
    </w:p>
    <w:p>
      <w:pPr>
        <w:jc w:val="both"/>
        <w:ind w:firstLine="486"/>
        <w:spacing w:after="0" w:line="255" w:lineRule="auto"/>
        <w:rPr>
          <w:sz w:val="20"/>
          <w:szCs w:val="20"/>
          <w:color w:val="auto"/>
        </w:rPr>
      </w:pPr>
      <w:r>
        <w:rPr>
          <w:rFonts w:ascii="Arial" w:cs="Arial" w:eastAsia="Arial" w:hAnsi="Arial"/>
          <w:sz w:val="18"/>
          <w:szCs w:val="18"/>
          <w:color w:val="auto"/>
        </w:rPr>
        <w:t>These choice of forum provisions may limit a stockholder’s ability to bring a claim in a judicial forum that it finds favorable for disputes with us or our directors, officers, or other employees. While the Delaware courts have determined that such choice of forum provisions are facially valid, a stockholder may nevertheless seek to bring a claim in a venue other than those designated in the exclusive forum provisions. In such instance, we would expect to vigorously assert the validity and enforceability of the exclusive forum provisions of our amended and restated certificate of incorporation. This may require significant additional costs associated with resolving such action in other jurisdictions and there can be no assurance that the provisions will be enforced by a court in those other jurisdictions.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Outstanding 2025 Notes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may not have sufficient cash flow from our business to make payments on our significant debt when due, and we may incur additional indebtedness in the future.</w:t>
      </w:r>
    </w:p>
    <w:p>
      <w:pPr>
        <w:spacing w:after="0" w:line="170" w:lineRule="exact"/>
        <w:rPr>
          <w:sz w:val="20"/>
          <w:szCs w:val="20"/>
          <w:color w:val="auto"/>
        </w:rPr>
      </w:pPr>
    </w:p>
    <w:p>
      <w:pPr>
        <w:jc w:val="both"/>
        <w:ind w:firstLine="486"/>
        <w:spacing w:after="0" w:line="271" w:lineRule="auto"/>
        <w:rPr>
          <w:sz w:val="20"/>
          <w:szCs w:val="20"/>
          <w:color w:val="auto"/>
        </w:rPr>
      </w:pPr>
      <w:r>
        <w:rPr>
          <w:rFonts w:ascii="Arial" w:cs="Arial" w:eastAsia="Arial" w:hAnsi="Arial"/>
          <w:sz w:val="17"/>
          <w:szCs w:val="17"/>
          <w:color w:val="auto"/>
        </w:rPr>
        <w:t>In June 2020, we issued the 2025 Notes in a private placement. We may be required to use a substantial portion of our cash flows from operations to pay interest and principal on our indebtedness. Our ability to make scheduled payments of the principal of, to pay interest on or to refinance our indebtedness, including the 2025 Notes, depends on our future performance, which is subject to economic, financial, competitive and other factors beyond our control. Our business may not continue to generate cash flow from operations in the future sufficient to service our debt and make necessary capital expenditures. If we are unable to generate such cash flow, we may be required to adopt one or more alternatives, such as selling assets, restructuring debt or obtaining additional equity capital on terms that may be onerous or highly dilutive. Our ability to refinance our indebtedness will depend on the capital markets and our financial condition at such time. We may not be able to engage in any of these activities or engage in these activities on desirable terms, which could result in a default on our debt obligations.</w:t>
      </w:r>
    </w:p>
    <w:p>
      <w:pPr>
        <w:spacing w:after="0" w:line="178"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In addition, we may incur substantial additional debt in the future, subject to the restrictions contained in our future debt agreements, some of which may be secured debt. We are not restricted under the terms of the indenture governing the 2025 Notes, from incurring additional debt, securing existing or future debt, recapitalizing our debt, repurchasing our stock, pledging our assets, making investments, paying dividends, guaranteeing debt or taking a number of other actions that are not limited by the terms of the indenture governing the 2025 Notes that could have the effect of diminishing our ability to make payments on the 2025 Notes when due.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conditional conversion feature of the 2025 Notes may adversely affect our financial condition and operating results.</w:t>
      </w:r>
    </w:p>
    <w:p>
      <w:pPr>
        <w:spacing w:after="0" w:line="225" w:lineRule="exact"/>
        <w:rPr>
          <w:sz w:val="20"/>
          <w:szCs w:val="20"/>
          <w:color w:val="auto"/>
        </w:rPr>
      </w:pPr>
    </w:p>
    <w:p>
      <w:pPr>
        <w:jc w:val="both"/>
        <w:ind w:firstLine="486"/>
        <w:spacing w:after="0" w:line="254" w:lineRule="auto"/>
        <w:rPr>
          <w:sz w:val="20"/>
          <w:szCs w:val="20"/>
          <w:color w:val="auto"/>
        </w:rPr>
      </w:pPr>
      <w:r>
        <w:rPr>
          <w:rFonts w:ascii="Arial" w:cs="Arial" w:eastAsia="Arial" w:hAnsi="Arial"/>
          <w:sz w:val="18"/>
          <w:szCs w:val="18"/>
          <w:color w:val="auto"/>
        </w:rPr>
        <w:t>In the event the conditional conversion feature of the 2025 Notes is triggered, as it was during the quarter ended March 31, 2022, holders of the 2025 Notes are entitled to convert the notes at any time during specified periods at their option. If one or more holders elect to convert their 2025 Notes, unless we elect to satisfy our conversion obligation by delivering solely shares of our Class A common stock (other than paying cash in lieu of delivering any fractional share), we would be required to settle a portion or all of our conversion obligation through the payment of cash, which could adversely affect our liquidity. In addition, even if holders do not elect to convert their 2025 Notes when these conversion triggers are satisfied, we could be required under applicable accounting rules to reclassify all or a portion of the outstanding principal of the 2025 Notes as a current rather than long-term liability, which would result in a material reduction of our net working capital.</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capped call transactions may affect the value of the 2025 Notes and our Class A common stock.</w:t>
      </w:r>
    </w:p>
    <w:p>
      <w:pPr>
        <w:spacing w:after="0" w:line="225" w:lineRule="exact"/>
        <w:rPr>
          <w:sz w:val="20"/>
          <w:szCs w:val="20"/>
          <w:color w:val="auto"/>
        </w:rPr>
      </w:pPr>
    </w:p>
    <w:p>
      <w:pPr>
        <w:jc w:val="both"/>
        <w:ind w:firstLine="486"/>
        <w:spacing w:after="0" w:line="255" w:lineRule="auto"/>
        <w:rPr>
          <w:sz w:val="20"/>
          <w:szCs w:val="20"/>
          <w:color w:val="auto"/>
        </w:rPr>
      </w:pPr>
      <w:r>
        <w:rPr>
          <w:rFonts w:ascii="Arial" w:cs="Arial" w:eastAsia="Arial" w:hAnsi="Arial"/>
          <w:sz w:val="18"/>
          <w:szCs w:val="18"/>
          <w:color w:val="auto"/>
        </w:rPr>
        <w:t>In connection with the pricing of the 2025 Notes, we entered into capped call transactions with the option counterparties. The capped call transactions cover, subject to customary adjustments, the number of shares of our common stock that initially underlie the 2025 Notes. The capped call transactions are expected generally to partially offset the potential dilution to our Class A common stock as a result of conversion of the 2025 Notes. In connection with establishing their initial hedges of the capped call transactions, the option counterparties or their respective affiliates entered into various derivative transactions with respect to our Class A common stock concurrently with or shortly after the pricing of the 2025 Notes, including with certain investors in the 2025 Notes.</w:t>
      </w:r>
    </w:p>
    <w:p>
      <w:pPr>
        <w:spacing w:after="0" w:line="192"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In addition, the option counterparties or their respective affiliates may modify their hedge positions by entering into or unwinding various derivatives with respect to our common stock and/or purchasing or selling our Class A common stock or other securities of ours in secondary market transactions following the pricing of the 2025 Notes on June 2, 2020 and prior to the maturity of the 2025 Notes. They are likely to do so on each exercise date for the capped call transactions, which are expected to occur during each 30 trading day period beginning on the 31st scheduled trading day prior to the maturity date of</w:t>
      </w:r>
    </w:p>
    <w:p>
      <w:pPr>
        <w:sectPr>
          <w:pgSz w:w="11900" w:h="16838" w:orient="portrait"/>
          <w:cols w:equalWidth="0" w:num="1">
            <w:col w:w="11240"/>
          </w:cols>
          <w:pgMar w:left="320" w:top="1313" w:right="339" w:bottom="1440" w:gutter="0" w:footer="0" w:header="0"/>
        </w:sectPr>
      </w:pP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13" w:right="339" w:bottom="1440" w:gutter="0" w:footer="0" w:header="0"/>
          <w:type w:val="continuous"/>
        </w:sectPr>
      </w:pPr>
    </w:p>
    <w:bookmarkStart w:id="62" w:name="page63"/>
    <w:bookmarkEnd w:id="62"/>
    <w:p>
      <w:pPr>
        <w:jc w:val="both"/>
        <w:spacing w:after="0" w:line="279" w:lineRule="auto"/>
        <w:rPr>
          <w:sz w:val="20"/>
          <w:szCs w:val="20"/>
          <w:color w:val="auto"/>
        </w:rPr>
      </w:pPr>
      <w:r>
        <w:rPr>
          <w:rFonts w:ascii="Arial" w:cs="Arial" w:eastAsia="Arial" w:hAnsi="Arial"/>
          <w:sz w:val="17"/>
          <w:szCs w:val="17"/>
          <w:color w:val="auto"/>
        </w:rPr>
        <w:t>the 2025 Notes, or following any termination of any portion of the capped call transactions in connection with any repurchase, redemption or early conversion of the 2025 Notes. This activity could also cause or prevent an increase or decrease in the price of our Class A common stock or the 2025 Notes. The potential effect, if any, of these transactions on the price of our Class A common stock or the 2025 Notes will depend in part on market conditions and cannot be ascertained at this time. Any of these activities could adversely affect the value of our Class A common stock.</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subject to counterparty risk with respect to the capped call transactions.</w:t>
      </w:r>
    </w:p>
    <w:p>
      <w:pPr>
        <w:spacing w:after="0" w:line="225" w:lineRule="exact"/>
        <w:rPr>
          <w:sz w:val="20"/>
          <w:szCs w:val="20"/>
          <w:color w:val="auto"/>
        </w:rPr>
      </w:pPr>
    </w:p>
    <w:p>
      <w:pPr>
        <w:jc w:val="both"/>
        <w:ind w:firstLine="486"/>
        <w:spacing w:after="0" w:line="254" w:lineRule="auto"/>
        <w:rPr>
          <w:sz w:val="20"/>
          <w:szCs w:val="20"/>
          <w:color w:val="auto"/>
        </w:rPr>
      </w:pPr>
      <w:r>
        <w:rPr>
          <w:rFonts w:ascii="Arial" w:cs="Arial" w:eastAsia="Arial" w:hAnsi="Arial"/>
          <w:sz w:val="18"/>
          <w:szCs w:val="18"/>
          <w:color w:val="auto"/>
        </w:rPr>
        <w:t>The counterparties to the capped call transactions are financial institutions, and we will be subject to the risk that one or more of the option counterparties may default, fail to perform or exercise their termination rights under the capped call transactions. Our exposure to the credit risk of the option counterparties will not be secured by any collateral. If a counterparty to the capped call transactions becomes subject to insolvency proceedings, we will become an unsecured creditor in those proceedings with a claim equal to our exposure at the time under such transaction. Our exposure will depend on many factors but, generally, our exposure will increase if the market price or the volatility of our common stock increases. In addition, upon a default, failure to perform or a termination of the capped call transactions by a counterparty, we may suffer more dilution than we currently anticipate with respect to our common stock.</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w:t>
      </w:r>
    </w:p>
    <w:p>
      <w:pPr>
        <w:spacing w:after="0" w:line="225" w:lineRule="exact"/>
        <w:rPr>
          <w:sz w:val="20"/>
          <w:szCs w:val="20"/>
          <w:color w:val="auto"/>
        </w:rPr>
      </w:pPr>
    </w:p>
    <w:p>
      <w:pPr>
        <w:ind w:left="500" w:right="7360" w:hanging="492"/>
        <w:spacing w:after="0" w:line="500" w:lineRule="auto"/>
        <w:tabs>
          <w:tab w:leader="none" w:pos="332" w:val="left"/>
        </w:tabs>
        <w:numPr>
          <w:ilvl w:val="0"/>
          <w:numId w:val="2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Recent Sales of Unregistered Equity Securities </w:t>
      </w:r>
      <w:r>
        <w:rPr>
          <w:rFonts w:ascii="Arial" w:cs="Arial" w:eastAsia="Arial" w:hAnsi="Arial"/>
          <w:sz w:val="18"/>
          <w:szCs w:val="18"/>
          <w:color w:val="auto"/>
        </w:rPr>
        <w:t>None.</w:t>
      </w:r>
    </w:p>
    <w:p>
      <w:pPr>
        <w:spacing w:after="0" w:line="1" w:lineRule="exact"/>
        <w:rPr>
          <w:rFonts w:ascii="Arial" w:cs="Arial" w:eastAsia="Arial" w:hAnsi="Arial"/>
          <w:sz w:val="18"/>
          <w:szCs w:val="18"/>
          <w:b w:val="1"/>
          <w:bCs w:val="1"/>
          <w:color w:val="auto"/>
        </w:rPr>
      </w:pPr>
    </w:p>
    <w:p>
      <w:pPr>
        <w:ind w:left="280" w:hanging="272"/>
        <w:spacing w:after="0"/>
        <w:tabs>
          <w:tab w:leader="none" w:pos="280" w:val="left"/>
        </w:tabs>
        <w:numPr>
          <w:ilvl w:val="0"/>
          <w:numId w:val="23"/>
        </w:numPr>
        <w:rPr>
          <w:rFonts w:ascii="Arial" w:cs="Arial" w:eastAsia="Arial" w:hAnsi="Arial"/>
          <w:sz w:val="18"/>
          <w:szCs w:val="18"/>
          <w:b w:val="1"/>
          <w:bCs w:val="1"/>
          <w:color w:val="auto"/>
        </w:rPr>
      </w:pPr>
      <w:r>
        <w:rPr>
          <w:rFonts w:ascii="Arial" w:cs="Arial" w:eastAsia="Arial" w:hAnsi="Arial"/>
          <w:sz w:val="18"/>
          <w:szCs w:val="18"/>
          <w:b w:val="1"/>
          <w:bCs w:val="1"/>
          <w:color w:val="auto"/>
        </w:rPr>
        <w:t>Issuer Purchases of Equity Securities</w:t>
      </w:r>
    </w:p>
    <w:p>
      <w:pPr>
        <w:spacing w:after="0" w:line="22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2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2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Trading Arrangements</w:t>
      </w:r>
    </w:p>
    <w:p>
      <w:pPr>
        <w:spacing w:after="0" w:line="229"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During the three months ended September 30, 2023, the Company’s directors and officers (as defined in Rule 16a-1(f) under the Exchange Act) adopted written plans intended to satisfy the affirmative defense conditions of Securities Exchange Act Rule 10b5-1(c) for the sale of the Company’s securities as set forth in the table below.</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64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w w:val="94"/>
              </w:rPr>
              <w:t>Name</w:t>
            </w:r>
          </w:p>
        </w:tc>
        <w:tc>
          <w:tcPr>
            <w:tcW w:w="294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w w:val="90"/>
              </w:rPr>
              <w:t>Position</w:t>
            </w:r>
          </w:p>
        </w:tc>
        <w:tc>
          <w:tcPr>
            <w:tcW w:w="184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4"/>
              </w:rPr>
              <w:t>Adoption Date</w:t>
            </w:r>
          </w:p>
        </w:tc>
        <w:tc>
          <w:tcPr>
            <w:tcW w:w="290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1"/>
              </w:rPr>
              <w:t>Total Shares of Class A Common Stock to be</w:t>
            </w:r>
          </w:p>
        </w:tc>
        <w:tc>
          <w:tcPr>
            <w:tcW w:w="19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7"/>
              </w:rPr>
              <w:t>Expiration Date</w:t>
            </w:r>
          </w:p>
        </w:tc>
        <w:tc>
          <w:tcPr>
            <w:tcW w:w="0" w:type="dxa"/>
            <w:vAlign w:val="bottom"/>
          </w:tcPr>
          <w:p>
            <w:pPr>
              <w:spacing w:after="0"/>
              <w:rPr>
                <w:sz w:val="1"/>
                <w:szCs w:val="1"/>
                <w:color w:val="auto"/>
              </w:rPr>
            </w:pPr>
          </w:p>
        </w:tc>
      </w:tr>
      <w:tr>
        <w:trPr>
          <w:trHeight w:val="105"/>
        </w:trPr>
        <w:tc>
          <w:tcPr>
            <w:tcW w:w="1640" w:type="dxa"/>
            <w:vAlign w:val="bottom"/>
            <w:gridSpan w:val="2"/>
            <w:vMerge w:val="continue"/>
          </w:tcPr>
          <w:p>
            <w:pPr>
              <w:spacing w:after="0"/>
              <w:rPr>
                <w:sz w:val="9"/>
                <w:szCs w:val="9"/>
                <w:color w:val="auto"/>
              </w:rPr>
            </w:pPr>
          </w:p>
        </w:tc>
        <w:tc>
          <w:tcPr>
            <w:tcW w:w="2940" w:type="dxa"/>
            <w:vAlign w:val="bottom"/>
            <w:gridSpan w:val="2"/>
            <w:vMerge w:val="continue"/>
          </w:tcPr>
          <w:p>
            <w:pPr>
              <w:spacing w:after="0"/>
              <w:rPr>
                <w:sz w:val="9"/>
                <w:szCs w:val="9"/>
                <w:color w:val="auto"/>
              </w:rPr>
            </w:pPr>
          </w:p>
        </w:tc>
        <w:tc>
          <w:tcPr>
            <w:tcW w:w="1840" w:type="dxa"/>
            <w:vAlign w:val="bottom"/>
            <w:gridSpan w:val="2"/>
            <w:vMerge w:val="continue"/>
          </w:tcPr>
          <w:p>
            <w:pPr>
              <w:spacing w:after="0"/>
              <w:rPr>
                <w:sz w:val="9"/>
                <w:szCs w:val="9"/>
                <w:color w:val="auto"/>
              </w:rPr>
            </w:pPr>
          </w:p>
        </w:tc>
        <w:tc>
          <w:tcPr>
            <w:tcW w:w="290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2"/>
              </w:rPr>
              <w:t>Sold</w:t>
            </w:r>
          </w:p>
        </w:tc>
        <w:tc>
          <w:tcPr>
            <w:tcW w:w="19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1"/>
        </w:trPr>
        <w:tc>
          <w:tcPr>
            <w:tcW w:w="1540" w:type="dxa"/>
            <w:vAlign w:val="bottom"/>
          </w:tcPr>
          <w:p>
            <w:pPr>
              <w:spacing w:after="0"/>
              <w:rPr>
                <w:sz w:val="7"/>
                <w:szCs w:val="7"/>
                <w:color w:val="auto"/>
              </w:rPr>
            </w:pPr>
          </w:p>
        </w:tc>
        <w:tc>
          <w:tcPr>
            <w:tcW w:w="100" w:type="dxa"/>
            <w:vAlign w:val="bottom"/>
          </w:tcPr>
          <w:p>
            <w:pPr>
              <w:spacing w:after="0"/>
              <w:rPr>
                <w:sz w:val="7"/>
                <w:szCs w:val="7"/>
                <w:color w:val="auto"/>
              </w:rPr>
            </w:pPr>
          </w:p>
        </w:tc>
        <w:tc>
          <w:tcPr>
            <w:tcW w:w="28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740" w:type="dxa"/>
            <w:vAlign w:val="bottom"/>
          </w:tcPr>
          <w:p>
            <w:pPr>
              <w:spacing w:after="0"/>
              <w:rPr>
                <w:sz w:val="7"/>
                <w:szCs w:val="7"/>
                <w:color w:val="auto"/>
              </w:rPr>
            </w:pPr>
          </w:p>
        </w:tc>
        <w:tc>
          <w:tcPr>
            <w:tcW w:w="100" w:type="dxa"/>
            <w:vAlign w:val="bottom"/>
          </w:tcPr>
          <w:p>
            <w:pPr>
              <w:spacing w:after="0"/>
              <w:rPr>
                <w:sz w:val="7"/>
                <w:szCs w:val="7"/>
                <w:color w:val="auto"/>
              </w:rPr>
            </w:pPr>
          </w:p>
        </w:tc>
        <w:tc>
          <w:tcPr>
            <w:tcW w:w="2900" w:type="dxa"/>
            <w:vAlign w:val="bottom"/>
            <w:gridSpan w:val="2"/>
            <w:vMerge w:val="continue"/>
          </w:tcPr>
          <w:p>
            <w:pPr>
              <w:spacing w:after="0"/>
              <w:rPr>
                <w:sz w:val="7"/>
                <w:szCs w:val="7"/>
                <w:color w:val="auto"/>
              </w:rPr>
            </w:pPr>
          </w:p>
        </w:tc>
        <w:tc>
          <w:tcPr>
            <w:tcW w:w="19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
        </w:trPr>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1640" w:type="dxa"/>
            <w:vAlign w:val="bottom"/>
            <w:gridSpan w:val="2"/>
            <w:shd w:val="clear" w:color="auto" w:fill="CCEEFF"/>
          </w:tcPr>
          <w:p>
            <w:pPr>
              <w:jc w:val="center"/>
              <w:ind w:right="80"/>
              <w:spacing w:after="0"/>
              <w:rPr>
                <w:sz w:val="20"/>
                <w:szCs w:val="20"/>
                <w:color w:val="auto"/>
              </w:rPr>
            </w:pPr>
            <w:r>
              <w:rPr>
                <w:rFonts w:ascii="Arial" w:cs="Arial" w:eastAsia="Arial" w:hAnsi="Arial"/>
                <w:sz w:val="16"/>
                <w:szCs w:val="16"/>
                <w:color w:val="auto"/>
                <w:w w:val="96"/>
              </w:rPr>
              <w:t>Kerry Acocella</w:t>
            </w:r>
          </w:p>
        </w:tc>
        <w:tc>
          <w:tcPr>
            <w:tcW w:w="2940" w:type="dxa"/>
            <w:vAlign w:val="bottom"/>
            <w:gridSpan w:val="2"/>
            <w:shd w:val="clear" w:color="auto" w:fill="CCEEFF"/>
          </w:tcPr>
          <w:p>
            <w:pPr>
              <w:jc w:val="center"/>
              <w:ind w:right="80"/>
              <w:spacing w:after="0"/>
              <w:rPr>
                <w:sz w:val="20"/>
                <w:szCs w:val="20"/>
                <w:color w:val="auto"/>
              </w:rPr>
            </w:pPr>
            <w:r>
              <w:rPr>
                <w:rFonts w:ascii="Arial" w:cs="Arial" w:eastAsia="Arial" w:hAnsi="Arial"/>
                <w:sz w:val="16"/>
                <w:szCs w:val="16"/>
                <w:color w:val="auto"/>
                <w:w w:val="91"/>
              </w:rPr>
              <w:t>General Counsel &amp; Secretary</w:t>
            </w:r>
          </w:p>
        </w:tc>
        <w:tc>
          <w:tcPr>
            <w:tcW w:w="184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89"/>
              </w:rPr>
              <w:t>September 12, 2023</w:t>
            </w:r>
          </w:p>
        </w:tc>
        <w:tc>
          <w:tcPr>
            <w:tcW w:w="2800" w:type="dxa"/>
            <w:vAlign w:val="bottom"/>
            <w:shd w:val="clear" w:color="auto" w:fill="CCEEFF"/>
          </w:tcPr>
          <w:p>
            <w:pPr>
              <w:jc w:val="right"/>
              <w:ind w:right="1104"/>
              <w:spacing w:after="0"/>
              <w:rPr>
                <w:sz w:val="20"/>
                <w:szCs w:val="20"/>
                <w:color w:val="auto"/>
              </w:rPr>
            </w:pPr>
            <w:r>
              <w:rPr>
                <w:rFonts w:ascii="Arial" w:cs="Arial" w:eastAsia="Arial" w:hAnsi="Arial"/>
                <w:sz w:val="16"/>
                <w:szCs w:val="16"/>
                <w:color w:val="auto"/>
              </w:rPr>
              <w:t>17,500</w:t>
            </w:r>
          </w:p>
        </w:tc>
        <w:tc>
          <w:tcPr>
            <w:tcW w:w="100" w:type="dxa"/>
            <w:vAlign w:val="bottom"/>
            <w:shd w:val="clear" w:color="auto" w:fill="CCEEFF"/>
          </w:tcPr>
          <w:p>
            <w:pPr>
              <w:spacing w:after="0"/>
              <w:rPr>
                <w:sz w:val="19"/>
                <w:szCs w:val="19"/>
                <w:color w:val="auto"/>
              </w:rPr>
            </w:pPr>
          </w:p>
        </w:tc>
        <w:tc>
          <w:tcPr>
            <w:tcW w:w="19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September 30, 2024</w:t>
            </w:r>
          </w:p>
        </w:tc>
        <w:tc>
          <w:tcPr>
            <w:tcW w:w="0" w:type="dxa"/>
            <w:vAlign w:val="bottom"/>
          </w:tcPr>
          <w:p>
            <w:pPr>
              <w:spacing w:after="0"/>
              <w:rPr>
                <w:sz w:val="1"/>
                <w:szCs w:val="1"/>
                <w:color w:val="auto"/>
              </w:rPr>
            </w:pPr>
          </w:p>
        </w:tc>
      </w:tr>
      <w:tr>
        <w:trPr>
          <w:trHeight w:val="250"/>
        </w:trPr>
        <w:tc>
          <w:tcPr>
            <w:tcW w:w="1640" w:type="dxa"/>
            <w:vAlign w:val="bottom"/>
            <w:gridSpan w:val="2"/>
          </w:tcPr>
          <w:p>
            <w:pPr>
              <w:jc w:val="center"/>
              <w:ind w:right="80"/>
              <w:spacing w:after="0"/>
              <w:rPr>
                <w:sz w:val="20"/>
                <w:szCs w:val="20"/>
                <w:color w:val="auto"/>
              </w:rPr>
            </w:pPr>
            <w:r>
              <w:rPr>
                <w:rFonts w:ascii="Arial" w:cs="Arial" w:eastAsia="Arial" w:hAnsi="Arial"/>
                <w:sz w:val="16"/>
                <w:szCs w:val="16"/>
                <w:color w:val="auto"/>
                <w:w w:val="95"/>
              </w:rPr>
              <w:t>Alexis Lê-Quôc</w:t>
            </w:r>
          </w:p>
        </w:tc>
        <w:tc>
          <w:tcPr>
            <w:tcW w:w="2940" w:type="dxa"/>
            <w:vAlign w:val="bottom"/>
            <w:gridSpan w:val="2"/>
          </w:tcPr>
          <w:p>
            <w:pPr>
              <w:jc w:val="center"/>
              <w:ind w:right="80"/>
              <w:spacing w:after="0"/>
              <w:rPr>
                <w:sz w:val="20"/>
                <w:szCs w:val="20"/>
                <w:color w:val="auto"/>
              </w:rPr>
            </w:pPr>
            <w:r>
              <w:rPr>
                <w:rFonts w:ascii="Arial" w:cs="Arial" w:eastAsia="Arial" w:hAnsi="Arial"/>
                <w:sz w:val="16"/>
                <w:szCs w:val="16"/>
                <w:color w:val="auto"/>
                <w:w w:val="96"/>
              </w:rPr>
              <w:t>Chief Technology Officer &amp; Director</w:t>
            </w:r>
          </w:p>
        </w:tc>
        <w:tc>
          <w:tcPr>
            <w:tcW w:w="1840" w:type="dxa"/>
            <w:vAlign w:val="bottom"/>
            <w:gridSpan w:val="2"/>
          </w:tcPr>
          <w:p>
            <w:pPr>
              <w:jc w:val="center"/>
              <w:ind w:right="100"/>
              <w:spacing w:after="0"/>
              <w:rPr>
                <w:sz w:val="20"/>
                <w:szCs w:val="20"/>
                <w:color w:val="auto"/>
              </w:rPr>
            </w:pPr>
            <w:r>
              <w:rPr>
                <w:rFonts w:ascii="Arial" w:cs="Arial" w:eastAsia="Arial" w:hAnsi="Arial"/>
                <w:sz w:val="16"/>
                <w:szCs w:val="16"/>
                <w:color w:val="auto"/>
                <w:w w:val="89"/>
              </w:rPr>
              <w:t>September 5, 2023</w:t>
            </w:r>
          </w:p>
        </w:tc>
        <w:tc>
          <w:tcPr>
            <w:tcW w:w="2800" w:type="dxa"/>
            <w:vAlign w:val="bottom"/>
          </w:tcPr>
          <w:p>
            <w:pPr>
              <w:jc w:val="center"/>
              <w:ind w:right="884"/>
              <w:spacing w:after="0"/>
              <w:rPr>
                <w:sz w:val="20"/>
                <w:szCs w:val="20"/>
                <w:color w:val="auto"/>
              </w:rPr>
            </w:pPr>
            <w:r>
              <w:rPr>
                <w:rFonts w:ascii="Arial" w:cs="Arial" w:eastAsia="Arial" w:hAnsi="Arial"/>
                <w:sz w:val="16"/>
                <w:szCs w:val="16"/>
                <w:color w:val="auto"/>
              </w:rPr>
              <w:t xml:space="preserve">3,307,972 </w:t>
            </w:r>
            <w:r>
              <w:rPr>
                <w:rFonts w:ascii="Arial" w:cs="Arial" w:eastAsia="Arial" w:hAnsi="Arial"/>
                <w:sz w:val="21"/>
                <w:szCs w:val="21"/>
                <w:color w:val="auto"/>
                <w:vertAlign w:val="superscript"/>
              </w:rPr>
              <w:t>(1)</w:t>
            </w:r>
          </w:p>
        </w:tc>
        <w:tc>
          <w:tcPr>
            <w:tcW w:w="100" w:type="dxa"/>
            <w:vAlign w:val="bottom"/>
          </w:tcPr>
          <w:p>
            <w:pPr>
              <w:spacing w:after="0"/>
              <w:rPr>
                <w:sz w:val="21"/>
                <w:szCs w:val="21"/>
                <w:color w:val="auto"/>
              </w:rPr>
            </w:pPr>
          </w:p>
        </w:tc>
        <w:tc>
          <w:tcPr>
            <w:tcW w:w="1920" w:type="dxa"/>
            <w:vAlign w:val="bottom"/>
          </w:tcPr>
          <w:p>
            <w:pPr>
              <w:jc w:val="center"/>
              <w:spacing w:after="0"/>
              <w:rPr>
                <w:sz w:val="20"/>
                <w:szCs w:val="20"/>
                <w:color w:val="auto"/>
              </w:rPr>
            </w:pPr>
            <w:r>
              <w:rPr>
                <w:rFonts w:ascii="Arial" w:cs="Arial" w:eastAsia="Arial" w:hAnsi="Arial"/>
                <w:sz w:val="16"/>
                <w:szCs w:val="16"/>
                <w:color w:val="auto"/>
                <w:w w:val="90"/>
              </w:rPr>
              <w:t>October 3, 2025</w:t>
            </w:r>
          </w:p>
        </w:tc>
        <w:tc>
          <w:tcPr>
            <w:tcW w:w="0" w:type="dxa"/>
            <w:vAlign w:val="bottom"/>
          </w:tcPr>
          <w:p>
            <w:pPr>
              <w:spacing w:after="0"/>
              <w:rPr>
                <w:sz w:val="1"/>
                <w:szCs w:val="1"/>
                <w:color w:val="auto"/>
              </w:rPr>
            </w:pPr>
          </w:p>
        </w:tc>
      </w:tr>
    </w:tbl>
    <w:p>
      <w:pPr>
        <w:ind w:left="340" w:hanging="314"/>
        <w:spacing w:after="0"/>
        <w:tabs>
          <w:tab w:leader="none" w:pos="340" w:val="left"/>
        </w:tabs>
        <w:numPr>
          <w:ilvl w:val="0"/>
          <w:numId w:val="24"/>
        </w:numPr>
        <w:rPr>
          <w:rFonts w:ascii="Arial" w:cs="Arial" w:eastAsia="Arial" w:hAnsi="Arial"/>
          <w:sz w:val="13"/>
          <w:szCs w:val="13"/>
          <w:color w:val="auto"/>
        </w:rPr>
      </w:pPr>
      <w:r>
        <w:rPr>
          <w:rFonts w:ascii="Arial" w:cs="Arial" w:eastAsia="Arial" w:hAnsi="Arial"/>
          <w:sz w:val="13"/>
          <w:szCs w:val="13"/>
          <w:color w:val="auto"/>
        </w:rPr>
        <w:t>Approximately 2.7 million shares will be sold in sell-to-cover transactions intended to satisfy tax withholding obligations and exercise costs realized upon the exercise of stock options.</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13" w:right="339" w:bottom="1440" w:gutter="0" w:footer="0" w:header="0"/>
        </w:sectPr>
      </w:pPr>
    </w:p>
    <w:bookmarkStart w:id="63" w:name="page64"/>
    <w:bookmarkEnd w:id="63"/>
    <w:p>
      <w:pPr>
        <w:spacing w:after="0" w:line="329" w:lineRule="exact"/>
        <w:rPr>
          <w:sz w:val="20"/>
          <w:szCs w:val="20"/>
          <w:color w:val="auto"/>
        </w:rPr>
      </w:pPr>
    </w:p>
    <w:p>
      <w:pPr>
        <w:ind w:left="55"/>
        <w:spacing w:after="0"/>
        <w:rPr>
          <w:sz w:val="20"/>
          <w:szCs w:val="20"/>
          <w:color w:val="auto"/>
        </w:rPr>
      </w:pPr>
      <w:r>
        <w:rPr>
          <w:rFonts w:ascii="Arial" w:cs="Arial" w:eastAsia="Arial" w:hAnsi="Arial"/>
          <w:sz w:val="18"/>
          <w:szCs w:val="18"/>
          <w:b w:val="1"/>
          <w:bCs w:val="1"/>
          <w:color w:val="auto"/>
        </w:rPr>
        <w:t>ITEM 6. EXHIBITS</w:t>
      </w:r>
    </w:p>
    <w:p>
      <w:pPr>
        <w:spacing w:after="0" w:line="153" w:lineRule="exact"/>
        <w:rPr>
          <w:sz w:val="20"/>
          <w:szCs w:val="20"/>
          <w:color w:val="auto"/>
        </w:rPr>
      </w:pPr>
    </w:p>
    <w:tbl>
      <w:tblPr>
        <w:tblLayout w:type="fixed"/>
        <w:tblInd w:w="55" w:type="dxa"/>
        <w:tblCellMar>
          <w:top w:w="0" w:type="dxa"/>
          <w:left w:w="0" w:type="dxa"/>
          <w:bottom w:w="0" w:type="dxa"/>
          <w:right w:w="0" w:type="dxa"/>
        </w:tblCellMar>
      </w:tblPr>
      <w:tr>
        <w:trPr>
          <w:trHeight w:val="186"/>
        </w:trPr>
        <w:tc>
          <w:tcPr>
            <w:tcW w:w="1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580" w:type="dxa"/>
            <w:vAlign w:val="bottom"/>
            <w:gridSpan w:val="2"/>
          </w:tcPr>
          <w:p>
            <w:pPr>
              <w:ind w:left="680"/>
              <w:spacing w:after="0"/>
              <w:rPr>
                <w:sz w:val="20"/>
                <w:szCs w:val="20"/>
                <w:color w:val="auto"/>
              </w:rPr>
            </w:pPr>
            <w:r>
              <w:rPr>
                <w:rFonts w:ascii="Arial" w:cs="Arial" w:eastAsia="Arial" w:hAnsi="Arial"/>
                <w:sz w:val="14"/>
                <w:szCs w:val="14"/>
                <w:b w:val="1"/>
                <w:bCs w:val="1"/>
                <w:color w:val="auto"/>
              </w:rPr>
              <w:t>Incorporated by Reference</w:t>
            </w:r>
          </w:p>
        </w:tc>
        <w:tc>
          <w:tcPr>
            <w:tcW w:w="16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9"/>
        </w:trPr>
        <w:tc>
          <w:tcPr>
            <w:tcW w:w="1200" w:type="dxa"/>
            <w:vAlign w:val="bottom"/>
            <w:gridSpan w:val="2"/>
            <w:vMerge w:val="restart"/>
          </w:tcPr>
          <w:p>
            <w:pPr>
              <w:ind w:left="320"/>
              <w:spacing w:after="0"/>
              <w:rPr>
                <w:sz w:val="20"/>
                <w:szCs w:val="20"/>
                <w:color w:val="auto"/>
              </w:rPr>
            </w:pPr>
            <w:r>
              <w:rPr>
                <w:rFonts w:ascii="Arial" w:cs="Arial" w:eastAsia="Arial" w:hAnsi="Arial"/>
                <w:sz w:val="14"/>
                <w:szCs w:val="14"/>
                <w:b w:val="1"/>
                <w:bCs w:val="1"/>
                <w:color w:val="auto"/>
              </w:rPr>
              <w:t>Exhibit</w:t>
            </w:r>
          </w:p>
        </w:tc>
        <w:tc>
          <w:tcPr>
            <w:tcW w:w="2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146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62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60"/>
        </w:trPr>
        <w:tc>
          <w:tcPr>
            <w:tcW w:w="1200" w:type="dxa"/>
            <w:vAlign w:val="bottom"/>
            <w:gridSpan w:val="2"/>
            <w:vMerge w:val="continue"/>
          </w:tcPr>
          <w:p>
            <w:pPr>
              <w:spacing w:after="0"/>
              <w:rPr>
                <w:sz w:val="13"/>
                <w:szCs w:val="13"/>
                <w:color w:val="auto"/>
              </w:rPr>
            </w:pPr>
          </w:p>
        </w:tc>
        <w:tc>
          <w:tcPr>
            <w:tcW w:w="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1100" w:type="dxa"/>
            <w:vAlign w:val="bottom"/>
          </w:tcPr>
          <w:p>
            <w:pPr>
              <w:jc w:val="center"/>
              <w:spacing w:after="0" w:line="160" w:lineRule="exact"/>
              <w:rPr>
                <w:sz w:val="20"/>
                <w:szCs w:val="20"/>
                <w:color w:val="auto"/>
              </w:rPr>
            </w:pPr>
            <w:r>
              <w:rPr>
                <w:rFonts w:ascii="Arial" w:cs="Arial" w:eastAsia="Arial" w:hAnsi="Arial"/>
                <w:sz w:val="14"/>
                <w:szCs w:val="14"/>
                <w:b w:val="1"/>
                <w:bCs w:val="1"/>
                <w:color w:val="auto"/>
                <w:w w:val="91"/>
              </w:rPr>
              <w:t>Filed</w:t>
            </w:r>
          </w:p>
        </w:tc>
        <w:tc>
          <w:tcPr>
            <w:tcW w:w="0" w:type="dxa"/>
            <w:vAlign w:val="bottom"/>
          </w:tcPr>
          <w:p>
            <w:pPr>
              <w:spacing w:after="0"/>
              <w:rPr>
                <w:sz w:val="1"/>
                <w:szCs w:val="1"/>
                <w:color w:val="auto"/>
              </w:rPr>
            </w:pPr>
          </w:p>
        </w:tc>
      </w:tr>
      <w:tr>
        <w:trPr>
          <w:trHeight w:val="200"/>
        </w:trPr>
        <w:tc>
          <w:tcPr>
            <w:tcW w:w="1200" w:type="dxa"/>
            <w:vAlign w:val="bottom"/>
            <w:gridSpan w:val="2"/>
          </w:tcPr>
          <w:p>
            <w:pPr>
              <w:ind w:left="300"/>
              <w:spacing w:after="0"/>
              <w:rPr>
                <w:sz w:val="20"/>
                <w:szCs w:val="20"/>
                <w:color w:val="auto"/>
              </w:rPr>
            </w:pPr>
            <w:r>
              <w:rPr>
                <w:rFonts w:ascii="Arial" w:cs="Arial" w:eastAsia="Arial" w:hAnsi="Arial"/>
                <w:sz w:val="14"/>
                <w:szCs w:val="14"/>
                <w:b w:val="1"/>
                <w:bCs w:val="1"/>
                <w:color w:val="auto"/>
              </w:rPr>
              <w:t>Number</w:t>
            </w:r>
          </w:p>
        </w:tc>
        <w:tc>
          <w:tcPr>
            <w:tcW w:w="20" w:type="dxa"/>
            <w:vAlign w:val="bottom"/>
          </w:tcPr>
          <w:p>
            <w:pPr>
              <w:spacing w:after="0"/>
              <w:rPr>
                <w:sz w:val="17"/>
                <w:szCs w:val="17"/>
                <w:color w:val="auto"/>
              </w:rPr>
            </w:pPr>
          </w:p>
        </w:tc>
        <w:tc>
          <w:tcPr>
            <w:tcW w:w="3720" w:type="dxa"/>
            <w:vAlign w:val="bottom"/>
            <w:gridSpan w:val="12"/>
          </w:tcPr>
          <w:p>
            <w:pPr>
              <w:spacing w:after="0"/>
              <w:rPr>
                <w:sz w:val="20"/>
                <w:szCs w:val="20"/>
                <w:color w:val="auto"/>
              </w:rPr>
            </w:pPr>
            <w:r>
              <w:rPr>
                <w:rFonts w:ascii="Arial" w:cs="Arial" w:eastAsia="Arial" w:hAnsi="Arial"/>
                <w:sz w:val="14"/>
                <w:szCs w:val="14"/>
                <w:b w:val="1"/>
                <w:bCs w:val="1"/>
                <w:color w:val="auto"/>
              </w:rPr>
              <w:t>Description</w:t>
            </w:r>
          </w:p>
        </w:tc>
        <w:tc>
          <w:tcPr>
            <w:tcW w:w="960" w:type="dxa"/>
            <w:vAlign w:val="bottom"/>
          </w:tcPr>
          <w:p>
            <w:pPr>
              <w:jc w:val="center"/>
              <w:ind w:right="16"/>
              <w:spacing w:after="0"/>
              <w:rPr>
                <w:sz w:val="20"/>
                <w:szCs w:val="20"/>
                <w:color w:val="auto"/>
              </w:rPr>
            </w:pPr>
            <w:r>
              <w:rPr>
                <w:rFonts w:ascii="Arial" w:cs="Arial" w:eastAsia="Arial" w:hAnsi="Arial"/>
                <w:sz w:val="14"/>
                <w:szCs w:val="14"/>
                <w:b w:val="1"/>
                <w:bCs w:val="1"/>
                <w:color w:val="auto"/>
                <w:w w:val="97"/>
              </w:rPr>
              <w:t>Form</w:t>
            </w:r>
          </w:p>
        </w:tc>
        <w:tc>
          <w:tcPr>
            <w:tcW w:w="1460" w:type="dxa"/>
            <w:vAlign w:val="bottom"/>
          </w:tcPr>
          <w:p>
            <w:pPr>
              <w:jc w:val="center"/>
              <w:spacing w:after="0"/>
              <w:rPr>
                <w:sz w:val="20"/>
                <w:szCs w:val="20"/>
                <w:color w:val="auto"/>
              </w:rPr>
            </w:pPr>
            <w:r>
              <w:rPr>
                <w:rFonts w:ascii="Arial" w:cs="Arial" w:eastAsia="Arial" w:hAnsi="Arial"/>
                <w:sz w:val="14"/>
                <w:szCs w:val="14"/>
                <w:b w:val="1"/>
                <w:bCs w:val="1"/>
                <w:color w:val="auto"/>
                <w:w w:val="90"/>
              </w:rPr>
              <w:t>File No.</w:t>
            </w:r>
          </w:p>
        </w:tc>
        <w:tc>
          <w:tcPr>
            <w:tcW w:w="1120" w:type="dxa"/>
            <w:vAlign w:val="bottom"/>
          </w:tcPr>
          <w:p>
            <w:pPr>
              <w:jc w:val="center"/>
              <w:spacing w:after="0"/>
              <w:rPr>
                <w:sz w:val="20"/>
                <w:szCs w:val="20"/>
                <w:color w:val="auto"/>
              </w:rPr>
            </w:pPr>
            <w:r>
              <w:rPr>
                <w:rFonts w:ascii="Arial" w:cs="Arial" w:eastAsia="Arial" w:hAnsi="Arial"/>
                <w:sz w:val="14"/>
                <w:szCs w:val="14"/>
                <w:b w:val="1"/>
                <w:bCs w:val="1"/>
                <w:color w:val="auto"/>
                <w:w w:val="98"/>
              </w:rPr>
              <w:t>Exhibit</w:t>
            </w:r>
          </w:p>
        </w:tc>
        <w:tc>
          <w:tcPr>
            <w:tcW w:w="1620" w:type="dxa"/>
            <w:vAlign w:val="bottom"/>
          </w:tcPr>
          <w:p>
            <w:pPr>
              <w:jc w:val="center"/>
              <w:spacing w:after="0"/>
              <w:rPr>
                <w:sz w:val="20"/>
                <w:szCs w:val="20"/>
                <w:color w:val="auto"/>
              </w:rPr>
            </w:pPr>
            <w:r>
              <w:rPr>
                <w:rFonts w:ascii="Arial" w:cs="Arial" w:eastAsia="Arial" w:hAnsi="Arial"/>
                <w:sz w:val="14"/>
                <w:szCs w:val="14"/>
                <w:b w:val="1"/>
                <w:bCs w:val="1"/>
                <w:color w:val="auto"/>
                <w:w w:val="97"/>
              </w:rPr>
              <w:t>Filing Date</w:t>
            </w:r>
          </w:p>
        </w:tc>
        <w:tc>
          <w:tcPr>
            <w:tcW w:w="1100" w:type="dxa"/>
            <w:vAlign w:val="bottom"/>
          </w:tcPr>
          <w:p>
            <w:pPr>
              <w:jc w:val="center"/>
              <w:spacing w:after="0"/>
              <w:rPr>
                <w:sz w:val="20"/>
                <w:szCs w:val="20"/>
                <w:color w:val="auto"/>
              </w:rPr>
            </w:pPr>
            <w:r>
              <w:rPr>
                <w:rFonts w:ascii="Arial" w:cs="Arial" w:eastAsia="Arial" w:hAnsi="Arial"/>
                <w:sz w:val="14"/>
                <w:szCs w:val="14"/>
                <w:b w:val="1"/>
                <w:bCs w:val="1"/>
                <w:color w:val="auto"/>
                <w:w w:val="98"/>
              </w:rPr>
              <w:t>Herewith</w:t>
            </w:r>
          </w:p>
        </w:tc>
        <w:tc>
          <w:tcPr>
            <w:tcW w:w="0" w:type="dxa"/>
            <w:vAlign w:val="bottom"/>
          </w:tcPr>
          <w:p>
            <w:pPr>
              <w:spacing w:after="0"/>
              <w:rPr>
                <w:sz w:val="1"/>
                <w:szCs w:val="1"/>
                <w:color w:val="auto"/>
              </w:rPr>
            </w:pPr>
          </w:p>
        </w:tc>
      </w:tr>
      <w:tr>
        <w:trPr>
          <w:trHeight w:val="39"/>
        </w:trPr>
        <w:tc>
          <w:tcPr>
            <w:tcW w:w="108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146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62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96"/>
        </w:trPr>
        <w:tc>
          <w:tcPr>
            <w:tcW w:w="1080" w:type="dxa"/>
            <w:vAlign w:val="bottom"/>
          </w:tcPr>
          <w:p>
            <w:pPr>
              <w:ind w:left="20"/>
              <w:spacing w:after="0" w:line="196" w:lineRule="exact"/>
              <w:rPr>
                <w:sz w:val="20"/>
                <w:szCs w:val="20"/>
                <w:color w:val="auto"/>
              </w:rPr>
            </w:pPr>
            <w:r>
              <w:rPr>
                <w:rFonts w:ascii="Arial" w:cs="Arial" w:eastAsia="Arial" w:hAnsi="Arial"/>
                <w:sz w:val="18"/>
                <w:szCs w:val="18"/>
                <w:color w:val="auto"/>
              </w:rPr>
              <w:t>3.1</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720" w:type="dxa"/>
            <w:vAlign w:val="bottom"/>
            <w:gridSpan w:val="12"/>
          </w:tcPr>
          <w:p>
            <w:pPr>
              <w:spacing w:after="0" w:line="196" w:lineRule="exact"/>
              <w:rPr>
                <w:rFonts w:ascii="Arial" w:cs="Arial" w:eastAsia="Arial" w:hAnsi="Arial"/>
                <w:sz w:val="18"/>
                <w:szCs w:val="18"/>
                <w:color w:val="0000FF"/>
              </w:rPr>
            </w:pPr>
            <w:hyperlink r:id="rId83">
              <w:r>
                <w:rPr>
                  <w:rFonts w:ascii="Arial" w:cs="Arial" w:eastAsia="Arial" w:hAnsi="Arial"/>
                  <w:sz w:val="18"/>
                  <w:szCs w:val="18"/>
                  <w:color w:val="0000FF"/>
                </w:rPr>
                <w:t>Amended and Restated Certificate of</w:t>
              </w:r>
            </w:hyperlink>
          </w:p>
        </w:tc>
        <w:tc>
          <w:tcPr>
            <w:tcW w:w="960" w:type="dxa"/>
            <w:vAlign w:val="bottom"/>
          </w:tcPr>
          <w:p>
            <w:pPr>
              <w:jc w:val="center"/>
              <w:spacing w:after="0" w:line="196" w:lineRule="exact"/>
              <w:rPr>
                <w:sz w:val="20"/>
                <w:szCs w:val="20"/>
                <w:color w:val="auto"/>
              </w:rPr>
            </w:pPr>
            <w:r>
              <w:rPr>
                <w:rFonts w:ascii="Arial" w:cs="Arial" w:eastAsia="Arial" w:hAnsi="Arial"/>
                <w:sz w:val="18"/>
                <w:szCs w:val="18"/>
                <w:color w:val="auto"/>
                <w:w w:val="99"/>
              </w:rPr>
              <w:t>8-K</w:t>
            </w:r>
          </w:p>
        </w:tc>
        <w:tc>
          <w:tcPr>
            <w:tcW w:w="1460" w:type="dxa"/>
            <w:vAlign w:val="bottom"/>
          </w:tcPr>
          <w:p>
            <w:pPr>
              <w:jc w:val="center"/>
              <w:spacing w:after="0" w:line="196" w:lineRule="exact"/>
              <w:rPr>
                <w:sz w:val="20"/>
                <w:szCs w:val="20"/>
                <w:color w:val="auto"/>
              </w:rPr>
            </w:pPr>
            <w:r>
              <w:rPr>
                <w:rFonts w:ascii="Arial" w:cs="Arial" w:eastAsia="Arial" w:hAnsi="Arial"/>
                <w:sz w:val="18"/>
                <w:szCs w:val="18"/>
                <w:color w:val="auto"/>
                <w:w w:val="90"/>
              </w:rPr>
              <w:t>001-39051</w:t>
            </w:r>
          </w:p>
        </w:tc>
        <w:tc>
          <w:tcPr>
            <w:tcW w:w="1120" w:type="dxa"/>
            <w:vAlign w:val="bottom"/>
          </w:tcPr>
          <w:p>
            <w:pPr>
              <w:jc w:val="center"/>
              <w:spacing w:after="0" w:line="196" w:lineRule="exact"/>
              <w:rPr>
                <w:sz w:val="20"/>
                <w:szCs w:val="20"/>
                <w:color w:val="auto"/>
              </w:rPr>
            </w:pPr>
            <w:r>
              <w:rPr>
                <w:rFonts w:ascii="Arial" w:cs="Arial" w:eastAsia="Arial" w:hAnsi="Arial"/>
                <w:sz w:val="18"/>
                <w:szCs w:val="18"/>
                <w:color w:val="auto"/>
                <w:w w:val="87"/>
              </w:rPr>
              <w:t>3.1</w:t>
            </w:r>
          </w:p>
        </w:tc>
        <w:tc>
          <w:tcPr>
            <w:tcW w:w="1620" w:type="dxa"/>
            <w:vAlign w:val="bottom"/>
          </w:tcPr>
          <w:p>
            <w:pPr>
              <w:jc w:val="center"/>
              <w:spacing w:after="0" w:line="196" w:lineRule="exact"/>
              <w:rPr>
                <w:sz w:val="20"/>
                <w:szCs w:val="20"/>
                <w:color w:val="auto"/>
              </w:rPr>
            </w:pPr>
            <w:r>
              <w:rPr>
                <w:rFonts w:ascii="Arial" w:cs="Arial" w:eastAsia="Arial" w:hAnsi="Arial"/>
                <w:sz w:val="18"/>
                <w:szCs w:val="18"/>
                <w:color w:val="auto"/>
                <w:w w:val="88"/>
              </w:rPr>
              <w:t>September 23,</w:t>
            </w: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60" w:type="dxa"/>
            <w:vAlign w:val="bottom"/>
            <w:tcBorders>
              <w:top w:val="single" w:sz="8" w:color="0000FF"/>
            </w:tcBorders>
            <w:gridSpan w:val="4"/>
          </w:tcPr>
          <w:p>
            <w:pPr>
              <w:spacing w:after="0" w:line="196" w:lineRule="exact"/>
              <w:rPr>
                <w:rFonts w:ascii="Arial" w:cs="Arial" w:eastAsia="Arial" w:hAnsi="Arial"/>
                <w:sz w:val="18"/>
                <w:szCs w:val="18"/>
                <w:color w:val="0000FF"/>
              </w:rPr>
            </w:pPr>
            <w:hyperlink r:id="rId83">
              <w:r>
                <w:rPr>
                  <w:rFonts w:ascii="Arial" w:cs="Arial" w:eastAsia="Arial" w:hAnsi="Arial"/>
                  <w:sz w:val="18"/>
                  <w:szCs w:val="18"/>
                  <w:color w:val="0000FF"/>
                </w:rPr>
                <w:t>Incorporation of Datadog, Inc.</w:t>
              </w:r>
            </w:hyperlink>
          </w:p>
        </w:tc>
        <w:tc>
          <w:tcPr>
            <w:tcW w:w="1060" w:type="dxa"/>
            <w:vAlign w:val="bottom"/>
            <w:gridSpan w:val="8"/>
          </w:tcPr>
          <w:p>
            <w:pPr>
              <w:spacing w:after="0"/>
              <w:rPr>
                <w:sz w:val="17"/>
                <w:szCs w:val="17"/>
                <w:color w:val="auto"/>
              </w:rPr>
            </w:pPr>
          </w:p>
        </w:tc>
        <w:tc>
          <w:tcPr>
            <w:tcW w:w="96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620" w:type="dxa"/>
            <w:vAlign w:val="bottom"/>
          </w:tcPr>
          <w:p>
            <w:pPr>
              <w:jc w:val="center"/>
              <w:spacing w:after="0" w:line="196" w:lineRule="exact"/>
              <w:rPr>
                <w:sz w:val="20"/>
                <w:szCs w:val="20"/>
                <w:color w:val="auto"/>
              </w:rPr>
            </w:pPr>
            <w:r>
              <w:rPr>
                <w:rFonts w:ascii="Arial" w:cs="Arial" w:eastAsia="Arial" w:hAnsi="Arial"/>
                <w:sz w:val="18"/>
                <w:szCs w:val="18"/>
                <w:color w:val="auto"/>
                <w:w w:val="89"/>
              </w:rPr>
              <w:t>2019</w:t>
            </w: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12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080" w:type="dxa"/>
            <w:vAlign w:val="bottom"/>
          </w:tcPr>
          <w:p>
            <w:pPr>
              <w:ind w:left="20"/>
              <w:spacing w:after="0"/>
              <w:rPr>
                <w:sz w:val="20"/>
                <w:szCs w:val="20"/>
                <w:color w:val="auto"/>
              </w:rPr>
            </w:pPr>
            <w:r>
              <w:rPr>
                <w:rFonts w:ascii="Arial" w:cs="Arial" w:eastAsia="Arial" w:hAnsi="Arial"/>
                <w:sz w:val="18"/>
                <w:szCs w:val="18"/>
                <w:color w:val="auto"/>
              </w:rPr>
              <w:t>3.2</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480" w:type="dxa"/>
            <w:vAlign w:val="bottom"/>
            <w:tcBorders>
              <w:bottom w:val="single" w:sz="8" w:color="0000FF"/>
            </w:tcBorders>
            <w:gridSpan w:val="11"/>
          </w:tcPr>
          <w:p>
            <w:pPr>
              <w:spacing w:after="0"/>
              <w:rPr>
                <w:rFonts w:ascii="Arial" w:cs="Arial" w:eastAsia="Arial" w:hAnsi="Arial"/>
                <w:sz w:val="18"/>
                <w:szCs w:val="18"/>
                <w:color w:val="0000FF"/>
                <w:w w:val="90"/>
              </w:rPr>
            </w:pPr>
            <w:hyperlink r:id="rId84">
              <w:r>
                <w:rPr>
                  <w:rFonts w:ascii="Arial" w:cs="Arial" w:eastAsia="Arial" w:hAnsi="Arial"/>
                  <w:sz w:val="18"/>
                  <w:szCs w:val="18"/>
                  <w:color w:val="0000FF"/>
                  <w:w w:val="90"/>
                </w:rPr>
                <w:t>Amended and Restated Bylaws of Datadog, Inc.</w:t>
              </w:r>
            </w:hyperlink>
          </w:p>
        </w:tc>
        <w:tc>
          <w:tcPr>
            <w:tcW w:w="240" w:type="dxa"/>
            <w:vAlign w:val="bottom"/>
          </w:tcPr>
          <w:p>
            <w:pPr>
              <w:spacing w:after="0"/>
              <w:rPr>
                <w:sz w:val="21"/>
                <w:szCs w:val="21"/>
                <w:color w:val="auto"/>
              </w:rPr>
            </w:pPr>
          </w:p>
        </w:tc>
        <w:tc>
          <w:tcPr>
            <w:tcW w:w="960" w:type="dxa"/>
            <w:vAlign w:val="bottom"/>
          </w:tcPr>
          <w:p>
            <w:pPr>
              <w:jc w:val="center"/>
              <w:ind w:right="16"/>
              <w:spacing w:after="0"/>
              <w:rPr>
                <w:sz w:val="20"/>
                <w:szCs w:val="20"/>
                <w:color w:val="auto"/>
              </w:rPr>
            </w:pPr>
            <w:r>
              <w:rPr>
                <w:rFonts w:ascii="Arial" w:cs="Arial" w:eastAsia="Arial" w:hAnsi="Arial"/>
                <w:sz w:val="18"/>
                <w:szCs w:val="18"/>
                <w:color w:val="auto"/>
                <w:w w:val="94"/>
              </w:rPr>
              <w:t>10-Q</w:t>
            </w:r>
          </w:p>
        </w:tc>
        <w:tc>
          <w:tcPr>
            <w:tcW w:w="1460" w:type="dxa"/>
            <w:vAlign w:val="bottom"/>
          </w:tcPr>
          <w:p>
            <w:pPr>
              <w:jc w:val="center"/>
              <w:spacing w:after="0"/>
              <w:rPr>
                <w:sz w:val="20"/>
                <w:szCs w:val="20"/>
                <w:color w:val="auto"/>
              </w:rPr>
            </w:pPr>
            <w:r>
              <w:rPr>
                <w:rFonts w:ascii="Arial" w:cs="Arial" w:eastAsia="Arial" w:hAnsi="Arial"/>
                <w:sz w:val="18"/>
                <w:szCs w:val="18"/>
                <w:color w:val="auto"/>
                <w:w w:val="90"/>
              </w:rPr>
              <w:t>001-39051</w:t>
            </w:r>
          </w:p>
        </w:tc>
        <w:tc>
          <w:tcPr>
            <w:tcW w:w="1120" w:type="dxa"/>
            <w:vAlign w:val="bottom"/>
          </w:tcPr>
          <w:p>
            <w:pPr>
              <w:jc w:val="center"/>
              <w:spacing w:after="0"/>
              <w:rPr>
                <w:sz w:val="20"/>
                <w:szCs w:val="20"/>
                <w:color w:val="auto"/>
              </w:rPr>
            </w:pPr>
            <w:r>
              <w:rPr>
                <w:rFonts w:ascii="Arial" w:cs="Arial" w:eastAsia="Arial" w:hAnsi="Arial"/>
                <w:sz w:val="18"/>
                <w:szCs w:val="18"/>
                <w:color w:val="auto"/>
                <w:w w:val="87"/>
              </w:rPr>
              <w:t>3.2</w:t>
            </w:r>
          </w:p>
        </w:tc>
        <w:tc>
          <w:tcPr>
            <w:tcW w:w="1620" w:type="dxa"/>
            <w:vAlign w:val="bottom"/>
          </w:tcPr>
          <w:p>
            <w:pPr>
              <w:jc w:val="center"/>
              <w:spacing w:after="0"/>
              <w:rPr>
                <w:sz w:val="20"/>
                <w:szCs w:val="20"/>
                <w:color w:val="auto"/>
              </w:rPr>
            </w:pPr>
            <w:r>
              <w:rPr>
                <w:rFonts w:ascii="Arial" w:cs="Arial" w:eastAsia="Arial" w:hAnsi="Arial"/>
                <w:sz w:val="18"/>
                <w:szCs w:val="18"/>
                <w:color w:val="auto"/>
                <w:w w:val="90"/>
              </w:rPr>
              <w:t>August 9, 2023</w:t>
            </w: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1080" w:type="dxa"/>
            <w:vAlign w:val="bottom"/>
          </w:tcPr>
          <w:p>
            <w:pPr>
              <w:ind w:left="20"/>
              <w:spacing w:after="0"/>
              <w:rPr>
                <w:sz w:val="20"/>
                <w:szCs w:val="20"/>
                <w:color w:val="auto"/>
              </w:rPr>
            </w:pPr>
            <w:r>
              <w:rPr>
                <w:rFonts w:ascii="Arial" w:cs="Arial" w:eastAsia="Arial" w:hAnsi="Arial"/>
                <w:sz w:val="18"/>
                <w:szCs w:val="18"/>
                <w:color w:val="auto"/>
              </w:rPr>
              <w:t>31.1</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120" w:type="dxa"/>
            <w:vAlign w:val="bottom"/>
            <w:tcBorders>
              <w:bottom w:val="single" w:sz="8" w:color="0000FF"/>
            </w:tcBorders>
            <w:gridSpan w:val="7"/>
          </w:tcPr>
          <w:p>
            <w:pPr>
              <w:spacing w:after="0"/>
              <w:rPr>
                <w:sz w:val="20"/>
                <w:szCs w:val="20"/>
                <w:color w:val="auto"/>
              </w:rPr>
            </w:pPr>
            <w:r>
              <w:rPr>
                <w:rFonts w:ascii="Arial" w:cs="Arial" w:eastAsia="Arial" w:hAnsi="Arial"/>
                <w:sz w:val="18"/>
                <w:szCs w:val="18"/>
                <w:color w:val="0000FF"/>
                <w:w w:val="93"/>
              </w:rPr>
              <w:t>Certification of Principal Executive Officer</w:t>
            </w:r>
          </w:p>
        </w:tc>
        <w:tc>
          <w:tcPr>
            <w:tcW w:w="600" w:type="dxa"/>
            <w:vAlign w:val="bottom"/>
            <w:gridSpan w:val="5"/>
          </w:tcPr>
          <w:p>
            <w:pPr>
              <w:spacing w:after="0"/>
              <w:rPr>
                <w:sz w:val="21"/>
                <w:szCs w:val="21"/>
                <w:color w:val="auto"/>
              </w:rPr>
            </w:pPr>
          </w:p>
        </w:tc>
        <w:tc>
          <w:tcPr>
            <w:tcW w:w="96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1100" w:type="dxa"/>
            <w:vAlign w:val="bottom"/>
          </w:tcPr>
          <w:p>
            <w:pPr>
              <w:jc w:val="center"/>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196"/>
        </w:trPr>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720" w:type="dxa"/>
            <w:vAlign w:val="bottom"/>
            <w:gridSpan w:val="12"/>
          </w:tcPr>
          <w:p>
            <w:pPr>
              <w:spacing w:after="0" w:line="196" w:lineRule="exact"/>
              <w:rPr>
                <w:sz w:val="20"/>
                <w:szCs w:val="20"/>
                <w:color w:val="auto"/>
              </w:rPr>
            </w:pPr>
            <w:r>
              <w:rPr>
                <w:rFonts w:ascii="Arial" w:cs="Arial" w:eastAsia="Arial" w:hAnsi="Arial"/>
                <w:sz w:val="18"/>
                <w:szCs w:val="18"/>
                <w:color w:val="0000FF"/>
              </w:rPr>
              <w:t>Pursuant to Rules 13a-14(a) and 15d-14(a)</w:t>
            </w:r>
          </w:p>
        </w:tc>
        <w:tc>
          <w:tcPr>
            <w:tcW w:w="96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1200" w:type="dxa"/>
            <w:vAlign w:val="bottom"/>
            <w:shd w:val="clear" w:color="auto" w:fill="0000FF"/>
          </w:tcPr>
          <w:p>
            <w:pPr>
              <w:spacing w:after="0" w:line="20" w:lineRule="exact"/>
              <w:rPr>
                <w:sz w:val="1"/>
                <w:szCs w:val="1"/>
                <w:color w:val="auto"/>
              </w:rPr>
            </w:pPr>
          </w:p>
        </w:tc>
        <w:tc>
          <w:tcPr>
            <w:tcW w:w="740" w:type="dxa"/>
            <w:vAlign w:val="bottom"/>
            <w:gridSpan w:val="3"/>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720" w:type="dxa"/>
            <w:vAlign w:val="bottom"/>
            <w:gridSpan w:val="12"/>
          </w:tcPr>
          <w:p>
            <w:pPr>
              <w:spacing w:after="0" w:line="196" w:lineRule="exact"/>
              <w:rPr>
                <w:sz w:val="20"/>
                <w:szCs w:val="20"/>
                <w:color w:val="auto"/>
              </w:rPr>
            </w:pPr>
            <w:r>
              <w:rPr>
                <w:rFonts w:ascii="Arial" w:cs="Arial" w:eastAsia="Arial" w:hAnsi="Arial"/>
                <w:sz w:val="18"/>
                <w:szCs w:val="18"/>
                <w:color w:val="0000FF"/>
                <w:w w:val="99"/>
              </w:rPr>
              <w:t>under the Securities Exchange Act of 1934, as</w:t>
            </w:r>
          </w:p>
        </w:tc>
        <w:tc>
          <w:tcPr>
            <w:tcW w:w="96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40" w:type="dxa"/>
            <w:vAlign w:val="bottom"/>
            <w:tcBorders>
              <w:top w:val="single" w:sz="8" w:color="0000FF"/>
              <w:bottom w:val="single" w:sz="8" w:color="0000FF"/>
            </w:tcBorders>
            <w:gridSpan w:val="5"/>
          </w:tcPr>
          <w:p>
            <w:pPr>
              <w:spacing w:after="0" w:line="196" w:lineRule="exact"/>
              <w:rPr>
                <w:sz w:val="20"/>
                <w:szCs w:val="20"/>
                <w:color w:val="auto"/>
              </w:rPr>
            </w:pPr>
            <w:r>
              <w:rPr>
                <w:rFonts w:ascii="Arial" w:cs="Arial" w:eastAsia="Arial" w:hAnsi="Arial"/>
                <w:sz w:val="18"/>
                <w:szCs w:val="18"/>
                <w:color w:val="0000FF"/>
                <w:w w:val="89"/>
              </w:rPr>
              <w:t>Adopted Pursuant to Section 302 of the</w:t>
            </w:r>
          </w:p>
        </w:tc>
        <w:tc>
          <w:tcPr>
            <w:tcW w:w="480" w:type="dxa"/>
            <w:vAlign w:val="bottom"/>
            <w:tcBorders>
              <w:top w:val="single" w:sz="8" w:color="0000FF"/>
            </w:tcBorders>
            <w:gridSpan w:val="3"/>
          </w:tcPr>
          <w:p>
            <w:pPr>
              <w:spacing w:after="0"/>
              <w:rPr>
                <w:sz w:val="17"/>
                <w:szCs w:val="17"/>
                <w:color w:val="auto"/>
              </w:rPr>
            </w:pPr>
          </w:p>
        </w:tc>
        <w:tc>
          <w:tcPr>
            <w:tcW w:w="400" w:type="dxa"/>
            <w:vAlign w:val="bottom"/>
            <w:gridSpan w:val="4"/>
          </w:tcPr>
          <w:p>
            <w:pPr>
              <w:spacing w:after="0"/>
              <w:rPr>
                <w:sz w:val="17"/>
                <w:szCs w:val="17"/>
                <w:color w:val="auto"/>
              </w:rPr>
            </w:pPr>
          </w:p>
        </w:tc>
        <w:tc>
          <w:tcPr>
            <w:tcW w:w="96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100" w:type="dxa"/>
            <w:vAlign w:val="bottom"/>
            <w:tcBorders>
              <w:bottom w:val="single" w:sz="8" w:color="0000FF"/>
            </w:tcBorders>
            <w:gridSpan w:val="2"/>
          </w:tcPr>
          <w:p>
            <w:pPr>
              <w:spacing w:after="0" w:line="196" w:lineRule="exact"/>
              <w:rPr>
                <w:sz w:val="20"/>
                <w:szCs w:val="20"/>
                <w:color w:val="auto"/>
              </w:rPr>
            </w:pPr>
            <w:r>
              <w:rPr>
                <w:rFonts w:ascii="Arial" w:cs="Arial" w:eastAsia="Arial" w:hAnsi="Arial"/>
                <w:sz w:val="18"/>
                <w:szCs w:val="18"/>
                <w:color w:val="0000FF"/>
                <w:w w:val="90"/>
              </w:rPr>
              <w:t>Sarbanes-Oxley Act of 2002.</w:t>
            </w:r>
          </w:p>
        </w:tc>
        <w:tc>
          <w:tcPr>
            <w:tcW w:w="1620" w:type="dxa"/>
            <w:vAlign w:val="bottom"/>
            <w:gridSpan w:val="10"/>
          </w:tcPr>
          <w:p>
            <w:pPr>
              <w:spacing w:after="0"/>
              <w:rPr>
                <w:sz w:val="17"/>
                <w:szCs w:val="17"/>
                <w:color w:val="auto"/>
              </w:rPr>
            </w:pPr>
          </w:p>
        </w:tc>
        <w:tc>
          <w:tcPr>
            <w:tcW w:w="96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1080" w:type="dxa"/>
            <w:vAlign w:val="bottom"/>
          </w:tcPr>
          <w:p>
            <w:pPr>
              <w:ind w:left="20"/>
              <w:spacing w:after="0"/>
              <w:rPr>
                <w:sz w:val="20"/>
                <w:szCs w:val="20"/>
                <w:color w:val="auto"/>
              </w:rPr>
            </w:pPr>
            <w:r>
              <w:rPr>
                <w:rFonts w:ascii="Arial" w:cs="Arial" w:eastAsia="Arial" w:hAnsi="Arial"/>
                <w:sz w:val="18"/>
                <w:szCs w:val="18"/>
                <w:color w:val="auto"/>
              </w:rPr>
              <w:t>31.2</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720" w:type="dxa"/>
            <w:vAlign w:val="bottom"/>
            <w:gridSpan w:val="12"/>
          </w:tcPr>
          <w:p>
            <w:pPr>
              <w:spacing w:after="0"/>
              <w:rPr>
                <w:sz w:val="20"/>
                <w:szCs w:val="20"/>
                <w:color w:val="auto"/>
              </w:rPr>
            </w:pPr>
            <w:r>
              <w:rPr>
                <w:rFonts w:ascii="Arial" w:cs="Arial" w:eastAsia="Arial" w:hAnsi="Arial"/>
                <w:sz w:val="18"/>
                <w:szCs w:val="18"/>
                <w:color w:val="0000FF"/>
              </w:rPr>
              <w:t>Certification of Principal Financial Officer</w:t>
            </w:r>
          </w:p>
        </w:tc>
        <w:tc>
          <w:tcPr>
            <w:tcW w:w="96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1100" w:type="dxa"/>
            <w:vAlign w:val="bottom"/>
          </w:tcPr>
          <w:p>
            <w:pPr>
              <w:jc w:val="center"/>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2160" w:type="dxa"/>
            <w:vAlign w:val="bottom"/>
            <w:gridSpan w:val="5"/>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720" w:type="dxa"/>
            <w:vAlign w:val="bottom"/>
            <w:gridSpan w:val="12"/>
          </w:tcPr>
          <w:p>
            <w:pPr>
              <w:spacing w:after="0" w:line="196" w:lineRule="exact"/>
              <w:rPr>
                <w:sz w:val="20"/>
                <w:szCs w:val="20"/>
                <w:color w:val="auto"/>
              </w:rPr>
            </w:pPr>
            <w:r>
              <w:rPr>
                <w:rFonts w:ascii="Arial" w:cs="Arial" w:eastAsia="Arial" w:hAnsi="Arial"/>
                <w:sz w:val="18"/>
                <w:szCs w:val="18"/>
                <w:color w:val="0000FF"/>
              </w:rPr>
              <w:t>Pursuant to Rules 13a-14(a) and 15d-14(a)</w:t>
            </w:r>
          </w:p>
        </w:tc>
        <w:tc>
          <w:tcPr>
            <w:tcW w:w="96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2160" w:type="dxa"/>
            <w:vAlign w:val="bottom"/>
            <w:gridSpan w:val="5"/>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720" w:type="dxa"/>
            <w:vAlign w:val="bottom"/>
            <w:gridSpan w:val="12"/>
          </w:tcPr>
          <w:p>
            <w:pPr>
              <w:spacing w:after="0" w:line="196" w:lineRule="exact"/>
              <w:rPr>
                <w:sz w:val="20"/>
                <w:szCs w:val="20"/>
                <w:color w:val="auto"/>
              </w:rPr>
            </w:pPr>
            <w:r>
              <w:rPr>
                <w:rFonts w:ascii="Arial" w:cs="Arial" w:eastAsia="Arial" w:hAnsi="Arial"/>
                <w:sz w:val="18"/>
                <w:szCs w:val="18"/>
                <w:color w:val="0000FF"/>
                <w:w w:val="99"/>
              </w:rPr>
              <w:t>under the Securities Exchange Act of 1934, as</w:t>
            </w:r>
          </w:p>
        </w:tc>
        <w:tc>
          <w:tcPr>
            <w:tcW w:w="96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40" w:type="dxa"/>
            <w:vAlign w:val="bottom"/>
            <w:tcBorders>
              <w:top w:val="single" w:sz="8" w:color="0000FF"/>
              <w:bottom w:val="single" w:sz="8" w:color="0000FF"/>
            </w:tcBorders>
            <w:gridSpan w:val="5"/>
          </w:tcPr>
          <w:p>
            <w:pPr>
              <w:spacing w:after="0" w:line="196" w:lineRule="exact"/>
              <w:rPr>
                <w:sz w:val="20"/>
                <w:szCs w:val="20"/>
                <w:color w:val="auto"/>
              </w:rPr>
            </w:pPr>
            <w:r>
              <w:rPr>
                <w:rFonts w:ascii="Arial" w:cs="Arial" w:eastAsia="Arial" w:hAnsi="Arial"/>
                <w:sz w:val="18"/>
                <w:szCs w:val="18"/>
                <w:color w:val="0000FF"/>
                <w:w w:val="89"/>
              </w:rPr>
              <w:t>Adopted Pursuant to Section 302 of the</w:t>
            </w:r>
          </w:p>
        </w:tc>
        <w:tc>
          <w:tcPr>
            <w:tcW w:w="480" w:type="dxa"/>
            <w:vAlign w:val="bottom"/>
            <w:tcBorders>
              <w:top w:val="single" w:sz="8" w:color="0000FF"/>
            </w:tcBorders>
            <w:gridSpan w:val="3"/>
          </w:tcPr>
          <w:p>
            <w:pPr>
              <w:spacing w:after="0"/>
              <w:rPr>
                <w:sz w:val="17"/>
                <w:szCs w:val="17"/>
                <w:color w:val="auto"/>
              </w:rPr>
            </w:pPr>
          </w:p>
        </w:tc>
        <w:tc>
          <w:tcPr>
            <w:tcW w:w="400" w:type="dxa"/>
            <w:vAlign w:val="bottom"/>
            <w:gridSpan w:val="4"/>
          </w:tcPr>
          <w:p>
            <w:pPr>
              <w:spacing w:after="0"/>
              <w:rPr>
                <w:sz w:val="17"/>
                <w:szCs w:val="17"/>
                <w:color w:val="auto"/>
              </w:rPr>
            </w:pPr>
          </w:p>
        </w:tc>
        <w:tc>
          <w:tcPr>
            <w:tcW w:w="96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100" w:type="dxa"/>
            <w:vAlign w:val="bottom"/>
            <w:tcBorders>
              <w:bottom w:val="single" w:sz="8" w:color="0000FF"/>
            </w:tcBorders>
            <w:gridSpan w:val="2"/>
          </w:tcPr>
          <w:p>
            <w:pPr>
              <w:spacing w:after="0" w:line="196" w:lineRule="exact"/>
              <w:rPr>
                <w:sz w:val="20"/>
                <w:szCs w:val="20"/>
                <w:color w:val="auto"/>
              </w:rPr>
            </w:pPr>
            <w:r>
              <w:rPr>
                <w:rFonts w:ascii="Arial" w:cs="Arial" w:eastAsia="Arial" w:hAnsi="Arial"/>
                <w:sz w:val="18"/>
                <w:szCs w:val="18"/>
                <w:color w:val="0000FF"/>
                <w:w w:val="90"/>
              </w:rPr>
              <w:t>Sarbanes-Oxley Act of 2002.</w:t>
            </w:r>
          </w:p>
        </w:tc>
        <w:tc>
          <w:tcPr>
            <w:tcW w:w="1620" w:type="dxa"/>
            <w:vAlign w:val="bottom"/>
            <w:gridSpan w:val="10"/>
          </w:tcPr>
          <w:p>
            <w:pPr>
              <w:spacing w:after="0"/>
              <w:rPr>
                <w:sz w:val="17"/>
                <w:szCs w:val="17"/>
                <w:color w:val="auto"/>
              </w:rPr>
            </w:pPr>
          </w:p>
        </w:tc>
        <w:tc>
          <w:tcPr>
            <w:tcW w:w="96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1080" w:type="dxa"/>
            <w:vAlign w:val="bottom"/>
          </w:tcPr>
          <w:p>
            <w:pPr>
              <w:ind w:left="20"/>
              <w:spacing w:after="0"/>
              <w:rPr>
                <w:sz w:val="20"/>
                <w:szCs w:val="20"/>
                <w:color w:val="auto"/>
              </w:rPr>
            </w:pPr>
            <w:r>
              <w:rPr>
                <w:rFonts w:ascii="Arial" w:cs="Arial" w:eastAsia="Arial" w:hAnsi="Arial"/>
                <w:sz w:val="18"/>
                <w:szCs w:val="18"/>
                <w:color w:val="auto"/>
              </w:rPr>
              <w:t>32.1*</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120" w:type="dxa"/>
            <w:vAlign w:val="bottom"/>
            <w:tcBorders>
              <w:bottom w:val="single" w:sz="8" w:color="0000FF"/>
            </w:tcBorders>
            <w:gridSpan w:val="7"/>
          </w:tcPr>
          <w:p>
            <w:pPr>
              <w:spacing w:after="0"/>
              <w:rPr>
                <w:sz w:val="20"/>
                <w:szCs w:val="20"/>
                <w:color w:val="auto"/>
              </w:rPr>
            </w:pPr>
            <w:r>
              <w:rPr>
                <w:rFonts w:ascii="Arial" w:cs="Arial" w:eastAsia="Arial" w:hAnsi="Arial"/>
                <w:sz w:val="18"/>
                <w:szCs w:val="18"/>
                <w:color w:val="0000FF"/>
                <w:w w:val="93"/>
              </w:rPr>
              <w:t>Certification of Principal Executive Officer</w:t>
            </w:r>
          </w:p>
        </w:tc>
        <w:tc>
          <w:tcPr>
            <w:tcW w:w="600" w:type="dxa"/>
            <w:vAlign w:val="bottom"/>
            <w:gridSpan w:val="5"/>
          </w:tcPr>
          <w:p>
            <w:pPr>
              <w:spacing w:after="0"/>
              <w:rPr>
                <w:sz w:val="21"/>
                <w:szCs w:val="21"/>
                <w:color w:val="auto"/>
              </w:rPr>
            </w:pPr>
          </w:p>
        </w:tc>
        <w:tc>
          <w:tcPr>
            <w:tcW w:w="96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1100" w:type="dxa"/>
            <w:vAlign w:val="bottom"/>
          </w:tcPr>
          <w:p>
            <w:pPr>
              <w:jc w:val="center"/>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196"/>
        </w:trPr>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60" w:type="dxa"/>
            <w:vAlign w:val="bottom"/>
            <w:tcBorders>
              <w:bottom w:val="single" w:sz="8" w:color="0000FF"/>
            </w:tcBorders>
            <w:gridSpan w:val="10"/>
          </w:tcPr>
          <w:p>
            <w:pPr>
              <w:spacing w:after="0" w:line="196" w:lineRule="exact"/>
              <w:rPr>
                <w:sz w:val="20"/>
                <w:szCs w:val="20"/>
                <w:color w:val="auto"/>
              </w:rPr>
            </w:pPr>
            <w:r>
              <w:rPr>
                <w:rFonts w:ascii="Arial" w:cs="Arial" w:eastAsia="Arial" w:hAnsi="Arial"/>
                <w:sz w:val="18"/>
                <w:szCs w:val="18"/>
                <w:color w:val="0000FF"/>
                <w:w w:val="89"/>
              </w:rPr>
              <w:t>Pursuant to 18 U.S.C. Section 1350, as Adopted</w:t>
            </w:r>
          </w:p>
        </w:tc>
        <w:tc>
          <w:tcPr>
            <w:tcW w:w="260" w:type="dxa"/>
            <w:vAlign w:val="bottom"/>
            <w:gridSpan w:val="2"/>
          </w:tcPr>
          <w:p>
            <w:pPr>
              <w:spacing w:after="0"/>
              <w:rPr>
                <w:sz w:val="17"/>
                <w:szCs w:val="17"/>
                <w:color w:val="auto"/>
              </w:rPr>
            </w:pPr>
          </w:p>
        </w:tc>
        <w:tc>
          <w:tcPr>
            <w:tcW w:w="96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720" w:type="dxa"/>
            <w:vAlign w:val="bottom"/>
            <w:gridSpan w:val="12"/>
          </w:tcPr>
          <w:p>
            <w:pPr>
              <w:spacing w:after="0" w:line="196" w:lineRule="exact"/>
              <w:rPr>
                <w:sz w:val="20"/>
                <w:szCs w:val="20"/>
                <w:color w:val="auto"/>
              </w:rPr>
            </w:pPr>
            <w:r>
              <w:rPr>
                <w:rFonts w:ascii="Arial" w:cs="Arial" w:eastAsia="Arial" w:hAnsi="Arial"/>
                <w:sz w:val="18"/>
                <w:szCs w:val="18"/>
                <w:color w:val="0000FF"/>
                <w:w w:val="98"/>
              </w:rPr>
              <w:t>Pursuant to Section 906 of the Sarbanes-Oxley</w:t>
            </w:r>
          </w:p>
        </w:tc>
        <w:tc>
          <w:tcPr>
            <w:tcW w:w="96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00" w:type="dxa"/>
            <w:vAlign w:val="bottom"/>
            <w:tcBorders>
              <w:top w:val="single" w:sz="8" w:color="0000FF"/>
              <w:bottom w:val="single" w:sz="8" w:color="0000FF"/>
            </w:tcBorders>
          </w:tcPr>
          <w:p>
            <w:pPr>
              <w:spacing w:after="0" w:line="196" w:lineRule="exact"/>
              <w:rPr>
                <w:sz w:val="20"/>
                <w:szCs w:val="20"/>
                <w:color w:val="auto"/>
              </w:rPr>
            </w:pPr>
            <w:r>
              <w:rPr>
                <w:rFonts w:ascii="Arial" w:cs="Arial" w:eastAsia="Arial" w:hAnsi="Arial"/>
                <w:sz w:val="18"/>
                <w:szCs w:val="18"/>
                <w:color w:val="0000FF"/>
                <w:w w:val="91"/>
              </w:rPr>
              <w:t>Act of 2002.</w:t>
            </w:r>
          </w:p>
        </w:tc>
        <w:tc>
          <w:tcPr>
            <w:tcW w:w="2460" w:type="dxa"/>
            <w:vAlign w:val="bottom"/>
            <w:tcBorders>
              <w:top w:val="single" w:sz="8" w:color="0000FF"/>
            </w:tcBorders>
            <w:gridSpan w:val="8"/>
          </w:tcPr>
          <w:p>
            <w:pPr>
              <w:spacing w:after="0"/>
              <w:rPr>
                <w:sz w:val="17"/>
                <w:szCs w:val="17"/>
                <w:color w:val="auto"/>
              </w:rPr>
            </w:pPr>
          </w:p>
        </w:tc>
        <w:tc>
          <w:tcPr>
            <w:tcW w:w="360" w:type="dxa"/>
            <w:vAlign w:val="bottom"/>
            <w:gridSpan w:val="3"/>
          </w:tcPr>
          <w:p>
            <w:pPr>
              <w:spacing w:after="0"/>
              <w:rPr>
                <w:sz w:val="17"/>
                <w:szCs w:val="17"/>
                <w:color w:val="auto"/>
              </w:rPr>
            </w:pPr>
          </w:p>
        </w:tc>
        <w:tc>
          <w:tcPr>
            <w:tcW w:w="96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1080" w:type="dxa"/>
            <w:vAlign w:val="bottom"/>
          </w:tcPr>
          <w:p>
            <w:pPr>
              <w:ind w:left="20"/>
              <w:spacing w:after="0"/>
              <w:rPr>
                <w:sz w:val="20"/>
                <w:szCs w:val="20"/>
                <w:color w:val="auto"/>
              </w:rPr>
            </w:pPr>
            <w:r>
              <w:rPr>
                <w:rFonts w:ascii="Arial" w:cs="Arial" w:eastAsia="Arial" w:hAnsi="Arial"/>
                <w:sz w:val="18"/>
                <w:szCs w:val="18"/>
                <w:color w:val="auto"/>
              </w:rPr>
              <w:t>32.2*</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720" w:type="dxa"/>
            <w:vAlign w:val="bottom"/>
            <w:gridSpan w:val="12"/>
          </w:tcPr>
          <w:p>
            <w:pPr>
              <w:spacing w:after="0"/>
              <w:rPr>
                <w:sz w:val="20"/>
                <w:szCs w:val="20"/>
                <w:color w:val="auto"/>
              </w:rPr>
            </w:pPr>
            <w:r>
              <w:rPr>
                <w:rFonts w:ascii="Arial" w:cs="Arial" w:eastAsia="Arial" w:hAnsi="Arial"/>
                <w:sz w:val="18"/>
                <w:szCs w:val="18"/>
                <w:color w:val="0000FF"/>
              </w:rPr>
              <w:t>Certification of Principal Financial Officer</w:t>
            </w:r>
          </w:p>
        </w:tc>
        <w:tc>
          <w:tcPr>
            <w:tcW w:w="96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1100" w:type="dxa"/>
            <w:vAlign w:val="bottom"/>
          </w:tcPr>
          <w:p>
            <w:pPr>
              <w:jc w:val="center"/>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60" w:type="dxa"/>
            <w:vAlign w:val="bottom"/>
            <w:gridSpan w:val="6"/>
            <w:shd w:val="clear" w:color="auto" w:fill="0000FF"/>
          </w:tcPr>
          <w:p>
            <w:pPr>
              <w:spacing w:after="0" w:line="20" w:lineRule="exact"/>
              <w:rPr>
                <w:sz w:val="1"/>
                <w:szCs w:val="1"/>
                <w:color w:val="auto"/>
              </w:rPr>
            </w:pPr>
          </w:p>
        </w:tc>
        <w:tc>
          <w:tcPr>
            <w:tcW w:w="660" w:type="dxa"/>
            <w:vAlign w:val="bottom"/>
            <w:gridSpan w:val="6"/>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60" w:type="dxa"/>
            <w:vAlign w:val="bottom"/>
            <w:tcBorders>
              <w:bottom w:val="single" w:sz="8" w:color="0000FF"/>
            </w:tcBorders>
            <w:gridSpan w:val="10"/>
          </w:tcPr>
          <w:p>
            <w:pPr>
              <w:spacing w:after="0" w:line="196" w:lineRule="exact"/>
              <w:rPr>
                <w:sz w:val="20"/>
                <w:szCs w:val="20"/>
                <w:color w:val="auto"/>
              </w:rPr>
            </w:pPr>
            <w:r>
              <w:rPr>
                <w:rFonts w:ascii="Arial" w:cs="Arial" w:eastAsia="Arial" w:hAnsi="Arial"/>
                <w:sz w:val="18"/>
                <w:szCs w:val="18"/>
                <w:color w:val="0000FF"/>
                <w:w w:val="89"/>
              </w:rPr>
              <w:t>Pursuant to 18 U.S.C. Section 1350, as Adopted</w:t>
            </w:r>
          </w:p>
        </w:tc>
        <w:tc>
          <w:tcPr>
            <w:tcW w:w="260" w:type="dxa"/>
            <w:vAlign w:val="bottom"/>
            <w:gridSpan w:val="2"/>
          </w:tcPr>
          <w:p>
            <w:pPr>
              <w:spacing w:after="0"/>
              <w:rPr>
                <w:sz w:val="17"/>
                <w:szCs w:val="17"/>
                <w:color w:val="auto"/>
              </w:rPr>
            </w:pPr>
          </w:p>
        </w:tc>
        <w:tc>
          <w:tcPr>
            <w:tcW w:w="96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720" w:type="dxa"/>
            <w:vAlign w:val="bottom"/>
            <w:gridSpan w:val="12"/>
          </w:tcPr>
          <w:p>
            <w:pPr>
              <w:spacing w:after="0" w:line="196" w:lineRule="exact"/>
              <w:rPr>
                <w:sz w:val="20"/>
                <w:szCs w:val="20"/>
                <w:color w:val="auto"/>
              </w:rPr>
            </w:pPr>
            <w:r>
              <w:rPr>
                <w:rFonts w:ascii="Arial" w:cs="Arial" w:eastAsia="Arial" w:hAnsi="Arial"/>
                <w:sz w:val="18"/>
                <w:szCs w:val="18"/>
                <w:color w:val="0000FF"/>
                <w:w w:val="98"/>
              </w:rPr>
              <w:t>Pursuant to Section 906 of the Sarbanes-Oxley</w:t>
            </w:r>
          </w:p>
        </w:tc>
        <w:tc>
          <w:tcPr>
            <w:tcW w:w="96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00" w:type="dxa"/>
            <w:vAlign w:val="bottom"/>
            <w:tcBorders>
              <w:top w:val="single" w:sz="8" w:color="0000FF"/>
              <w:bottom w:val="single" w:sz="8" w:color="0000FF"/>
            </w:tcBorders>
          </w:tcPr>
          <w:p>
            <w:pPr>
              <w:spacing w:after="0" w:line="196" w:lineRule="exact"/>
              <w:rPr>
                <w:sz w:val="20"/>
                <w:szCs w:val="20"/>
                <w:color w:val="auto"/>
              </w:rPr>
            </w:pPr>
            <w:r>
              <w:rPr>
                <w:rFonts w:ascii="Arial" w:cs="Arial" w:eastAsia="Arial" w:hAnsi="Arial"/>
                <w:sz w:val="18"/>
                <w:szCs w:val="18"/>
                <w:color w:val="0000FF"/>
                <w:w w:val="91"/>
              </w:rPr>
              <w:t>Act of 2002.</w:t>
            </w:r>
          </w:p>
        </w:tc>
        <w:tc>
          <w:tcPr>
            <w:tcW w:w="2460" w:type="dxa"/>
            <w:vAlign w:val="bottom"/>
            <w:tcBorders>
              <w:top w:val="single" w:sz="8" w:color="0000FF"/>
            </w:tcBorders>
            <w:gridSpan w:val="8"/>
          </w:tcPr>
          <w:p>
            <w:pPr>
              <w:spacing w:after="0"/>
              <w:rPr>
                <w:sz w:val="17"/>
                <w:szCs w:val="17"/>
                <w:color w:val="auto"/>
              </w:rPr>
            </w:pPr>
          </w:p>
        </w:tc>
        <w:tc>
          <w:tcPr>
            <w:tcW w:w="360" w:type="dxa"/>
            <w:vAlign w:val="bottom"/>
            <w:gridSpan w:val="3"/>
          </w:tcPr>
          <w:p>
            <w:pPr>
              <w:spacing w:after="0"/>
              <w:rPr>
                <w:sz w:val="17"/>
                <w:szCs w:val="17"/>
                <w:color w:val="auto"/>
              </w:rPr>
            </w:pPr>
          </w:p>
        </w:tc>
        <w:tc>
          <w:tcPr>
            <w:tcW w:w="96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90"/>
        </w:trPr>
        <w:tc>
          <w:tcPr>
            <w:tcW w:w="1200" w:type="dxa"/>
            <w:vAlign w:val="bottom"/>
            <w:gridSpan w:val="2"/>
          </w:tcPr>
          <w:p>
            <w:pPr>
              <w:ind w:left="20"/>
              <w:spacing w:after="0"/>
              <w:rPr>
                <w:sz w:val="20"/>
                <w:szCs w:val="20"/>
                <w:color w:val="auto"/>
              </w:rPr>
            </w:pPr>
            <w:r>
              <w:rPr>
                <w:rFonts w:ascii="Arial" w:cs="Arial" w:eastAsia="Arial" w:hAnsi="Arial"/>
                <w:sz w:val="18"/>
                <w:szCs w:val="18"/>
                <w:color w:val="auto"/>
              </w:rPr>
              <w:t>101.INS</w:t>
            </w:r>
          </w:p>
        </w:tc>
        <w:tc>
          <w:tcPr>
            <w:tcW w:w="20" w:type="dxa"/>
            <w:vAlign w:val="bottom"/>
          </w:tcPr>
          <w:p>
            <w:pPr>
              <w:spacing w:after="0"/>
              <w:rPr>
                <w:sz w:val="24"/>
                <w:szCs w:val="24"/>
                <w:color w:val="auto"/>
              </w:rPr>
            </w:pPr>
          </w:p>
        </w:tc>
        <w:tc>
          <w:tcPr>
            <w:tcW w:w="3720" w:type="dxa"/>
            <w:vAlign w:val="bottom"/>
            <w:gridSpan w:val="12"/>
          </w:tcPr>
          <w:p>
            <w:pPr>
              <w:spacing w:after="0"/>
              <w:rPr>
                <w:sz w:val="20"/>
                <w:szCs w:val="20"/>
                <w:color w:val="auto"/>
              </w:rPr>
            </w:pPr>
            <w:r>
              <w:rPr>
                <w:rFonts w:ascii="Arial" w:cs="Arial" w:eastAsia="Arial" w:hAnsi="Arial"/>
                <w:sz w:val="18"/>
                <w:szCs w:val="18"/>
                <w:color w:val="auto"/>
              </w:rPr>
              <w:t>XBRL Instance Document</w:t>
            </w:r>
          </w:p>
        </w:tc>
        <w:tc>
          <w:tcPr>
            <w:tcW w:w="9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100" w:type="dxa"/>
            <w:vAlign w:val="bottom"/>
          </w:tcPr>
          <w:p>
            <w:pPr>
              <w:jc w:val="center"/>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70"/>
        </w:trPr>
        <w:tc>
          <w:tcPr>
            <w:tcW w:w="1200" w:type="dxa"/>
            <w:vAlign w:val="bottom"/>
            <w:gridSpan w:val="2"/>
          </w:tcPr>
          <w:p>
            <w:pPr>
              <w:ind w:left="20"/>
              <w:spacing w:after="0"/>
              <w:rPr>
                <w:sz w:val="20"/>
                <w:szCs w:val="20"/>
                <w:color w:val="auto"/>
              </w:rPr>
            </w:pPr>
            <w:r>
              <w:rPr>
                <w:rFonts w:ascii="Arial" w:cs="Arial" w:eastAsia="Arial" w:hAnsi="Arial"/>
                <w:sz w:val="18"/>
                <w:szCs w:val="18"/>
                <w:color w:val="auto"/>
              </w:rPr>
              <w:t>101.SCH</w:t>
            </w:r>
          </w:p>
        </w:tc>
        <w:tc>
          <w:tcPr>
            <w:tcW w:w="20" w:type="dxa"/>
            <w:vAlign w:val="bottom"/>
          </w:tcPr>
          <w:p>
            <w:pPr>
              <w:spacing w:after="0"/>
              <w:rPr>
                <w:sz w:val="23"/>
                <w:szCs w:val="23"/>
                <w:color w:val="auto"/>
              </w:rPr>
            </w:pPr>
          </w:p>
        </w:tc>
        <w:tc>
          <w:tcPr>
            <w:tcW w:w="3720" w:type="dxa"/>
            <w:vAlign w:val="bottom"/>
            <w:gridSpan w:val="12"/>
          </w:tcPr>
          <w:p>
            <w:pPr>
              <w:spacing w:after="0"/>
              <w:rPr>
                <w:sz w:val="20"/>
                <w:szCs w:val="20"/>
                <w:color w:val="auto"/>
              </w:rPr>
            </w:pPr>
            <w:r>
              <w:rPr>
                <w:rFonts w:ascii="Arial" w:cs="Arial" w:eastAsia="Arial" w:hAnsi="Arial"/>
                <w:sz w:val="18"/>
                <w:szCs w:val="18"/>
                <w:color w:val="auto"/>
                <w:w w:val="97"/>
              </w:rPr>
              <w:t>XBRL Taxonomy Extension Schema Document</w:t>
            </w:r>
          </w:p>
        </w:tc>
        <w:tc>
          <w:tcPr>
            <w:tcW w:w="96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620" w:type="dxa"/>
            <w:vAlign w:val="bottom"/>
          </w:tcPr>
          <w:p>
            <w:pPr>
              <w:spacing w:after="0"/>
              <w:rPr>
                <w:sz w:val="23"/>
                <w:szCs w:val="23"/>
                <w:color w:val="auto"/>
              </w:rPr>
            </w:pPr>
          </w:p>
        </w:tc>
        <w:tc>
          <w:tcPr>
            <w:tcW w:w="1100" w:type="dxa"/>
            <w:vAlign w:val="bottom"/>
          </w:tcPr>
          <w:p>
            <w:pPr>
              <w:jc w:val="center"/>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56"/>
        </w:trPr>
        <w:tc>
          <w:tcPr>
            <w:tcW w:w="1200" w:type="dxa"/>
            <w:vAlign w:val="bottom"/>
            <w:gridSpan w:val="2"/>
          </w:tcPr>
          <w:p>
            <w:pPr>
              <w:ind w:left="20"/>
              <w:spacing w:after="0"/>
              <w:rPr>
                <w:sz w:val="20"/>
                <w:szCs w:val="20"/>
                <w:color w:val="auto"/>
              </w:rPr>
            </w:pPr>
            <w:r>
              <w:rPr>
                <w:rFonts w:ascii="Arial" w:cs="Arial" w:eastAsia="Arial" w:hAnsi="Arial"/>
                <w:sz w:val="18"/>
                <w:szCs w:val="18"/>
                <w:color w:val="auto"/>
              </w:rPr>
              <w:t>101.CAL</w:t>
            </w:r>
          </w:p>
        </w:tc>
        <w:tc>
          <w:tcPr>
            <w:tcW w:w="20" w:type="dxa"/>
            <w:vAlign w:val="bottom"/>
          </w:tcPr>
          <w:p>
            <w:pPr>
              <w:spacing w:after="0"/>
              <w:rPr>
                <w:sz w:val="22"/>
                <w:szCs w:val="22"/>
                <w:color w:val="auto"/>
              </w:rPr>
            </w:pPr>
          </w:p>
        </w:tc>
        <w:tc>
          <w:tcPr>
            <w:tcW w:w="3720" w:type="dxa"/>
            <w:vAlign w:val="bottom"/>
            <w:gridSpan w:val="12"/>
          </w:tcPr>
          <w:p>
            <w:pPr>
              <w:spacing w:after="0"/>
              <w:rPr>
                <w:sz w:val="20"/>
                <w:szCs w:val="20"/>
                <w:color w:val="auto"/>
              </w:rPr>
            </w:pPr>
            <w:r>
              <w:rPr>
                <w:rFonts w:ascii="Arial" w:cs="Arial" w:eastAsia="Arial" w:hAnsi="Arial"/>
                <w:sz w:val="18"/>
                <w:szCs w:val="18"/>
                <w:color w:val="auto"/>
              </w:rPr>
              <w:t>XBRL Taxonomy Extension Calculation</w:t>
            </w:r>
          </w:p>
        </w:tc>
        <w:tc>
          <w:tcPr>
            <w:tcW w:w="96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620" w:type="dxa"/>
            <w:vAlign w:val="bottom"/>
          </w:tcPr>
          <w:p>
            <w:pPr>
              <w:spacing w:after="0"/>
              <w:rPr>
                <w:sz w:val="22"/>
                <w:szCs w:val="22"/>
                <w:color w:val="auto"/>
              </w:rPr>
            </w:pPr>
          </w:p>
        </w:tc>
        <w:tc>
          <w:tcPr>
            <w:tcW w:w="1100" w:type="dxa"/>
            <w:vAlign w:val="bottom"/>
          </w:tcPr>
          <w:p>
            <w:pPr>
              <w:jc w:val="center"/>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30"/>
        </w:trPr>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720" w:type="dxa"/>
            <w:vAlign w:val="bottom"/>
            <w:gridSpan w:val="12"/>
          </w:tcPr>
          <w:p>
            <w:pPr>
              <w:spacing w:after="0"/>
              <w:rPr>
                <w:sz w:val="20"/>
                <w:szCs w:val="20"/>
                <w:color w:val="auto"/>
              </w:rPr>
            </w:pPr>
            <w:r>
              <w:rPr>
                <w:rFonts w:ascii="Arial" w:cs="Arial" w:eastAsia="Arial" w:hAnsi="Arial"/>
                <w:sz w:val="18"/>
                <w:szCs w:val="18"/>
                <w:color w:val="auto"/>
              </w:rPr>
              <w:t>Linkbase Document</w:t>
            </w:r>
          </w:p>
        </w:tc>
        <w:tc>
          <w:tcPr>
            <w:tcW w:w="96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1200" w:type="dxa"/>
            <w:vAlign w:val="bottom"/>
            <w:gridSpan w:val="2"/>
          </w:tcPr>
          <w:p>
            <w:pPr>
              <w:ind w:left="20"/>
              <w:spacing w:after="0"/>
              <w:rPr>
                <w:sz w:val="20"/>
                <w:szCs w:val="20"/>
                <w:color w:val="auto"/>
              </w:rPr>
            </w:pPr>
            <w:r>
              <w:rPr>
                <w:rFonts w:ascii="Arial" w:cs="Arial" w:eastAsia="Arial" w:hAnsi="Arial"/>
                <w:sz w:val="18"/>
                <w:szCs w:val="18"/>
                <w:color w:val="auto"/>
              </w:rPr>
              <w:t>101.DEF</w:t>
            </w:r>
          </w:p>
        </w:tc>
        <w:tc>
          <w:tcPr>
            <w:tcW w:w="20" w:type="dxa"/>
            <w:vAlign w:val="bottom"/>
          </w:tcPr>
          <w:p>
            <w:pPr>
              <w:spacing w:after="0"/>
              <w:rPr>
                <w:sz w:val="22"/>
                <w:szCs w:val="22"/>
                <w:color w:val="auto"/>
              </w:rPr>
            </w:pPr>
          </w:p>
        </w:tc>
        <w:tc>
          <w:tcPr>
            <w:tcW w:w="3720" w:type="dxa"/>
            <w:vAlign w:val="bottom"/>
            <w:gridSpan w:val="12"/>
          </w:tcPr>
          <w:p>
            <w:pPr>
              <w:spacing w:after="0"/>
              <w:rPr>
                <w:sz w:val="20"/>
                <w:szCs w:val="20"/>
                <w:color w:val="auto"/>
              </w:rPr>
            </w:pPr>
            <w:r>
              <w:rPr>
                <w:rFonts w:ascii="Arial" w:cs="Arial" w:eastAsia="Arial" w:hAnsi="Arial"/>
                <w:sz w:val="18"/>
                <w:szCs w:val="18"/>
                <w:color w:val="auto"/>
              </w:rPr>
              <w:t>XBRL Taxonomy Extension Definition</w:t>
            </w:r>
          </w:p>
        </w:tc>
        <w:tc>
          <w:tcPr>
            <w:tcW w:w="96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620" w:type="dxa"/>
            <w:vAlign w:val="bottom"/>
          </w:tcPr>
          <w:p>
            <w:pPr>
              <w:spacing w:after="0"/>
              <w:rPr>
                <w:sz w:val="22"/>
                <w:szCs w:val="22"/>
                <w:color w:val="auto"/>
              </w:rPr>
            </w:pPr>
          </w:p>
        </w:tc>
        <w:tc>
          <w:tcPr>
            <w:tcW w:w="1100" w:type="dxa"/>
            <w:vAlign w:val="bottom"/>
          </w:tcPr>
          <w:p>
            <w:pPr>
              <w:jc w:val="center"/>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30"/>
        </w:trPr>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720" w:type="dxa"/>
            <w:vAlign w:val="bottom"/>
            <w:gridSpan w:val="12"/>
          </w:tcPr>
          <w:p>
            <w:pPr>
              <w:spacing w:after="0"/>
              <w:rPr>
                <w:sz w:val="20"/>
                <w:szCs w:val="20"/>
                <w:color w:val="auto"/>
              </w:rPr>
            </w:pPr>
            <w:r>
              <w:rPr>
                <w:rFonts w:ascii="Arial" w:cs="Arial" w:eastAsia="Arial" w:hAnsi="Arial"/>
                <w:sz w:val="18"/>
                <w:szCs w:val="18"/>
                <w:color w:val="auto"/>
              </w:rPr>
              <w:t>Linkbase Document</w:t>
            </w:r>
          </w:p>
        </w:tc>
        <w:tc>
          <w:tcPr>
            <w:tcW w:w="96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1200" w:type="dxa"/>
            <w:vAlign w:val="bottom"/>
            <w:gridSpan w:val="2"/>
          </w:tcPr>
          <w:p>
            <w:pPr>
              <w:ind w:left="20"/>
              <w:spacing w:after="0"/>
              <w:rPr>
                <w:sz w:val="20"/>
                <w:szCs w:val="20"/>
                <w:color w:val="auto"/>
              </w:rPr>
            </w:pPr>
            <w:r>
              <w:rPr>
                <w:rFonts w:ascii="Arial" w:cs="Arial" w:eastAsia="Arial" w:hAnsi="Arial"/>
                <w:sz w:val="18"/>
                <w:szCs w:val="18"/>
                <w:color w:val="auto"/>
              </w:rPr>
              <w:t>101.LAB</w:t>
            </w:r>
          </w:p>
        </w:tc>
        <w:tc>
          <w:tcPr>
            <w:tcW w:w="20" w:type="dxa"/>
            <w:vAlign w:val="bottom"/>
          </w:tcPr>
          <w:p>
            <w:pPr>
              <w:spacing w:after="0"/>
              <w:rPr>
                <w:sz w:val="22"/>
                <w:szCs w:val="22"/>
                <w:color w:val="auto"/>
              </w:rPr>
            </w:pPr>
          </w:p>
        </w:tc>
        <w:tc>
          <w:tcPr>
            <w:tcW w:w="3720" w:type="dxa"/>
            <w:vAlign w:val="bottom"/>
            <w:gridSpan w:val="12"/>
          </w:tcPr>
          <w:p>
            <w:pPr>
              <w:spacing w:after="0"/>
              <w:rPr>
                <w:sz w:val="20"/>
                <w:szCs w:val="20"/>
                <w:color w:val="auto"/>
              </w:rPr>
            </w:pPr>
            <w:r>
              <w:rPr>
                <w:rFonts w:ascii="Arial" w:cs="Arial" w:eastAsia="Arial" w:hAnsi="Arial"/>
                <w:sz w:val="18"/>
                <w:szCs w:val="18"/>
                <w:color w:val="auto"/>
              </w:rPr>
              <w:t>XBRL Taxonomy Extension Label Linkbase</w:t>
            </w:r>
          </w:p>
        </w:tc>
        <w:tc>
          <w:tcPr>
            <w:tcW w:w="96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620" w:type="dxa"/>
            <w:vAlign w:val="bottom"/>
          </w:tcPr>
          <w:p>
            <w:pPr>
              <w:spacing w:after="0"/>
              <w:rPr>
                <w:sz w:val="22"/>
                <w:szCs w:val="22"/>
                <w:color w:val="auto"/>
              </w:rPr>
            </w:pPr>
          </w:p>
        </w:tc>
        <w:tc>
          <w:tcPr>
            <w:tcW w:w="1100" w:type="dxa"/>
            <w:vAlign w:val="bottom"/>
          </w:tcPr>
          <w:p>
            <w:pPr>
              <w:jc w:val="center"/>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30"/>
        </w:trPr>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720" w:type="dxa"/>
            <w:vAlign w:val="bottom"/>
            <w:gridSpan w:val="12"/>
          </w:tcPr>
          <w:p>
            <w:pPr>
              <w:spacing w:after="0"/>
              <w:rPr>
                <w:sz w:val="20"/>
                <w:szCs w:val="20"/>
                <w:color w:val="auto"/>
              </w:rPr>
            </w:pPr>
            <w:r>
              <w:rPr>
                <w:rFonts w:ascii="Arial" w:cs="Arial" w:eastAsia="Arial" w:hAnsi="Arial"/>
                <w:sz w:val="18"/>
                <w:szCs w:val="18"/>
                <w:color w:val="auto"/>
              </w:rPr>
              <w:t>Document</w:t>
            </w:r>
          </w:p>
        </w:tc>
        <w:tc>
          <w:tcPr>
            <w:tcW w:w="96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1200" w:type="dxa"/>
            <w:vAlign w:val="bottom"/>
            <w:gridSpan w:val="2"/>
          </w:tcPr>
          <w:p>
            <w:pPr>
              <w:ind w:left="20"/>
              <w:spacing w:after="0"/>
              <w:rPr>
                <w:sz w:val="20"/>
                <w:szCs w:val="20"/>
                <w:color w:val="auto"/>
              </w:rPr>
            </w:pPr>
            <w:r>
              <w:rPr>
                <w:rFonts w:ascii="Arial" w:cs="Arial" w:eastAsia="Arial" w:hAnsi="Arial"/>
                <w:sz w:val="18"/>
                <w:szCs w:val="18"/>
                <w:color w:val="auto"/>
              </w:rPr>
              <w:t>101.PRE</w:t>
            </w:r>
          </w:p>
        </w:tc>
        <w:tc>
          <w:tcPr>
            <w:tcW w:w="20" w:type="dxa"/>
            <w:vAlign w:val="bottom"/>
          </w:tcPr>
          <w:p>
            <w:pPr>
              <w:spacing w:after="0"/>
              <w:rPr>
                <w:sz w:val="22"/>
                <w:szCs w:val="22"/>
                <w:color w:val="auto"/>
              </w:rPr>
            </w:pPr>
          </w:p>
        </w:tc>
        <w:tc>
          <w:tcPr>
            <w:tcW w:w="3720" w:type="dxa"/>
            <w:vAlign w:val="bottom"/>
            <w:gridSpan w:val="12"/>
          </w:tcPr>
          <w:p>
            <w:pPr>
              <w:spacing w:after="0"/>
              <w:rPr>
                <w:sz w:val="20"/>
                <w:szCs w:val="20"/>
                <w:color w:val="auto"/>
              </w:rPr>
            </w:pPr>
            <w:r>
              <w:rPr>
                <w:rFonts w:ascii="Arial" w:cs="Arial" w:eastAsia="Arial" w:hAnsi="Arial"/>
                <w:sz w:val="18"/>
                <w:szCs w:val="18"/>
                <w:color w:val="auto"/>
              </w:rPr>
              <w:t>XBRL Taxonomy Extension Presentation</w:t>
            </w:r>
          </w:p>
        </w:tc>
        <w:tc>
          <w:tcPr>
            <w:tcW w:w="96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620" w:type="dxa"/>
            <w:vAlign w:val="bottom"/>
          </w:tcPr>
          <w:p>
            <w:pPr>
              <w:spacing w:after="0"/>
              <w:rPr>
                <w:sz w:val="22"/>
                <w:szCs w:val="22"/>
                <w:color w:val="auto"/>
              </w:rPr>
            </w:pPr>
          </w:p>
        </w:tc>
        <w:tc>
          <w:tcPr>
            <w:tcW w:w="1100" w:type="dxa"/>
            <w:vAlign w:val="bottom"/>
          </w:tcPr>
          <w:p>
            <w:pPr>
              <w:jc w:val="center"/>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30"/>
        </w:trPr>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720" w:type="dxa"/>
            <w:vAlign w:val="bottom"/>
            <w:gridSpan w:val="12"/>
          </w:tcPr>
          <w:p>
            <w:pPr>
              <w:spacing w:after="0"/>
              <w:rPr>
                <w:sz w:val="20"/>
                <w:szCs w:val="20"/>
                <w:color w:val="auto"/>
              </w:rPr>
            </w:pPr>
            <w:r>
              <w:rPr>
                <w:rFonts w:ascii="Arial" w:cs="Arial" w:eastAsia="Arial" w:hAnsi="Arial"/>
                <w:sz w:val="18"/>
                <w:szCs w:val="18"/>
                <w:color w:val="auto"/>
              </w:rPr>
              <w:t>Linkbase Document</w:t>
            </w:r>
          </w:p>
        </w:tc>
        <w:tc>
          <w:tcPr>
            <w:tcW w:w="96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1080" w:type="dxa"/>
            <w:vAlign w:val="bottom"/>
          </w:tcPr>
          <w:p>
            <w:pPr>
              <w:ind w:left="20"/>
              <w:spacing w:after="0"/>
              <w:rPr>
                <w:sz w:val="20"/>
                <w:szCs w:val="20"/>
                <w:color w:val="auto"/>
              </w:rPr>
            </w:pPr>
            <w:r>
              <w:rPr>
                <w:rFonts w:ascii="Arial" w:cs="Arial" w:eastAsia="Arial" w:hAnsi="Arial"/>
                <w:sz w:val="18"/>
                <w:szCs w:val="18"/>
                <w:color w:val="auto"/>
              </w:rPr>
              <w:t>104</w:t>
            </w: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720" w:type="dxa"/>
            <w:vAlign w:val="bottom"/>
            <w:gridSpan w:val="12"/>
          </w:tcPr>
          <w:p>
            <w:pPr>
              <w:spacing w:after="0"/>
              <w:rPr>
                <w:sz w:val="20"/>
                <w:szCs w:val="20"/>
                <w:color w:val="auto"/>
              </w:rPr>
            </w:pPr>
            <w:r>
              <w:rPr>
                <w:rFonts w:ascii="Arial" w:cs="Arial" w:eastAsia="Arial" w:hAnsi="Arial"/>
                <w:sz w:val="18"/>
                <w:szCs w:val="18"/>
                <w:color w:val="auto"/>
                <w:w w:val="99"/>
              </w:rPr>
              <w:t>Cover Page Interactive Data File (formatted as</w:t>
            </w:r>
          </w:p>
        </w:tc>
        <w:tc>
          <w:tcPr>
            <w:tcW w:w="96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620" w:type="dxa"/>
            <w:vAlign w:val="bottom"/>
          </w:tcPr>
          <w:p>
            <w:pPr>
              <w:spacing w:after="0"/>
              <w:rPr>
                <w:sz w:val="22"/>
                <w:szCs w:val="22"/>
                <w:color w:val="auto"/>
              </w:rPr>
            </w:pPr>
          </w:p>
        </w:tc>
        <w:tc>
          <w:tcPr>
            <w:tcW w:w="1100" w:type="dxa"/>
            <w:vAlign w:val="bottom"/>
          </w:tcPr>
          <w:p>
            <w:pPr>
              <w:jc w:val="center"/>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30"/>
        </w:trPr>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720" w:type="dxa"/>
            <w:vAlign w:val="bottom"/>
            <w:gridSpan w:val="12"/>
          </w:tcPr>
          <w:p>
            <w:pPr>
              <w:spacing w:after="0"/>
              <w:rPr>
                <w:sz w:val="20"/>
                <w:szCs w:val="20"/>
                <w:color w:val="auto"/>
              </w:rPr>
            </w:pPr>
            <w:r>
              <w:rPr>
                <w:rFonts w:ascii="Arial" w:cs="Arial" w:eastAsia="Arial" w:hAnsi="Arial"/>
                <w:sz w:val="18"/>
                <w:szCs w:val="18"/>
                <w:color w:val="auto"/>
              </w:rPr>
              <w:t>Inline XBRL and contained in Exhibit 101)</w:t>
            </w:r>
          </w:p>
        </w:tc>
        <w:tc>
          <w:tcPr>
            <w:tcW w:w="96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ind w:left="55"/>
        <w:spacing w:after="0"/>
        <w:rPr>
          <w:sz w:val="20"/>
          <w:szCs w:val="20"/>
          <w:color w:val="auto"/>
        </w:rPr>
      </w:pPr>
      <w:r>
        <w:rPr>
          <w:rFonts w:ascii="Arial" w:cs="Arial" w:eastAsia="Arial" w:hAnsi="Arial"/>
          <w:sz w:val="18"/>
          <w:szCs w:val="18"/>
          <w:color w:val="auto"/>
        </w:rPr>
        <w:t>_________________</w:t>
      </w:r>
    </w:p>
    <w:p>
      <w:pPr>
        <w:spacing w:after="0" w:line="45" w:lineRule="exact"/>
        <w:rPr>
          <w:sz w:val="20"/>
          <w:szCs w:val="20"/>
          <w:color w:val="auto"/>
        </w:rPr>
      </w:pPr>
    </w:p>
    <w:p>
      <w:pPr>
        <w:ind w:left="335" w:right="140" w:hanging="335"/>
        <w:spacing w:after="0" w:line="238" w:lineRule="auto"/>
        <w:tabs>
          <w:tab w:leader="none" w:pos="335" w:val="left"/>
        </w:tabs>
        <w:numPr>
          <w:ilvl w:val="0"/>
          <w:numId w:val="25"/>
        </w:numPr>
        <w:rPr>
          <w:rFonts w:ascii="Arial" w:cs="Arial" w:eastAsia="Arial" w:hAnsi="Arial"/>
          <w:sz w:val="14"/>
          <w:szCs w:val="14"/>
          <w:color w:val="auto"/>
        </w:rPr>
      </w:pPr>
      <w:r>
        <w:rPr>
          <w:rFonts w:ascii="Arial" w:cs="Arial" w:eastAsia="Arial" w:hAnsi="Arial"/>
          <w:sz w:val="14"/>
          <w:szCs w:val="14"/>
          <w:color w:val="auto"/>
        </w:rPr>
        <w:t>This certification is deemed not filed for purposes of Section 18 of the Securities Exchange Act of 1934, as amended, or otherwise subject to the liability of that section, nor shall it be deemed incorporated by reference into any filing under the Securities Act of 1933, as amended, or the Securities Exchange Act of 1934, as amended, whether made before or after the date hereof, regardless of any general incorporation language in such filing.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94"/>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27305</wp:posOffset>
            </wp:positionH>
            <wp:positionV relativeFrom="paragraph">
              <wp:posOffset>70485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55"/>
          </w:cols>
          <w:pgMar w:left="265" w:top="1440" w:right="379" w:bottom="1440" w:gutter="0" w:footer="0" w:header="0"/>
        </w:sectPr>
      </w:pPr>
    </w:p>
    <w:bookmarkStart w:id="64" w:name="page65"/>
    <w:bookmarkEnd w:id="64"/>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486"/>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305"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3580" w:type="dxa"/>
            <w:vAlign w:val="bottom"/>
          </w:tcPr>
          <w:p>
            <w:pPr>
              <w:spacing w:after="0"/>
              <w:rPr>
                <w:sz w:val="20"/>
                <w:szCs w:val="20"/>
                <w:color w:val="auto"/>
              </w:rPr>
            </w:pPr>
          </w:p>
        </w:tc>
        <w:tc>
          <w:tcPr>
            <w:tcW w:w="7600" w:type="dxa"/>
            <w:vAlign w:val="bottom"/>
            <w:gridSpan w:val="2"/>
          </w:tcPr>
          <w:p>
            <w:pPr>
              <w:ind w:left="1780"/>
              <w:spacing w:after="0"/>
              <w:rPr>
                <w:sz w:val="20"/>
                <w:szCs w:val="20"/>
                <w:color w:val="auto"/>
              </w:rPr>
            </w:pPr>
            <w:r>
              <w:rPr>
                <w:rFonts w:ascii="Arial" w:cs="Arial" w:eastAsia="Arial" w:hAnsi="Arial"/>
                <w:sz w:val="18"/>
                <w:szCs w:val="18"/>
                <w:color w:val="auto"/>
              </w:rPr>
              <w:t>DATADOG, INC.</w:t>
            </w:r>
          </w:p>
        </w:tc>
      </w:tr>
      <w:tr>
        <w:trPr>
          <w:trHeight w:val="499"/>
        </w:trPr>
        <w:tc>
          <w:tcPr>
            <w:tcW w:w="3580" w:type="dxa"/>
            <w:vAlign w:val="bottom"/>
          </w:tcPr>
          <w:p>
            <w:pPr>
              <w:spacing w:after="0"/>
              <w:rPr>
                <w:sz w:val="20"/>
                <w:szCs w:val="20"/>
                <w:color w:val="auto"/>
              </w:rPr>
            </w:pPr>
            <w:r>
              <w:rPr>
                <w:rFonts w:ascii="Arial" w:cs="Arial" w:eastAsia="Arial" w:hAnsi="Arial"/>
                <w:sz w:val="18"/>
                <w:szCs w:val="18"/>
                <w:color w:val="auto"/>
              </w:rPr>
              <w:t>Date: November 7, 2023</w:t>
            </w:r>
          </w:p>
        </w:tc>
        <w:tc>
          <w:tcPr>
            <w:tcW w:w="2760" w:type="dxa"/>
            <w:vAlign w:val="bottom"/>
          </w:tcPr>
          <w:p>
            <w:pPr>
              <w:ind w:left="1780"/>
              <w:spacing w:after="0"/>
              <w:rPr>
                <w:sz w:val="20"/>
                <w:szCs w:val="20"/>
                <w:color w:val="auto"/>
              </w:rPr>
            </w:pPr>
            <w:r>
              <w:rPr>
                <w:rFonts w:ascii="Arial" w:cs="Arial" w:eastAsia="Arial" w:hAnsi="Arial"/>
                <w:sz w:val="18"/>
                <w:szCs w:val="18"/>
                <w:color w:val="auto"/>
              </w:rPr>
              <w:t>By:</w:t>
            </w:r>
          </w:p>
        </w:tc>
        <w:tc>
          <w:tcPr>
            <w:tcW w:w="48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Olivier Pomel</w:t>
            </w:r>
          </w:p>
        </w:tc>
      </w:tr>
      <w:tr>
        <w:trPr>
          <w:trHeight w:val="222"/>
        </w:trPr>
        <w:tc>
          <w:tcPr>
            <w:tcW w:w="3580" w:type="dxa"/>
            <w:vAlign w:val="bottom"/>
          </w:tcPr>
          <w:p>
            <w:pPr>
              <w:spacing w:after="0"/>
              <w:rPr>
                <w:sz w:val="19"/>
                <w:szCs w:val="19"/>
                <w:color w:val="auto"/>
              </w:rPr>
            </w:pPr>
          </w:p>
        </w:tc>
        <w:tc>
          <w:tcPr>
            <w:tcW w:w="2760" w:type="dxa"/>
            <w:vAlign w:val="bottom"/>
          </w:tcPr>
          <w:p>
            <w:pPr>
              <w:ind w:left="1780"/>
              <w:spacing w:after="0"/>
              <w:rPr>
                <w:sz w:val="20"/>
                <w:szCs w:val="20"/>
                <w:color w:val="auto"/>
              </w:rPr>
            </w:pPr>
            <w:r>
              <w:rPr>
                <w:rFonts w:ascii="Arial" w:cs="Arial" w:eastAsia="Arial" w:hAnsi="Arial"/>
                <w:sz w:val="18"/>
                <w:szCs w:val="18"/>
                <w:color w:val="auto"/>
              </w:rPr>
              <w:t>Name:</w:t>
            </w:r>
          </w:p>
        </w:tc>
        <w:tc>
          <w:tcPr>
            <w:tcW w:w="4840" w:type="dxa"/>
            <w:vAlign w:val="bottom"/>
          </w:tcPr>
          <w:p>
            <w:pPr>
              <w:ind w:left="20"/>
              <w:spacing w:after="0"/>
              <w:rPr>
                <w:sz w:val="20"/>
                <w:szCs w:val="20"/>
                <w:color w:val="auto"/>
              </w:rPr>
            </w:pPr>
            <w:r>
              <w:rPr>
                <w:rFonts w:ascii="Arial" w:cs="Arial" w:eastAsia="Arial" w:hAnsi="Arial"/>
                <w:sz w:val="18"/>
                <w:szCs w:val="18"/>
                <w:color w:val="auto"/>
              </w:rPr>
              <w:t>Olivier Pomel</w:t>
            </w:r>
          </w:p>
        </w:tc>
      </w:tr>
      <w:tr>
        <w:trPr>
          <w:trHeight w:val="176"/>
        </w:trPr>
        <w:tc>
          <w:tcPr>
            <w:tcW w:w="3580" w:type="dxa"/>
            <w:vAlign w:val="bottom"/>
          </w:tcPr>
          <w:p>
            <w:pPr>
              <w:spacing w:after="0"/>
              <w:rPr>
                <w:sz w:val="15"/>
                <w:szCs w:val="15"/>
                <w:color w:val="auto"/>
              </w:rPr>
            </w:pPr>
          </w:p>
        </w:tc>
        <w:tc>
          <w:tcPr>
            <w:tcW w:w="2760" w:type="dxa"/>
            <w:vAlign w:val="bottom"/>
          </w:tcPr>
          <w:p>
            <w:pPr>
              <w:ind w:left="1780"/>
              <w:spacing w:after="0" w:line="176" w:lineRule="exact"/>
              <w:rPr>
                <w:sz w:val="20"/>
                <w:szCs w:val="20"/>
                <w:color w:val="auto"/>
              </w:rPr>
            </w:pPr>
            <w:r>
              <w:rPr>
                <w:rFonts w:ascii="Arial" w:cs="Arial" w:eastAsia="Arial" w:hAnsi="Arial"/>
                <w:sz w:val="18"/>
                <w:szCs w:val="18"/>
                <w:color w:val="auto"/>
              </w:rPr>
              <w:t>Title:</w:t>
            </w:r>
          </w:p>
        </w:tc>
        <w:tc>
          <w:tcPr>
            <w:tcW w:w="4840" w:type="dxa"/>
            <w:vAlign w:val="bottom"/>
          </w:tcPr>
          <w:p>
            <w:pPr>
              <w:ind w:left="20"/>
              <w:spacing w:after="0" w:line="176" w:lineRule="exact"/>
              <w:rPr>
                <w:sz w:val="20"/>
                <w:szCs w:val="20"/>
                <w:color w:val="auto"/>
              </w:rPr>
            </w:pPr>
            <w:r>
              <w:rPr>
                <w:rFonts w:ascii="Arial" w:cs="Arial" w:eastAsia="Arial" w:hAnsi="Arial"/>
                <w:sz w:val="18"/>
                <w:szCs w:val="18"/>
                <w:color w:val="auto"/>
              </w:rPr>
              <w:t>Chief Executive Officer and Director</w:t>
            </w:r>
          </w:p>
        </w:tc>
      </w:tr>
      <w:tr>
        <w:trPr>
          <w:trHeight w:val="230"/>
        </w:trPr>
        <w:tc>
          <w:tcPr>
            <w:tcW w:w="3580" w:type="dxa"/>
            <w:vAlign w:val="bottom"/>
          </w:tcPr>
          <w:p>
            <w:pPr>
              <w:spacing w:after="0"/>
              <w:rPr>
                <w:sz w:val="20"/>
                <w:szCs w:val="20"/>
                <w:color w:val="auto"/>
              </w:rPr>
            </w:pPr>
          </w:p>
        </w:tc>
        <w:tc>
          <w:tcPr>
            <w:tcW w:w="2760" w:type="dxa"/>
            <w:vAlign w:val="bottom"/>
          </w:tcPr>
          <w:p>
            <w:pPr>
              <w:spacing w:after="0"/>
              <w:rPr>
                <w:sz w:val="20"/>
                <w:szCs w:val="20"/>
                <w:color w:val="auto"/>
              </w:rPr>
            </w:pPr>
          </w:p>
        </w:tc>
        <w:tc>
          <w:tcPr>
            <w:tcW w:w="4840" w:type="dxa"/>
            <w:vAlign w:val="bottom"/>
          </w:tcPr>
          <w:p>
            <w:pPr>
              <w:ind w:left="20"/>
              <w:spacing w:after="0"/>
              <w:rPr>
                <w:sz w:val="20"/>
                <w:szCs w:val="20"/>
                <w:color w:val="auto"/>
              </w:rPr>
            </w:pPr>
            <w:r>
              <w:rPr>
                <w:rFonts w:ascii="Arial" w:cs="Arial" w:eastAsia="Arial" w:hAnsi="Arial"/>
                <w:sz w:val="18"/>
                <w:szCs w:val="18"/>
                <w:i w:val="1"/>
                <w:iCs w:val="1"/>
                <w:color w:val="auto"/>
              </w:rPr>
              <w:t>(Principal Executive Officer)</w:t>
            </w:r>
          </w:p>
        </w:tc>
      </w:tr>
      <w:tr>
        <w:trPr>
          <w:trHeight w:val="499"/>
        </w:trPr>
        <w:tc>
          <w:tcPr>
            <w:tcW w:w="3580" w:type="dxa"/>
            <w:vAlign w:val="bottom"/>
          </w:tcPr>
          <w:p>
            <w:pPr>
              <w:spacing w:after="0"/>
              <w:rPr>
                <w:sz w:val="20"/>
                <w:szCs w:val="20"/>
                <w:color w:val="auto"/>
              </w:rPr>
            </w:pPr>
            <w:r>
              <w:rPr>
                <w:rFonts w:ascii="Arial" w:cs="Arial" w:eastAsia="Arial" w:hAnsi="Arial"/>
                <w:sz w:val="18"/>
                <w:szCs w:val="18"/>
                <w:color w:val="auto"/>
              </w:rPr>
              <w:t>Date: November 7, 2023</w:t>
            </w:r>
          </w:p>
        </w:tc>
        <w:tc>
          <w:tcPr>
            <w:tcW w:w="2760" w:type="dxa"/>
            <w:vAlign w:val="bottom"/>
          </w:tcPr>
          <w:p>
            <w:pPr>
              <w:ind w:left="1780"/>
              <w:spacing w:after="0"/>
              <w:rPr>
                <w:sz w:val="20"/>
                <w:szCs w:val="20"/>
                <w:color w:val="auto"/>
              </w:rPr>
            </w:pPr>
            <w:r>
              <w:rPr>
                <w:rFonts w:ascii="Arial" w:cs="Arial" w:eastAsia="Arial" w:hAnsi="Arial"/>
                <w:sz w:val="18"/>
                <w:szCs w:val="18"/>
                <w:color w:val="auto"/>
              </w:rPr>
              <w:t>By:</w:t>
            </w:r>
          </w:p>
        </w:tc>
        <w:tc>
          <w:tcPr>
            <w:tcW w:w="48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David Obstler</w:t>
            </w:r>
          </w:p>
        </w:tc>
      </w:tr>
      <w:tr>
        <w:trPr>
          <w:trHeight w:val="222"/>
        </w:trPr>
        <w:tc>
          <w:tcPr>
            <w:tcW w:w="3580" w:type="dxa"/>
            <w:vAlign w:val="bottom"/>
          </w:tcPr>
          <w:p>
            <w:pPr>
              <w:spacing w:after="0"/>
              <w:rPr>
                <w:sz w:val="19"/>
                <w:szCs w:val="19"/>
                <w:color w:val="auto"/>
              </w:rPr>
            </w:pPr>
          </w:p>
        </w:tc>
        <w:tc>
          <w:tcPr>
            <w:tcW w:w="2760" w:type="dxa"/>
            <w:vAlign w:val="bottom"/>
          </w:tcPr>
          <w:p>
            <w:pPr>
              <w:ind w:left="1780"/>
              <w:spacing w:after="0"/>
              <w:rPr>
                <w:sz w:val="20"/>
                <w:szCs w:val="20"/>
                <w:color w:val="auto"/>
              </w:rPr>
            </w:pPr>
            <w:r>
              <w:rPr>
                <w:rFonts w:ascii="Arial" w:cs="Arial" w:eastAsia="Arial" w:hAnsi="Arial"/>
                <w:sz w:val="18"/>
                <w:szCs w:val="18"/>
                <w:color w:val="auto"/>
              </w:rPr>
              <w:t>Name:</w:t>
            </w:r>
          </w:p>
        </w:tc>
        <w:tc>
          <w:tcPr>
            <w:tcW w:w="4840" w:type="dxa"/>
            <w:vAlign w:val="bottom"/>
          </w:tcPr>
          <w:p>
            <w:pPr>
              <w:ind w:left="20"/>
              <w:spacing w:after="0"/>
              <w:rPr>
                <w:sz w:val="20"/>
                <w:szCs w:val="20"/>
                <w:color w:val="auto"/>
              </w:rPr>
            </w:pPr>
            <w:r>
              <w:rPr>
                <w:rFonts w:ascii="Arial" w:cs="Arial" w:eastAsia="Arial" w:hAnsi="Arial"/>
                <w:sz w:val="18"/>
                <w:szCs w:val="18"/>
                <w:color w:val="auto"/>
              </w:rPr>
              <w:t>David Obstler</w:t>
            </w:r>
          </w:p>
        </w:tc>
      </w:tr>
      <w:tr>
        <w:trPr>
          <w:trHeight w:val="176"/>
        </w:trPr>
        <w:tc>
          <w:tcPr>
            <w:tcW w:w="3580" w:type="dxa"/>
            <w:vAlign w:val="bottom"/>
          </w:tcPr>
          <w:p>
            <w:pPr>
              <w:spacing w:after="0"/>
              <w:rPr>
                <w:sz w:val="15"/>
                <w:szCs w:val="15"/>
                <w:color w:val="auto"/>
              </w:rPr>
            </w:pPr>
          </w:p>
        </w:tc>
        <w:tc>
          <w:tcPr>
            <w:tcW w:w="2760" w:type="dxa"/>
            <w:vAlign w:val="bottom"/>
          </w:tcPr>
          <w:p>
            <w:pPr>
              <w:ind w:left="1780"/>
              <w:spacing w:after="0" w:line="176" w:lineRule="exact"/>
              <w:rPr>
                <w:sz w:val="20"/>
                <w:szCs w:val="20"/>
                <w:color w:val="auto"/>
              </w:rPr>
            </w:pPr>
            <w:r>
              <w:rPr>
                <w:rFonts w:ascii="Arial" w:cs="Arial" w:eastAsia="Arial" w:hAnsi="Arial"/>
                <w:sz w:val="18"/>
                <w:szCs w:val="18"/>
                <w:color w:val="auto"/>
              </w:rPr>
              <w:t>Title:</w:t>
            </w:r>
          </w:p>
        </w:tc>
        <w:tc>
          <w:tcPr>
            <w:tcW w:w="4840" w:type="dxa"/>
            <w:vAlign w:val="bottom"/>
          </w:tcPr>
          <w:p>
            <w:pPr>
              <w:ind w:left="20"/>
              <w:spacing w:after="0" w:line="176" w:lineRule="exact"/>
              <w:rPr>
                <w:sz w:val="20"/>
                <w:szCs w:val="20"/>
                <w:color w:val="auto"/>
              </w:rPr>
            </w:pPr>
            <w:r>
              <w:rPr>
                <w:rFonts w:ascii="Arial" w:cs="Arial" w:eastAsia="Arial" w:hAnsi="Arial"/>
                <w:sz w:val="18"/>
                <w:szCs w:val="18"/>
                <w:color w:val="auto"/>
              </w:rPr>
              <w:t>Chief Financial Officer</w:t>
            </w:r>
          </w:p>
        </w:tc>
      </w:tr>
      <w:tr>
        <w:trPr>
          <w:trHeight w:val="230"/>
        </w:trPr>
        <w:tc>
          <w:tcPr>
            <w:tcW w:w="3580" w:type="dxa"/>
            <w:vAlign w:val="bottom"/>
          </w:tcPr>
          <w:p>
            <w:pPr>
              <w:spacing w:after="0"/>
              <w:rPr>
                <w:sz w:val="20"/>
                <w:szCs w:val="20"/>
                <w:color w:val="auto"/>
              </w:rPr>
            </w:pPr>
          </w:p>
        </w:tc>
        <w:tc>
          <w:tcPr>
            <w:tcW w:w="2760" w:type="dxa"/>
            <w:vAlign w:val="bottom"/>
          </w:tcPr>
          <w:p>
            <w:pPr>
              <w:spacing w:after="0"/>
              <w:rPr>
                <w:sz w:val="20"/>
                <w:szCs w:val="20"/>
                <w:color w:val="auto"/>
              </w:rPr>
            </w:pPr>
          </w:p>
        </w:tc>
        <w:tc>
          <w:tcPr>
            <w:tcW w:w="4840" w:type="dxa"/>
            <w:vAlign w:val="bottom"/>
          </w:tcPr>
          <w:p>
            <w:pPr>
              <w:ind w:left="20"/>
              <w:spacing w:after="0"/>
              <w:rPr>
                <w:sz w:val="20"/>
                <w:szCs w:val="20"/>
                <w:color w:val="auto"/>
              </w:rPr>
            </w:pPr>
            <w:r>
              <w:rPr>
                <w:rFonts w:ascii="Arial" w:cs="Arial" w:eastAsia="Arial" w:hAnsi="Arial"/>
                <w:sz w:val="18"/>
                <w:szCs w:val="18"/>
                <w:i w:val="1"/>
                <w:iCs w:val="1"/>
                <w:color w:val="auto"/>
              </w:rPr>
              <w:t>(Principal Financial and Accounting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240"/>
          </w:cols>
          <w:pgMar w:left="320" w:top="1093" w:right="339" w:bottom="1440" w:gutter="0" w:footer="0" w:header="0"/>
        </w:sectPr>
      </w:pPr>
    </w:p>
    <w:bookmarkStart w:id="65" w:name="page66"/>
    <w:bookmarkEnd w:id="65"/>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ind w:left="3480"/>
        <w:spacing w:after="0"/>
        <w:rPr>
          <w:sz w:val="20"/>
          <w:szCs w:val="20"/>
          <w:color w:val="auto"/>
        </w:rPr>
      </w:pPr>
      <w:r>
        <w:rPr>
          <w:rFonts w:ascii="Arial" w:cs="Arial" w:eastAsia="Arial" w:hAnsi="Arial"/>
          <w:sz w:val="18"/>
          <w:szCs w:val="18"/>
          <w:b w:val="1"/>
          <w:bCs w:val="1"/>
          <w:color w:val="auto"/>
        </w:rPr>
        <w:t>Certification by the Chief Executive Officer pursuant to</w:t>
      </w:r>
    </w:p>
    <w:p>
      <w:pPr>
        <w:spacing w:after="0" w:line="27" w:lineRule="exact"/>
        <w:rPr>
          <w:sz w:val="20"/>
          <w:szCs w:val="20"/>
          <w:color w:val="auto"/>
        </w:rPr>
      </w:pPr>
    </w:p>
    <w:p>
      <w:pPr>
        <w:ind w:left="3520"/>
        <w:spacing w:after="0"/>
        <w:rPr>
          <w:sz w:val="20"/>
          <w:szCs w:val="20"/>
          <w:color w:val="auto"/>
        </w:rPr>
      </w:pPr>
      <w:r>
        <w:rPr>
          <w:rFonts w:ascii="Arial" w:cs="Arial" w:eastAsia="Arial" w:hAnsi="Arial"/>
          <w:sz w:val="18"/>
          <w:szCs w:val="18"/>
          <w:b w:val="1"/>
          <w:bCs w:val="1"/>
          <w:color w:val="auto"/>
        </w:rPr>
        <w:t>Securities Exchange Act Rules 13a-14(a) and 15d-14(a)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Olivier Pomel, certify that:</w:t>
      </w:r>
    </w:p>
    <w:p>
      <w:pPr>
        <w:spacing w:after="0" w:line="225" w:lineRule="exact"/>
        <w:rPr>
          <w:sz w:val="20"/>
          <w:szCs w:val="20"/>
          <w:color w:val="auto"/>
        </w:rPr>
      </w:pPr>
    </w:p>
    <w:p>
      <w:pPr>
        <w:ind w:left="580" w:hanging="572"/>
        <w:spacing w:after="0"/>
        <w:tabs>
          <w:tab w:leader="none" w:pos="580" w:val="left"/>
        </w:tabs>
        <w:numPr>
          <w:ilvl w:val="0"/>
          <w:numId w:val="26"/>
        </w:numPr>
        <w:rPr>
          <w:rFonts w:ascii="Arial" w:cs="Arial" w:eastAsia="Arial" w:hAnsi="Arial"/>
          <w:sz w:val="17"/>
          <w:szCs w:val="17"/>
          <w:color w:val="auto"/>
        </w:rPr>
      </w:pPr>
      <w:r>
        <w:rPr>
          <w:rFonts w:ascii="Arial" w:cs="Arial" w:eastAsia="Arial" w:hAnsi="Arial"/>
          <w:sz w:val="17"/>
          <w:szCs w:val="17"/>
          <w:color w:val="auto"/>
        </w:rPr>
        <w:t>I have reviewed this Quarterly Report on Form 10-Q of Datadog, Inc. (the “registrant”) for the fiscal quarter ended September 30, 2023;</w:t>
      </w:r>
    </w:p>
    <w:p>
      <w:pPr>
        <w:spacing w:after="0" w:line="236" w:lineRule="exact"/>
        <w:rPr>
          <w:rFonts w:ascii="Arial" w:cs="Arial" w:eastAsia="Arial" w:hAnsi="Arial"/>
          <w:sz w:val="17"/>
          <w:szCs w:val="17"/>
          <w:color w:val="auto"/>
        </w:rPr>
      </w:pPr>
    </w:p>
    <w:p>
      <w:pPr>
        <w:jc w:val="both"/>
        <w:ind w:left="580" w:right="200" w:hanging="572"/>
        <w:spacing w:after="0" w:line="263" w:lineRule="auto"/>
        <w:tabs>
          <w:tab w:leader="none" w:pos="5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580" w:right="160" w:hanging="572"/>
        <w:spacing w:after="0" w:line="308" w:lineRule="auto"/>
        <w:tabs>
          <w:tab w:leader="none" w:pos="580" w:val="left"/>
        </w:tabs>
        <w:numPr>
          <w:ilvl w:val="0"/>
          <w:numId w:val="2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580" w:right="220" w:hanging="572"/>
        <w:spacing w:after="0" w:line="277" w:lineRule="auto"/>
        <w:tabs>
          <w:tab w:leader="none" w:pos="5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for the registrant and have:</w:t>
      </w:r>
    </w:p>
    <w:p>
      <w:pPr>
        <w:spacing w:after="0" w:line="62" w:lineRule="exact"/>
        <w:rPr>
          <w:rFonts w:ascii="Arial" w:cs="Arial" w:eastAsia="Arial" w:hAnsi="Arial"/>
          <w:sz w:val="18"/>
          <w:szCs w:val="18"/>
          <w:color w:val="auto"/>
        </w:rPr>
      </w:pPr>
    </w:p>
    <w:p>
      <w:pPr>
        <w:ind w:left="1140" w:right="80" w:hanging="565"/>
        <w:spacing w:after="0" w:line="263" w:lineRule="auto"/>
        <w:tabs>
          <w:tab w:leader="none" w:pos="1131" w:val="left"/>
        </w:tabs>
        <w:numPr>
          <w:ilvl w:val="1"/>
          <w:numId w:val="2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5" w:lineRule="exact"/>
        <w:rPr>
          <w:rFonts w:ascii="Arial" w:cs="Arial" w:eastAsia="Arial" w:hAnsi="Arial"/>
          <w:sz w:val="18"/>
          <w:szCs w:val="18"/>
          <w:color w:val="auto"/>
        </w:rPr>
      </w:pPr>
    </w:p>
    <w:p>
      <w:pPr>
        <w:ind w:left="1140" w:right="200" w:hanging="565"/>
        <w:spacing w:after="0" w:line="263" w:lineRule="auto"/>
        <w:tabs>
          <w:tab w:leader="none" w:pos="1128" w:val="left"/>
        </w:tabs>
        <w:numPr>
          <w:ilvl w:val="1"/>
          <w:numId w:val="2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rFonts w:ascii="Arial" w:cs="Arial" w:eastAsia="Arial" w:hAnsi="Arial"/>
          <w:sz w:val="18"/>
          <w:szCs w:val="18"/>
          <w:color w:val="auto"/>
        </w:rPr>
      </w:pPr>
    </w:p>
    <w:p>
      <w:pPr>
        <w:jc w:val="both"/>
        <w:ind w:left="1140" w:right="380" w:hanging="565"/>
        <w:spacing w:after="0" w:line="342" w:lineRule="auto"/>
        <w:tabs>
          <w:tab w:leader="none" w:pos="1131" w:val="left"/>
        </w:tabs>
        <w:numPr>
          <w:ilvl w:val="1"/>
          <w:numId w:val="2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1140" w:right="100" w:hanging="565"/>
        <w:spacing w:after="0" w:line="263" w:lineRule="auto"/>
        <w:tabs>
          <w:tab w:leader="none" w:pos="1128" w:val="left"/>
        </w:tabs>
        <w:numPr>
          <w:ilvl w:val="1"/>
          <w:numId w:val="2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580" w:right="180" w:hanging="572"/>
        <w:spacing w:after="0" w:line="342" w:lineRule="auto"/>
        <w:tabs>
          <w:tab w:leader="none" w:pos="580" w:val="left"/>
        </w:tabs>
        <w:numPr>
          <w:ilvl w:val="0"/>
          <w:numId w:val="26"/>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 w:lineRule="exact"/>
        <w:rPr>
          <w:rFonts w:ascii="Arial" w:cs="Arial" w:eastAsia="Arial" w:hAnsi="Arial"/>
          <w:sz w:val="16"/>
          <w:szCs w:val="16"/>
          <w:color w:val="auto"/>
        </w:rPr>
      </w:pPr>
    </w:p>
    <w:p>
      <w:pPr>
        <w:ind w:left="1140" w:right="620" w:hanging="565"/>
        <w:spacing w:after="0" w:line="342" w:lineRule="auto"/>
        <w:tabs>
          <w:tab w:leader="none" w:pos="1131" w:val="left"/>
        </w:tabs>
        <w:numPr>
          <w:ilvl w:val="1"/>
          <w:numId w:val="26"/>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 w:lineRule="exact"/>
        <w:rPr>
          <w:rFonts w:ascii="Arial" w:cs="Arial" w:eastAsia="Arial" w:hAnsi="Arial"/>
          <w:sz w:val="16"/>
          <w:szCs w:val="16"/>
          <w:color w:val="auto"/>
        </w:rPr>
      </w:pPr>
    </w:p>
    <w:p>
      <w:pPr>
        <w:ind w:left="1140" w:right="340" w:hanging="565"/>
        <w:spacing w:after="0" w:line="277" w:lineRule="auto"/>
        <w:tabs>
          <w:tab w:leader="none" w:pos="1128" w:val="left"/>
        </w:tabs>
        <w:numPr>
          <w:ilvl w:val="1"/>
          <w:numId w:val="2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03" w:lineRule="exact"/>
        <w:rPr>
          <w:sz w:val="20"/>
          <w:szCs w:val="20"/>
          <w:color w:val="auto"/>
        </w:rPr>
      </w:pPr>
    </w:p>
    <w:p>
      <w:pPr>
        <w:ind w:left="20"/>
        <w:spacing w:after="0"/>
        <w:tabs>
          <w:tab w:leader="none" w:pos="5840" w:val="left"/>
          <w:tab w:leader="none" w:pos="7100" w:val="left"/>
        </w:tabs>
        <w:rPr>
          <w:sz w:val="20"/>
          <w:szCs w:val="20"/>
          <w:color w:val="auto"/>
        </w:rPr>
      </w:pPr>
      <w:r>
        <w:rPr>
          <w:rFonts w:ascii="Arial" w:cs="Arial" w:eastAsia="Arial" w:hAnsi="Arial"/>
          <w:sz w:val="18"/>
          <w:szCs w:val="18"/>
          <w:color w:val="auto"/>
        </w:rPr>
        <w:t>Date: November 7, 2023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Olivier Pomel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4017010</wp:posOffset>
            </wp:positionH>
            <wp:positionV relativeFrom="paragraph">
              <wp:posOffset>31750</wp:posOffset>
            </wp:positionV>
            <wp:extent cx="3103245"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6">
                      <a:extLst>
                        <a:ext uri="{28A0092B-C50C-407E-A947-70E740481C1C}"/>
                      </a:extLst>
                    </a:blip>
                    <a:srcRect/>
                    <a:stretch>
                      <a:fillRect/>
                    </a:stretch>
                  </pic:blipFill>
                  <pic:spPr bwMode="auto">
                    <a:xfrm>
                      <a:off x="0" y="0"/>
                      <a:ext cx="3103245" cy="8255"/>
                    </a:xfrm>
                    <a:prstGeom prst="rect">
                      <a:avLst/>
                    </a:prstGeom>
                    <a:noFill/>
                  </pic:spPr>
                </pic:pic>
              </a:graphicData>
            </a:graphic>
          </wp:anchor>
        </w:drawing>
      </w:r>
    </w:p>
    <w:p>
      <w:pPr>
        <w:spacing w:after="0" w:line="53" w:lineRule="exact"/>
        <w:rPr>
          <w:sz w:val="20"/>
          <w:szCs w:val="20"/>
          <w:color w:val="auto"/>
        </w:rPr>
      </w:pPr>
    </w:p>
    <w:p>
      <w:pPr>
        <w:ind w:left="6340"/>
        <w:spacing w:after="0"/>
        <w:tabs>
          <w:tab w:leader="none" w:pos="7100" w:val="left"/>
        </w:tabs>
        <w:rPr>
          <w:sz w:val="20"/>
          <w:szCs w:val="20"/>
          <w:color w:val="auto"/>
        </w:rPr>
      </w:pPr>
      <w:r>
        <w:rPr>
          <w:rFonts w:ascii="Arial" w:cs="Arial" w:eastAsia="Arial" w:hAnsi="Arial"/>
          <w:sz w:val="18"/>
          <w:szCs w:val="18"/>
          <w:b w:val="1"/>
          <w:bCs w:val="1"/>
          <w:color w:val="auto"/>
        </w:rPr>
        <w:t>Name:</w:t>
      </w:r>
      <w:r>
        <w:rPr>
          <w:sz w:val="20"/>
          <w:szCs w:val="20"/>
          <w:color w:val="auto"/>
        </w:rPr>
        <w:tab/>
      </w:r>
      <w:r>
        <w:rPr>
          <w:rFonts w:ascii="Arial" w:cs="Arial" w:eastAsia="Arial" w:hAnsi="Arial"/>
          <w:sz w:val="18"/>
          <w:szCs w:val="18"/>
          <w:color w:val="auto"/>
        </w:rPr>
        <w:t>Olivier Pomel</w:t>
      </w:r>
    </w:p>
    <w:p>
      <w:pPr>
        <w:spacing w:after="0" w:line="63" w:lineRule="exact"/>
        <w:rPr>
          <w:sz w:val="20"/>
          <w:szCs w:val="20"/>
          <w:color w:val="auto"/>
        </w:rPr>
      </w:pPr>
    </w:p>
    <w:p>
      <w:pPr>
        <w:ind w:left="6340"/>
        <w:spacing w:after="0"/>
        <w:tabs>
          <w:tab w:leader="none" w:pos="7100" w:val="left"/>
        </w:tabs>
        <w:rPr>
          <w:sz w:val="20"/>
          <w:szCs w:val="20"/>
          <w:color w:val="auto"/>
        </w:rPr>
      </w:pPr>
      <w:r>
        <w:rPr>
          <w:rFonts w:ascii="Arial" w:cs="Arial" w:eastAsia="Arial" w:hAnsi="Arial"/>
          <w:sz w:val="18"/>
          <w:szCs w:val="18"/>
          <w:b w:val="1"/>
          <w:bCs w:val="1"/>
          <w:color w:val="auto"/>
        </w:rPr>
        <w:t>Title:</w:t>
      </w:r>
      <w:r>
        <w:rPr>
          <w:sz w:val="20"/>
          <w:szCs w:val="20"/>
          <w:color w:val="auto"/>
        </w:rPr>
        <w:tab/>
      </w:r>
      <w:r>
        <w:rPr>
          <w:rFonts w:ascii="Arial" w:cs="Arial" w:eastAsia="Arial" w:hAnsi="Arial"/>
          <w:sz w:val="18"/>
          <w:szCs w:val="18"/>
          <w:color w:val="auto"/>
        </w:rPr>
        <w:t>Chief Executive Officer and Director</w:t>
      </w:r>
    </w:p>
    <w:p>
      <w:pPr>
        <w:spacing w:after="0" w:line="67" w:lineRule="exact"/>
        <w:rPr>
          <w:sz w:val="20"/>
          <w:szCs w:val="20"/>
          <w:color w:val="auto"/>
        </w:rPr>
      </w:pPr>
    </w:p>
    <w:p>
      <w:pPr>
        <w:ind w:left="71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Principal Executive Officer</w:t>
      </w:r>
      <w:r>
        <w:rPr>
          <w:rFonts w:ascii="Arial" w:cs="Arial" w:eastAsia="Arial" w:hAnsi="Arial"/>
          <w:sz w:val="18"/>
          <w:szCs w:val="18"/>
          <w:color w:val="auto"/>
        </w:rPr>
        <w:t>)</w:t>
      </w:r>
    </w:p>
    <w:p>
      <w:pPr>
        <w:sectPr>
          <w:pgSz w:w="11900" w:h="16838" w:orient="portrait"/>
          <w:cols w:equalWidth="0" w:num="1">
            <w:col w:w="11240"/>
          </w:cols>
          <w:pgMar w:left="320" w:top="891" w:right="339" w:bottom="1440" w:gutter="0" w:footer="0" w:header="0"/>
        </w:sectPr>
      </w:pPr>
    </w:p>
    <w:bookmarkStart w:id="66" w:name="page67"/>
    <w:bookmarkEnd w:id="66"/>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ind w:left="3500"/>
        <w:spacing w:after="0"/>
        <w:rPr>
          <w:sz w:val="20"/>
          <w:szCs w:val="20"/>
          <w:color w:val="auto"/>
        </w:rPr>
      </w:pPr>
      <w:r>
        <w:rPr>
          <w:rFonts w:ascii="Arial" w:cs="Arial" w:eastAsia="Arial" w:hAnsi="Arial"/>
          <w:sz w:val="18"/>
          <w:szCs w:val="18"/>
          <w:b w:val="1"/>
          <w:bCs w:val="1"/>
          <w:color w:val="auto"/>
        </w:rPr>
        <w:t>Certification by the Chief Financial Officer pursuant to</w:t>
      </w:r>
    </w:p>
    <w:p>
      <w:pPr>
        <w:spacing w:after="0" w:line="27" w:lineRule="exact"/>
        <w:rPr>
          <w:sz w:val="20"/>
          <w:szCs w:val="20"/>
          <w:color w:val="auto"/>
        </w:rPr>
      </w:pPr>
    </w:p>
    <w:p>
      <w:pPr>
        <w:ind w:left="3520"/>
        <w:spacing w:after="0"/>
        <w:rPr>
          <w:sz w:val="20"/>
          <w:szCs w:val="20"/>
          <w:color w:val="auto"/>
        </w:rPr>
      </w:pPr>
      <w:r>
        <w:rPr>
          <w:rFonts w:ascii="Arial" w:cs="Arial" w:eastAsia="Arial" w:hAnsi="Arial"/>
          <w:sz w:val="18"/>
          <w:szCs w:val="18"/>
          <w:b w:val="1"/>
          <w:bCs w:val="1"/>
          <w:color w:val="auto"/>
        </w:rPr>
        <w:t>Securities Exchange Act Rules 13a-14(a) and 15d-14(a)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David Obstler, certify that:</w:t>
      </w:r>
    </w:p>
    <w:p>
      <w:pPr>
        <w:spacing w:after="0" w:line="225" w:lineRule="exact"/>
        <w:rPr>
          <w:sz w:val="20"/>
          <w:szCs w:val="20"/>
          <w:color w:val="auto"/>
        </w:rPr>
      </w:pPr>
    </w:p>
    <w:p>
      <w:pPr>
        <w:ind w:left="580" w:hanging="572"/>
        <w:spacing w:after="0"/>
        <w:tabs>
          <w:tab w:leader="none" w:pos="580" w:val="left"/>
        </w:tabs>
        <w:numPr>
          <w:ilvl w:val="0"/>
          <w:numId w:val="27"/>
        </w:numPr>
        <w:rPr>
          <w:rFonts w:ascii="Arial" w:cs="Arial" w:eastAsia="Arial" w:hAnsi="Arial"/>
          <w:sz w:val="17"/>
          <w:szCs w:val="17"/>
          <w:color w:val="auto"/>
        </w:rPr>
      </w:pPr>
      <w:r>
        <w:rPr>
          <w:rFonts w:ascii="Arial" w:cs="Arial" w:eastAsia="Arial" w:hAnsi="Arial"/>
          <w:sz w:val="17"/>
          <w:szCs w:val="17"/>
          <w:color w:val="auto"/>
        </w:rPr>
        <w:t>I have reviewed this Quarterly Report on Form 10-Q of Datadog, Inc. (the “registrant”) for the fiscal quarter ended September 30, 2023;</w:t>
      </w:r>
    </w:p>
    <w:p>
      <w:pPr>
        <w:spacing w:after="0" w:line="236" w:lineRule="exact"/>
        <w:rPr>
          <w:rFonts w:ascii="Arial" w:cs="Arial" w:eastAsia="Arial" w:hAnsi="Arial"/>
          <w:sz w:val="17"/>
          <w:szCs w:val="17"/>
          <w:color w:val="auto"/>
        </w:rPr>
      </w:pPr>
    </w:p>
    <w:p>
      <w:pPr>
        <w:jc w:val="both"/>
        <w:ind w:left="580" w:right="200" w:hanging="572"/>
        <w:spacing w:after="0" w:line="263" w:lineRule="auto"/>
        <w:tabs>
          <w:tab w:leader="none" w:pos="5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580" w:right="160" w:hanging="572"/>
        <w:spacing w:after="0" w:line="308" w:lineRule="auto"/>
        <w:tabs>
          <w:tab w:leader="none" w:pos="580" w:val="left"/>
        </w:tabs>
        <w:numPr>
          <w:ilvl w:val="0"/>
          <w:numId w:val="27"/>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580" w:right="220" w:hanging="572"/>
        <w:spacing w:after="0" w:line="277" w:lineRule="auto"/>
        <w:tabs>
          <w:tab w:leader="none" w:pos="5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for the registrant and have:</w:t>
      </w:r>
    </w:p>
    <w:p>
      <w:pPr>
        <w:spacing w:after="0" w:line="62" w:lineRule="exact"/>
        <w:rPr>
          <w:rFonts w:ascii="Arial" w:cs="Arial" w:eastAsia="Arial" w:hAnsi="Arial"/>
          <w:sz w:val="18"/>
          <w:szCs w:val="18"/>
          <w:color w:val="auto"/>
        </w:rPr>
      </w:pPr>
    </w:p>
    <w:p>
      <w:pPr>
        <w:ind w:left="1140" w:right="80" w:hanging="565"/>
        <w:spacing w:after="0" w:line="263" w:lineRule="auto"/>
        <w:tabs>
          <w:tab w:leader="none" w:pos="1131" w:val="left"/>
        </w:tabs>
        <w:numPr>
          <w:ilvl w:val="1"/>
          <w:numId w:val="2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5" w:lineRule="exact"/>
        <w:rPr>
          <w:rFonts w:ascii="Arial" w:cs="Arial" w:eastAsia="Arial" w:hAnsi="Arial"/>
          <w:sz w:val="18"/>
          <w:szCs w:val="18"/>
          <w:color w:val="auto"/>
        </w:rPr>
      </w:pPr>
    </w:p>
    <w:p>
      <w:pPr>
        <w:ind w:left="1140" w:right="200" w:hanging="565"/>
        <w:spacing w:after="0" w:line="263" w:lineRule="auto"/>
        <w:tabs>
          <w:tab w:leader="none" w:pos="1128" w:val="left"/>
        </w:tabs>
        <w:numPr>
          <w:ilvl w:val="1"/>
          <w:numId w:val="2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rFonts w:ascii="Arial" w:cs="Arial" w:eastAsia="Arial" w:hAnsi="Arial"/>
          <w:sz w:val="18"/>
          <w:szCs w:val="18"/>
          <w:color w:val="auto"/>
        </w:rPr>
      </w:pPr>
    </w:p>
    <w:p>
      <w:pPr>
        <w:jc w:val="both"/>
        <w:ind w:left="1140" w:right="380" w:hanging="565"/>
        <w:spacing w:after="0" w:line="342" w:lineRule="auto"/>
        <w:tabs>
          <w:tab w:leader="none" w:pos="1131" w:val="left"/>
        </w:tabs>
        <w:numPr>
          <w:ilvl w:val="1"/>
          <w:numId w:val="2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1140" w:right="100" w:hanging="565"/>
        <w:spacing w:after="0" w:line="263" w:lineRule="auto"/>
        <w:tabs>
          <w:tab w:leader="none" w:pos="1128" w:val="left"/>
        </w:tabs>
        <w:numPr>
          <w:ilvl w:val="1"/>
          <w:numId w:val="2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580" w:right="180" w:hanging="572"/>
        <w:spacing w:after="0" w:line="342" w:lineRule="auto"/>
        <w:tabs>
          <w:tab w:leader="none" w:pos="580" w:val="left"/>
        </w:tabs>
        <w:numPr>
          <w:ilvl w:val="0"/>
          <w:numId w:val="27"/>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 w:lineRule="exact"/>
        <w:rPr>
          <w:rFonts w:ascii="Arial" w:cs="Arial" w:eastAsia="Arial" w:hAnsi="Arial"/>
          <w:sz w:val="16"/>
          <w:szCs w:val="16"/>
          <w:color w:val="auto"/>
        </w:rPr>
      </w:pPr>
    </w:p>
    <w:p>
      <w:pPr>
        <w:ind w:left="1140" w:right="620" w:hanging="565"/>
        <w:spacing w:after="0" w:line="342" w:lineRule="auto"/>
        <w:tabs>
          <w:tab w:leader="none" w:pos="1131" w:val="left"/>
        </w:tabs>
        <w:numPr>
          <w:ilvl w:val="1"/>
          <w:numId w:val="27"/>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 w:lineRule="exact"/>
        <w:rPr>
          <w:rFonts w:ascii="Arial" w:cs="Arial" w:eastAsia="Arial" w:hAnsi="Arial"/>
          <w:sz w:val="16"/>
          <w:szCs w:val="16"/>
          <w:color w:val="auto"/>
        </w:rPr>
      </w:pPr>
    </w:p>
    <w:p>
      <w:pPr>
        <w:ind w:left="1140" w:right="340" w:hanging="565"/>
        <w:spacing w:after="0" w:line="277" w:lineRule="auto"/>
        <w:tabs>
          <w:tab w:leader="none" w:pos="1128" w:val="left"/>
        </w:tabs>
        <w:numPr>
          <w:ilvl w:val="1"/>
          <w:numId w:val="2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89"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3820" w:type="dxa"/>
            <w:vAlign w:val="bottom"/>
          </w:tcPr>
          <w:p>
            <w:pPr>
              <w:spacing w:after="0"/>
              <w:rPr>
                <w:sz w:val="20"/>
                <w:szCs w:val="20"/>
                <w:color w:val="auto"/>
              </w:rPr>
            </w:pPr>
            <w:r>
              <w:rPr>
                <w:rFonts w:ascii="Arial" w:cs="Arial" w:eastAsia="Arial" w:hAnsi="Arial"/>
                <w:sz w:val="18"/>
                <w:szCs w:val="18"/>
                <w:color w:val="auto"/>
              </w:rPr>
              <w:t>Date: November 7, 2023</w:t>
            </w:r>
          </w:p>
        </w:tc>
        <w:tc>
          <w:tcPr>
            <w:tcW w:w="3140" w:type="dxa"/>
            <w:vAlign w:val="bottom"/>
            <w:gridSpan w:val="2"/>
          </w:tcPr>
          <w:p>
            <w:pPr>
              <w:ind w:left="2020"/>
              <w:spacing w:after="0"/>
              <w:rPr>
                <w:sz w:val="20"/>
                <w:szCs w:val="20"/>
                <w:color w:val="auto"/>
              </w:rPr>
            </w:pPr>
            <w:r>
              <w:rPr>
                <w:rFonts w:ascii="Arial" w:cs="Arial" w:eastAsia="Arial" w:hAnsi="Arial"/>
                <w:sz w:val="18"/>
                <w:szCs w:val="18"/>
                <w:color w:val="auto"/>
              </w:rPr>
              <w:t>By:</w:t>
            </w:r>
          </w:p>
        </w:tc>
        <w:tc>
          <w:tcPr>
            <w:tcW w:w="4240" w:type="dxa"/>
            <w:vAlign w:val="bottom"/>
          </w:tcPr>
          <w:p>
            <w:pPr>
              <w:ind w:left="140"/>
              <w:spacing w:after="0"/>
              <w:rPr>
                <w:sz w:val="20"/>
                <w:szCs w:val="20"/>
                <w:color w:val="auto"/>
              </w:rPr>
            </w:pPr>
            <w:r>
              <w:rPr>
                <w:rFonts w:ascii="Arial" w:cs="Arial" w:eastAsia="Arial" w:hAnsi="Arial"/>
                <w:sz w:val="18"/>
                <w:szCs w:val="18"/>
                <w:color w:val="auto"/>
              </w:rPr>
              <w:t>/s/ David Obstler</w:t>
            </w:r>
          </w:p>
        </w:tc>
      </w:tr>
      <w:tr>
        <w:trPr>
          <w:trHeight w:val="218"/>
        </w:trPr>
        <w:tc>
          <w:tcPr>
            <w:tcW w:w="382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660" w:type="dxa"/>
            <w:vAlign w:val="bottom"/>
            <w:tcBorders>
              <w:top w:val="single" w:sz="8" w:color="auto"/>
            </w:tcBorders>
          </w:tcPr>
          <w:p>
            <w:pPr>
              <w:ind w:left="20"/>
              <w:spacing w:after="0"/>
              <w:rPr>
                <w:sz w:val="20"/>
                <w:szCs w:val="20"/>
                <w:color w:val="auto"/>
              </w:rPr>
            </w:pPr>
            <w:r>
              <w:rPr>
                <w:rFonts w:ascii="Arial" w:cs="Arial" w:eastAsia="Arial" w:hAnsi="Arial"/>
                <w:sz w:val="18"/>
                <w:szCs w:val="18"/>
                <w:b w:val="1"/>
                <w:bCs w:val="1"/>
                <w:color w:val="auto"/>
              </w:rPr>
              <w:t>Name:</w:t>
            </w:r>
          </w:p>
        </w:tc>
        <w:tc>
          <w:tcPr>
            <w:tcW w:w="4240" w:type="dxa"/>
            <w:vAlign w:val="bottom"/>
            <w:tcBorders>
              <w:top w:val="single" w:sz="8" w:color="auto"/>
            </w:tcBorders>
          </w:tcPr>
          <w:p>
            <w:pPr>
              <w:ind w:left="140"/>
              <w:spacing w:after="0"/>
              <w:rPr>
                <w:sz w:val="20"/>
                <w:szCs w:val="20"/>
                <w:color w:val="auto"/>
              </w:rPr>
            </w:pPr>
            <w:r>
              <w:rPr>
                <w:rFonts w:ascii="Arial" w:cs="Arial" w:eastAsia="Arial" w:hAnsi="Arial"/>
                <w:sz w:val="18"/>
                <w:szCs w:val="18"/>
                <w:color w:val="auto"/>
              </w:rPr>
              <w:t>David Obstler</w:t>
            </w:r>
          </w:p>
        </w:tc>
      </w:tr>
      <w:tr>
        <w:trPr>
          <w:trHeight w:val="234"/>
        </w:trPr>
        <w:tc>
          <w:tcPr>
            <w:tcW w:w="382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660" w:type="dxa"/>
            <w:vAlign w:val="bottom"/>
          </w:tcPr>
          <w:p>
            <w:pPr>
              <w:ind w:left="20"/>
              <w:spacing w:after="0"/>
              <w:rPr>
                <w:sz w:val="20"/>
                <w:szCs w:val="20"/>
                <w:color w:val="auto"/>
              </w:rPr>
            </w:pPr>
            <w:r>
              <w:rPr>
                <w:rFonts w:ascii="Arial" w:cs="Arial" w:eastAsia="Arial" w:hAnsi="Arial"/>
                <w:sz w:val="18"/>
                <w:szCs w:val="18"/>
                <w:b w:val="1"/>
                <w:bCs w:val="1"/>
                <w:color w:val="auto"/>
              </w:rPr>
              <w:t>Title:</w:t>
            </w:r>
          </w:p>
        </w:tc>
        <w:tc>
          <w:tcPr>
            <w:tcW w:w="4240" w:type="dxa"/>
            <w:vAlign w:val="bottom"/>
          </w:tcPr>
          <w:p>
            <w:pPr>
              <w:ind w:left="140"/>
              <w:spacing w:after="0"/>
              <w:rPr>
                <w:sz w:val="20"/>
                <w:szCs w:val="20"/>
                <w:color w:val="auto"/>
              </w:rPr>
            </w:pPr>
            <w:r>
              <w:rPr>
                <w:rFonts w:ascii="Arial" w:cs="Arial" w:eastAsia="Arial" w:hAnsi="Arial"/>
                <w:sz w:val="18"/>
                <w:szCs w:val="18"/>
                <w:color w:val="auto"/>
              </w:rPr>
              <w:t>Chief Financial Officer</w:t>
            </w:r>
          </w:p>
        </w:tc>
      </w:tr>
      <w:tr>
        <w:trPr>
          <w:trHeight w:val="230"/>
        </w:trPr>
        <w:tc>
          <w:tcPr>
            <w:tcW w:w="382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240" w:type="dxa"/>
            <w:vAlign w:val="bottom"/>
          </w:tcPr>
          <w:p>
            <w:pPr>
              <w:ind w:left="1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Principal Financial Officer</w:t>
            </w:r>
            <w:r>
              <w:rPr>
                <w:rFonts w:ascii="Arial" w:cs="Arial" w:eastAsia="Arial" w:hAnsi="Arial"/>
                <w:sz w:val="18"/>
                <w:szCs w:val="18"/>
                <w:color w:val="auto"/>
              </w:rPr>
              <w:t>)</w:t>
            </w:r>
          </w:p>
        </w:tc>
      </w:tr>
    </w:tbl>
    <w:p>
      <w:pPr>
        <w:sectPr>
          <w:pgSz w:w="11900" w:h="16838" w:orient="portrait"/>
          <w:cols w:equalWidth="0" w:num="1">
            <w:col w:w="11240"/>
          </w:cols>
          <w:pgMar w:left="320" w:top="891" w:right="339" w:bottom="1440" w:gutter="0" w:footer="0" w:header="0"/>
        </w:sectPr>
      </w:pPr>
    </w:p>
    <w:bookmarkStart w:id="67" w:name="page68"/>
    <w:bookmarkEnd w:id="67"/>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I, Olivier Pomel, certify, pursuant to 18 U.S.C. Section 1350, as adopted pursuant to Section 906 of the Sarbanes-Oxley Act of 2002, that the Quarterly Report on Form 10-Q of Datadog, Inc. for the fiscal quarter ended September 30, 2023 fully complies with the requirements of Section 13(a) or 15(d) of the Securities Exchange Act of 1934, as amended, and that information contained in such Quarterly Report on Form 10-Q fairly presents, in all material respects, the financial condition and results of operations of Datadog, Inc.</w:t>
      </w:r>
    </w:p>
    <w:p>
      <w:pPr>
        <w:spacing w:after="0" w:line="11"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3820" w:type="dxa"/>
            <w:vAlign w:val="bottom"/>
          </w:tcPr>
          <w:p>
            <w:pPr>
              <w:spacing w:after="0"/>
              <w:rPr>
                <w:sz w:val="20"/>
                <w:szCs w:val="20"/>
                <w:color w:val="auto"/>
              </w:rPr>
            </w:pPr>
            <w:r>
              <w:rPr>
                <w:rFonts w:ascii="Arial" w:cs="Arial" w:eastAsia="Arial" w:hAnsi="Arial"/>
                <w:sz w:val="18"/>
                <w:szCs w:val="18"/>
                <w:color w:val="auto"/>
              </w:rPr>
              <w:t>Date: November 7, 2023</w:t>
            </w:r>
          </w:p>
        </w:tc>
        <w:tc>
          <w:tcPr>
            <w:tcW w:w="3140" w:type="dxa"/>
            <w:vAlign w:val="bottom"/>
            <w:gridSpan w:val="2"/>
          </w:tcPr>
          <w:p>
            <w:pPr>
              <w:ind w:left="2020"/>
              <w:spacing w:after="0"/>
              <w:rPr>
                <w:sz w:val="20"/>
                <w:szCs w:val="20"/>
                <w:color w:val="auto"/>
              </w:rPr>
            </w:pPr>
            <w:r>
              <w:rPr>
                <w:rFonts w:ascii="Arial" w:cs="Arial" w:eastAsia="Arial" w:hAnsi="Arial"/>
                <w:sz w:val="18"/>
                <w:szCs w:val="18"/>
                <w:color w:val="auto"/>
              </w:rPr>
              <w:t>By:</w:t>
            </w:r>
          </w:p>
        </w:tc>
        <w:tc>
          <w:tcPr>
            <w:tcW w:w="4240" w:type="dxa"/>
            <w:vAlign w:val="bottom"/>
          </w:tcPr>
          <w:p>
            <w:pPr>
              <w:ind w:left="140"/>
              <w:spacing w:after="0"/>
              <w:rPr>
                <w:sz w:val="20"/>
                <w:szCs w:val="20"/>
                <w:color w:val="auto"/>
              </w:rPr>
            </w:pPr>
            <w:r>
              <w:rPr>
                <w:rFonts w:ascii="Arial" w:cs="Arial" w:eastAsia="Arial" w:hAnsi="Arial"/>
                <w:sz w:val="18"/>
                <w:szCs w:val="18"/>
                <w:color w:val="auto"/>
              </w:rPr>
              <w:t>/s/ Olivier Pomel</w:t>
            </w:r>
          </w:p>
        </w:tc>
      </w:tr>
      <w:tr>
        <w:trPr>
          <w:trHeight w:val="218"/>
        </w:trPr>
        <w:tc>
          <w:tcPr>
            <w:tcW w:w="382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660" w:type="dxa"/>
            <w:vAlign w:val="bottom"/>
            <w:tcBorders>
              <w:top w:val="single" w:sz="8" w:color="auto"/>
            </w:tcBorders>
          </w:tcPr>
          <w:p>
            <w:pPr>
              <w:ind w:left="20"/>
              <w:spacing w:after="0"/>
              <w:rPr>
                <w:sz w:val="20"/>
                <w:szCs w:val="20"/>
                <w:color w:val="auto"/>
              </w:rPr>
            </w:pPr>
            <w:r>
              <w:rPr>
                <w:rFonts w:ascii="Arial" w:cs="Arial" w:eastAsia="Arial" w:hAnsi="Arial"/>
                <w:sz w:val="18"/>
                <w:szCs w:val="18"/>
                <w:b w:val="1"/>
                <w:bCs w:val="1"/>
                <w:color w:val="auto"/>
              </w:rPr>
              <w:t>Name:</w:t>
            </w:r>
          </w:p>
        </w:tc>
        <w:tc>
          <w:tcPr>
            <w:tcW w:w="4240" w:type="dxa"/>
            <w:vAlign w:val="bottom"/>
            <w:tcBorders>
              <w:top w:val="single" w:sz="8" w:color="auto"/>
            </w:tcBorders>
          </w:tcPr>
          <w:p>
            <w:pPr>
              <w:ind w:left="140"/>
              <w:spacing w:after="0"/>
              <w:rPr>
                <w:sz w:val="20"/>
                <w:szCs w:val="20"/>
                <w:color w:val="auto"/>
              </w:rPr>
            </w:pPr>
            <w:r>
              <w:rPr>
                <w:rFonts w:ascii="Arial" w:cs="Arial" w:eastAsia="Arial" w:hAnsi="Arial"/>
                <w:sz w:val="18"/>
                <w:szCs w:val="18"/>
                <w:color w:val="auto"/>
              </w:rPr>
              <w:t>Olivier Pomel</w:t>
            </w:r>
          </w:p>
        </w:tc>
      </w:tr>
      <w:tr>
        <w:trPr>
          <w:trHeight w:val="233"/>
        </w:trPr>
        <w:tc>
          <w:tcPr>
            <w:tcW w:w="382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660" w:type="dxa"/>
            <w:vAlign w:val="bottom"/>
          </w:tcPr>
          <w:p>
            <w:pPr>
              <w:ind w:left="20"/>
              <w:spacing w:after="0"/>
              <w:rPr>
                <w:sz w:val="20"/>
                <w:szCs w:val="20"/>
                <w:color w:val="auto"/>
              </w:rPr>
            </w:pPr>
            <w:r>
              <w:rPr>
                <w:rFonts w:ascii="Arial" w:cs="Arial" w:eastAsia="Arial" w:hAnsi="Arial"/>
                <w:sz w:val="18"/>
                <w:szCs w:val="18"/>
                <w:b w:val="1"/>
                <w:bCs w:val="1"/>
                <w:color w:val="auto"/>
              </w:rPr>
              <w:t>Title:</w:t>
            </w:r>
          </w:p>
        </w:tc>
        <w:tc>
          <w:tcPr>
            <w:tcW w:w="4240" w:type="dxa"/>
            <w:vAlign w:val="bottom"/>
          </w:tcPr>
          <w:p>
            <w:pPr>
              <w:ind w:left="140"/>
              <w:spacing w:after="0"/>
              <w:rPr>
                <w:sz w:val="20"/>
                <w:szCs w:val="20"/>
                <w:color w:val="auto"/>
              </w:rPr>
            </w:pPr>
            <w:r>
              <w:rPr>
                <w:rFonts w:ascii="Arial" w:cs="Arial" w:eastAsia="Arial" w:hAnsi="Arial"/>
                <w:sz w:val="18"/>
                <w:szCs w:val="18"/>
                <w:color w:val="auto"/>
              </w:rPr>
              <w:t>Chief Executive Officer and Director</w:t>
            </w:r>
          </w:p>
        </w:tc>
      </w:tr>
      <w:tr>
        <w:trPr>
          <w:trHeight w:val="230"/>
        </w:trPr>
        <w:tc>
          <w:tcPr>
            <w:tcW w:w="382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240" w:type="dxa"/>
            <w:vAlign w:val="bottom"/>
          </w:tcPr>
          <w:p>
            <w:pPr>
              <w:ind w:left="1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Principal Executive Officer</w:t>
            </w:r>
            <w:r>
              <w:rPr>
                <w:rFonts w:ascii="Arial" w:cs="Arial" w:eastAsia="Arial" w:hAnsi="Arial"/>
                <w:sz w:val="18"/>
                <w:szCs w:val="18"/>
                <w:color w:val="auto"/>
              </w:rPr>
              <w:t>)</w:t>
            </w:r>
          </w:p>
        </w:tc>
      </w:tr>
    </w:tbl>
    <w:p>
      <w:pPr>
        <w:spacing w:after="0" w:line="200" w:lineRule="exact"/>
        <w:rPr>
          <w:sz w:val="20"/>
          <w:szCs w:val="20"/>
          <w:color w:val="auto"/>
        </w:rPr>
      </w:pPr>
    </w:p>
    <w:p>
      <w:pPr>
        <w:spacing w:after="0" w:line="312" w:lineRule="exact"/>
        <w:rPr>
          <w:sz w:val="20"/>
          <w:szCs w:val="20"/>
          <w:color w:val="auto"/>
        </w:rPr>
      </w:pPr>
    </w:p>
    <w:p>
      <w:pPr>
        <w:spacing w:after="0" w:line="311" w:lineRule="auto"/>
        <w:rPr>
          <w:sz w:val="20"/>
          <w:szCs w:val="20"/>
          <w:color w:val="auto"/>
        </w:rPr>
      </w:pPr>
      <w:r>
        <w:rPr>
          <w:rFonts w:ascii="Arial" w:cs="Arial" w:eastAsia="Arial" w:hAnsi="Arial"/>
          <w:sz w:val="16"/>
          <w:szCs w:val="16"/>
          <w:color w:val="auto"/>
        </w:rPr>
        <w:t>This certification accompanies the Quarterly Report, is not deemed filed with the Securities and Exchange Commission and is not to be incorporated by reference into any filing of Datadog, Inc. under the Securities Act of 1933, as amended, or the Securities Exchange Act of 1934, as amended (whether made before or after the date of the Quarterly Report on Form 10-Q), irrespective of any general incorporation language contained in such filing.</w:t>
      </w:r>
    </w:p>
    <w:p>
      <w:pPr>
        <w:sectPr>
          <w:pgSz w:w="11900" w:h="16838" w:orient="portrait"/>
          <w:cols w:equalWidth="0" w:num="1">
            <w:col w:w="11240"/>
          </w:cols>
          <w:pgMar w:left="320" w:top="891" w:right="339" w:bottom="1440" w:gutter="0" w:footer="0" w:header="0"/>
        </w:sectPr>
      </w:pPr>
    </w:p>
    <w:bookmarkStart w:id="68" w:name="page69"/>
    <w:bookmarkEnd w:id="68"/>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I, David Obstler, certify, pursuant to 18 U.S.C. Section 1350, as adopted pursuant to Section 906 of the Sarbanes-Oxley Act of 2002, that the Quarterly Report on Form 10-Q of Datadog, Inc. for the fiscal quarter ended September 30, 2023 fully complies with the requirements of Section 13(a) or 15(d) of the Securities Exchange Act of 1934, as amended, and that information contained in such Quarterly Report on Form 10-Q fairly presents, in all material respects, the financial condition and results of operations of Datadog, Inc.</w:t>
      </w:r>
    </w:p>
    <w:p>
      <w:pPr>
        <w:spacing w:after="0" w:line="214"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3820" w:type="dxa"/>
            <w:vAlign w:val="bottom"/>
          </w:tcPr>
          <w:p>
            <w:pPr>
              <w:spacing w:after="0"/>
              <w:rPr>
                <w:sz w:val="20"/>
                <w:szCs w:val="20"/>
                <w:color w:val="auto"/>
              </w:rPr>
            </w:pPr>
            <w:r>
              <w:rPr>
                <w:rFonts w:ascii="Arial" w:cs="Arial" w:eastAsia="Arial" w:hAnsi="Arial"/>
                <w:sz w:val="18"/>
                <w:szCs w:val="18"/>
                <w:color w:val="auto"/>
              </w:rPr>
              <w:t>Date: November 7, 2023</w:t>
            </w:r>
          </w:p>
        </w:tc>
        <w:tc>
          <w:tcPr>
            <w:tcW w:w="3140" w:type="dxa"/>
            <w:vAlign w:val="bottom"/>
            <w:gridSpan w:val="2"/>
          </w:tcPr>
          <w:p>
            <w:pPr>
              <w:ind w:left="2020"/>
              <w:spacing w:after="0"/>
              <w:rPr>
                <w:sz w:val="20"/>
                <w:szCs w:val="20"/>
                <w:color w:val="auto"/>
              </w:rPr>
            </w:pPr>
            <w:r>
              <w:rPr>
                <w:rFonts w:ascii="Arial" w:cs="Arial" w:eastAsia="Arial" w:hAnsi="Arial"/>
                <w:sz w:val="18"/>
                <w:szCs w:val="18"/>
                <w:color w:val="auto"/>
              </w:rPr>
              <w:t>By:</w:t>
            </w:r>
          </w:p>
        </w:tc>
        <w:tc>
          <w:tcPr>
            <w:tcW w:w="4240" w:type="dxa"/>
            <w:vAlign w:val="bottom"/>
          </w:tcPr>
          <w:p>
            <w:pPr>
              <w:ind w:left="140"/>
              <w:spacing w:after="0"/>
              <w:rPr>
                <w:sz w:val="20"/>
                <w:szCs w:val="20"/>
                <w:color w:val="auto"/>
              </w:rPr>
            </w:pPr>
            <w:r>
              <w:rPr>
                <w:rFonts w:ascii="Arial" w:cs="Arial" w:eastAsia="Arial" w:hAnsi="Arial"/>
                <w:sz w:val="18"/>
                <w:szCs w:val="18"/>
                <w:color w:val="auto"/>
              </w:rPr>
              <w:t>/s/ David Obstler</w:t>
            </w:r>
          </w:p>
        </w:tc>
      </w:tr>
      <w:tr>
        <w:trPr>
          <w:trHeight w:val="218"/>
        </w:trPr>
        <w:tc>
          <w:tcPr>
            <w:tcW w:w="382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660" w:type="dxa"/>
            <w:vAlign w:val="bottom"/>
            <w:tcBorders>
              <w:top w:val="single" w:sz="8" w:color="auto"/>
            </w:tcBorders>
          </w:tcPr>
          <w:p>
            <w:pPr>
              <w:ind w:left="20"/>
              <w:spacing w:after="0"/>
              <w:rPr>
                <w:sz w:val="20"/>
                <w:szCs w:val="20"/>
                <w:color w:val="auto"/>
              </w:rPr>
            </w:pPr>
            <w:r>
              <w:rPr>
                <w:rFonts w:ascii="Arial" w:cs="Arial" w:eastAsia="Arial" w:hAnsi="Arial"/>
                <w:sz w:val="18"/>
                <w:szCs w:val="18"/>
                <w:b w:val="1"/>
                <w:bCs w:val="1"/>
                <w:color w:val="auto"/>
              </w:rPr>
              <w:t>Name:</w:t>
            </w:r>
          </w:p>
        </w:tc>
        <w:tc>
          <w:tcPr>
            <w:tcW w:w="4240" w:type="dxa"/>
            <w:vAlign w:val="bottom"/>
            <w:tcBorders>
              <w:top w:val="single" w:sz="8" w:color="auto"/>
            </w:tcBorders>
          </w:tcPr>
          <w:p>
            <w:pPr>
              <w:ind w:left="140"/>
              <w:spacing w:after="0"/>
              <w:rPr>
                <w:sz w:val="20"/>
                <w:szCs w:val="20"/>
                <w:color w:val="auto"/>
              </w:rPr>
            </w:pPr>
            <w:r>
              <w:rPr>
                <w:rFonts w:ascii="Arial" w:cs="Arial" w:eastAsia="Arial" w:hAnsi="Arial"/>
                <w:sz w:val="18"/>
                <w:szCs w:val="18"/>
                <w:color w:val="auto"/>
              </w:rPr>
              <w:t>David Obstler</w:t>
            </w:r>
          </w:p>
        </w:tc>
      </w:tr>
      <w:tr>
        <w:trPr>
          <w:trHeight w:val="233"/>
        </w:trPr>
        <w:tc>
          <w:tcPr>
            <w:tcW w:w="382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660" w:type="dxa"/>
            <w:vAlign w:val="bottom"/>
          </w:tcPr>
          <w:p>
            <w:pPr>
              <w:ind w:left="20"/>
              <w:spacing w:after="0"/>
              <w:rPr>
                <w:sz w:val="20"/>
                <w:szCs w:val="20"/>
                <w:color w:val="auto"/>
              </w:rPr>
            </w:pPr>
            <w:r>
              <w:rPr>
                <w:rFonts w:ascii="Arial" w:cs="Arial" w:eastAsia="Arial" w:hAnsi="Arial"/>
                <w:sz w:val="18"/>
                <w:szCs w:val="18"/>
                <w:b w:val="1"/>
                <w:bCs w:val="1"/>
                <w:color w:val="auto"/>
              </w:rPr>
              <w:t>Title:</w:t>
            </w:r>
          </w:p>
        </w:tc>
        <w:tc>
          <w:tcPr>
            <w:tcW w:w="4240" w:type="dxa"/>
            <w:vAlign w:val="bottom"/>
          </w:tcPr>
          <w:p>
            <w:pPr>
              <w:ind w:left="140"/>
              <w:spacing w:after="0"/>
              <w:rPr>
                <w:sz w:val="20"/>
                <w:szCs w:val="20"/>
                <w:color w:val="auto"/>
              </w:rPr>
            </w:pPr>
            <w:r>
              <w:rPr>
                <w:rFonts w:ascii="Arial" w:cs="Arial" w:eastAsia="Arial" w:hAnsi="Arial"/>
                <w:sz w:val="18"/>
                <w:szCs w:val="18"/>
                <w:color w:val="auto"/>
              </w:rPr>
              <w:t>Chief Financial Officer</w:t>
            </w:r>
          </w:p>
        </w:tc>
      </w:tr>
      <w:tr>
        <w:trPr>
          <w:trHeight w:val="230"/>
        </w:trPr>
        <w:tc>
          <w:tcPr>
            <w:tcW w:w="382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240" w:type="dxa"/>
            <w:vAlign w:val="bottom"/>
          </w:tcPr>
          <w:p>
            <w:pPr>
              <w:ind w:left="1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Principal Financial Officer</w:t>
            </w:r>
            <w:r>
              <w:rPr>
                <w:rFonts w:ascii="Arial" w:cs="Arial" w:eastAsia="Arial" w:hAnsi="Arial"/>
                <w:sz w:val="18"/>
                <w:szCs w:val="18"/>
                <w:color w:val="auto"/>
              </w:rPr>
              <w:t>)</w:t>
            </w:r>
          </w:p>
        </w:tc>
      </w:tr>
    </w:tbl>
    <w:p>
      <w:pPr>
        <w:spacing w:after="0" w:line="283" w:lineRule="exact"/>
        <w:rPr>
          <w:sz w:val="20"/>
          <w:szCs w:val="20"/>
          <w:color w:val="auto"/>
        </w:rPr>
      </w:pPr>
    </w:p>
    <w:p>
      <w:pPr>
        <w:spacing w:after="0" w:line="311" w:lineRule="auto"/>
        <w:rPr>
          <w:sz w:val="20"/>
          <w:szCs w:val="20"/>
          <w:color w:val="auto"/>
        </w:rPr>
      </w:pPr>
      <w:r>
        <w:rPr>
          <w:rFonts w:ascii="Arial" w:cs="Arial" w:eastAsia="Arial" w:hAnsi="Arial"/>
          <w:sz w:val="16"/>
          <w:szCs w:val="16"/>
          <w:color w:val="auto"/>
        </w:rPr>
        <w:t>This certification accompanies the Quarterly Report, is not deemed filed with the Securities and Exchange Commission and is not to be incorporated by reference into any filing of Datadog, Inc. under the Securities Act of 1933, as amended, or the Securities Exchange Act of 1934, as amended (whether made before or after the date of the Quarterly Report on Form 10-Q), irrespective of any general incorporation language contained in such filing.</w:t>
      </w:r>
    </w:p>
    <w:sectPr>
      <w:pgSz w:w="11900" w:h="16838" w:orient="portrait"/>
      <w:cols w:equalWidth="0" w:num="1">
        <w:col w:w="11240"/>
      </w:cols>
      <w:pgMar w:left="320" w:top="89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DED7263"/>
    <w:multiLevelType w:val="hybridMultilevel"/>
    <w:lvl w:ilvl="0">
      <w:lvlJc w:val="left"/>
      <w:lvlText w:val="☒"/>
      <w:numFmt w:val="bullet"/>
      <w:start w:val="1"/>
    </w:lvl>
  </w:abstractNum>
  <w:abstractNum w:abstractNumId="1">
    <w:nsid w:val="7FDCC233"/>
    <w:multiLevelType w:val="hybridMultilevel"/>
    <w:lvl w:ilvl="0">
      <w:lvlJc w:val="left"/>
      <w:lvlText w:val="☐"/>
      <w:numFmt w:val="bullet"/>
      <w:start w:val="1"/>
    </w:lvl>
  </w:abstractNum>
  <w:abstractNum w:abstractNumId="2">
    <w:nsid w:val="1BEFD79F"/>
    <w:multiLevelType w:val="hybridMultilevel"/>
    <w:lvl w:ilvl="0">
      <w:lvlJc w:val="left"/>
      <w:lvlText w:val="•"/>
      <w:numFmt w:val="bullet"/>
      <w:start w:val="1"/>
    </w:lvl>
  </w:abstractNum>
  <w:abstractNum w:abstractNumId="3">
    <w:nsid w:val="41A7C4C9"/>
    <w:multiLevelType w:val="hybridMultilevel"/>
    <w:lvl w:ilvl="0">
      <w:lvlJc w:val="left"/>
      <w:lvlText w:val="(%1)"/>
      <w:numFmt w:val="decimal"/>
      <w:start w:val="1"/>
    </w:lvl>
  </w:abstractNum>
  <w:abstractNum w:abstractNumId="4">
    <w:nsid w:val="6B68079A"/>
    <w:multiLevelType w:val="hybridMultilevel"/>
    <w:lvl w:ilvl="0">
      <w:lvlJc w:val="left"/>
      <w:lvlText w:val="(%1)"/>
      <w:numFmt w:val="decimal"/>
      <w:start w:val="4"/>
    </w:lvl>
  </w:abstractNum>
  <w:abstractNum w:abstractNumId="5">
    <w:nsid w:val="4E6AFB66"/>
    <w:multiLevelType w:val="hybridMultilevel"/>
    <w:lvl w:ilvl="0">
      <w:lvlJc w:val="left"/>
      <w:lvlText w:val="%1)"/>
      <w:numFmt w:val="decimal"/>
      <w:start w:val="1"/>
    </w:lvl>
  </w:abstractNum>
  <w:abstractNum w:abstractNumId="6">
    <w:nsid w:val="25E45D32"/>
    <w:multiLevelType w:val="hybridMultilevel"/>
    <w:lvl w:ilvl="0">
      <w:lvlJc w:val="left"/>
      <w:lvlText w:val="%1)"/>
      <w:numFmt w:val="decimal"/>
      <w:start w:val="1"/>
    </w:lvl>
  </w:abstractNum>
  <w:abstractNum w:abstractNumId="7">
    <w:nsid w:val="519B500D"/>
    <w:multiLevelType w:val="hybridMultilevel"/>
    <w:lvl w:ilvl="0">
      <w:lvlJc w:val="left"/>
      <w:lvlText w:val="(%1)"/>
      <w:numFmt w:val="decimal"/>
      <w:start w:val="2"/>
    </w:lvl>
  </w:abstractNum>
  <w:abstractNum w:abstractNumId="8">
    <w:nsid w:val="431BD7B7"/>
    <w:multiLevelType w:val="hybridMultilevel"/>
    <w:lvl w:ilvl="0">
      <w:lvlJc w:val="left"/>
      <w:lvlText w:val="(%1)"/>
      <w:numFmt w:val="decimal"/>
      <w:start w:val="1"/>
    </w:lvl>
  </w:abstractNum>
  <w:abstractNum w:abstractNumId="9">
    <w:nsid w:val="3F2DBA31"/>
    <w:multiLevelType w:val="hybridMultilevel"/>
    <w:lvl w:ilvl="0">
      <w:lvlJc w:val="left"/>
      <w:lvlText w:val="•"/>
      <w:numFmt w:val="bullet"/>
      <w:start w:val="1"/>
    </w:lvl>
  </w:abstractNum>
  <w:abstractNum w:abstractNumId="10">
    <w:nsid w:val="7C83E458"/>
    <w:multiLevelType w:val="hybridMultilevel"/>
    <w:lvl w:ilvl="0">
      <w:lvlJc w:val="left"/>
      <w:lvlText w:val="•"/>
      <w:numFmt w:val="bullet"/>
      <w:start w:val="1"/>
    </w:lvl>
  </w:abstractNum>
  <w:abstractNum w:abstractNumId="11">
    <w:nsid w:val="257130A3"/>
    <w:multiLevelType w:val="hybridMultilevel"/>
    <w:lvl w:ilvl="0">
      <w:lvlJc w:val="left"/>
      <w:lvlText w:val="•"/>
      <w:numFmt w:val="bullet"/>
      <w:start w:val="1"/>
    </w:lvl>
  </w:abstractNum>
  <w:abstractNum w:abstractNumId="12">
    <w:nsid w:val="62BBD95A"/>
    <w:multiLevelType w:val="hybridMultilevel"/>
    <w:lvl w:ilvl="0">
      <w:lvlJc w:val="left"/>
      <w:lvlText w:val="•"/>
      <w:numFmt w:val="bullet"/>
      <w:start w:val="1"/>
    </w:lvl>
  </w:abstractNum>
  <w:abstractNum w:abstractNumId="13">
    <w:nsid w:val="436C6125"/>
    <w:multiLevelType w:val="hybridMultilevel"/>
    <w:lvl w:ilvl="0">
      <w:lvlJc w:val="left"/>
      <w:lvlText w:val="•"/>
      <w:numFmt w:val="bullet"/>
      <w:start w:val="1"/>
    </w:lvl>
  </w:abstractNum>
  <w:abstractNum w:abstractNumId="14">
    <w:nsid w:val="628C895D"/>
    <w:multiLevelType w:val="hybridMultilevel"/>
    <w:lvl w:ilvl="0">
      <w:lvlJc w:val="left"/>
      <w:lvlText w:val="•"/>
      <w:numFmt w:val="bullet"/>
      <w:start w:val="1"/>
    </w:lvl>
  </w:abstractNum>
  <w:abstractNum w:abstractNumId="15">
    <w:nsid w:val="333AB105"/>
    <w:multiLevelType w:val="hybridMultilevel"/>
    <w:lvl w:ilvl="0">
      <w:lvlJc w:val="left"/>
      <w:lvlText w:val="•"/>
      <w:numFmt w:val="bullet"/>
      <w:start w:val="1"/>
    </w:lvl>
  </w:abstractNum>
  <w:abstractNum w:abstractNumId="16">
    <w:nsid w:val="721DA317"/>
    <w:multiLevelType w:val="hybridMultilevel"/>
    <w:lvl w:ilvl="0">
      <w:lvlJc w:val="left"/>
      <w:lvlText w:val="•"/>
      <w:numFmt w:val="bullet"/>
      <w:start w:val="1"/>
    </w:lvl>
  </w:abstractNum>
  <w:abstractNum w:abstractNumId="17">
    <w:nsid w:val="2443A858"/>
    <w:multiLevelType w:val="hybridMultilevel"/>
    <w:lvl w:ilvl="0">
      <w:lvlJc w:val="left"/>
      <w:lvlText w:val="•"/>
      <w:numFmt w:val="bullet"/>
      <w:start w:val="1"/>
    </w:lvl>
  </w:abstractNum>
  <w:abstractNum w:abstractNumId="18">
    <w:nsid w:val="2D1D5AE9"/>
    <w:multiLevelType w:val="hybridMultilevel"/>
    <w:lvl w:ilvl="0">
      <w:lvlJc w:val="left"/>
      <w:lvlText w:val="•"/>
      <w:numFmt w:val="bullet"/>
      <w:start w:val="1"/>
    </w:lvl>
  </w:abstractNum>
  <w:abstractNum w:abstractNumId="19">
    <w:nsid w:val="6763845E"/>
    <w:multiLevelType w:val="hybridMultilevel"/>
    <w:lvl w:ilvl="0">
      <w:lvlJc w:val="left"/>
      <w:lvlText w:val="•"/>
      <w:numFmt w:val="bullet"/>
      <w:start w:val="1"/>
    </w:lvl>
  </w:abstractNum>
  <w:abstractNum w:abstractNumId="20">
    <w:nsid w:val="75A2A8D4"/>
    <w:multiLevelType w:val="hybridMultilevel"/>
    <w:lvl w:ilvl="0">
      <w:lvlJc w:val="left"/>
      <w:lvlText w:val="•"/>
      <w:numFmt w:val="bullet"/>
      <w:start w:val="1"/>
    </w:lvl>
  </w:abstractNum>
  <w:abstractNum w:abstractNumId="21">
    <w:nsid w:val="8EDBDAB"/>
    <w:multiLevelType w:val="hybridMultilevel"/>
    <w:lvl w:ilvl="0">
      <w:lvlJc w:val="left"/>
      <w:lvlText w:val="•"/>
      <w:numFmt w:val="bullet"/>
      <w:start w:val="1"/>
    </w:lvl>
  </w:abstractNum>
  <w:abstractNum w:abstractNumId="22">
    <w:nsid w:val="79838CB2"/>
    <w:multiLevelType w:val="hybridMultilevel"/>
    <w:lvl w:ilvl="0">
      <w:lvlJc w:val="left"/>
      <w:lvlText w:val="(%1)"/>
      <w:numFmt w:val="lowerLetter"/>
      <w:start w:val="1"/>
    </w:lvl>
  </w:abstractNum>
  <w:abstractNum w:abstractNumId="23">
    <w:nsid w:val="4353D0CD"/>
    <w:multiLevelType w:val="hybridMultilevel"/>
    <w:lvl w:ilvl="0">
      <w:lvlJc w:val="left"/>
      <w:lvlText w:val="(%1)"/>
      <w:numFmt w:val="decimal"/>
      <w:start w:val="1"/>
    </w:lvl>
  </w:abstractNum>
  <w:abstractNum w:abstractNumId="24">
    <w:nsid w:val="B03E0C6"/>
    <w:multiLevelType w:val="hybridMultilevel"/>
    <w:lvl w:ilvl="0">
      <w:lvlJc w:val="left"/>
      <w:lvlText w:val="*"/>
      <w:numFmt w:val="bullet"/>
      <w:start w:val="1"/>
    </w:lvl>
  </w:abstractNum>
  <w:abstractNum w:abstractNumId="25">
    <w:nsid w:val="189A769B"/>
    <w:multiLevelType w:val="hybridMultilevel"/>
    <w:lvl w:ilvl="0">
      <w:lvlJc w:val="left"/>
      <w:lvlText w:val="%1."/>
      <w:numFmt w:val="decimal"/>
      <w:start w:val="1"/>
    </w:lvl>
    <w:lvl w:ilvl="1">
      <w:lvlJc w:val="left"/>
      <w:lvlText w:val="%2)"/>
      <w:numFmt w:val="lowerLetter"/>
      <w:start w:val="1"/>
    </w:lvl>
  </w:abstractNum>
  <w:abstractNum w:abstractNumId="26">
    <w:nsid w:val="54E49EB4"/>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5" Type="http://schemas.openxmlformats.org/officeDocument/2006/relationships/image" Target="media/image76.png"/><Relationship Id="rId86" Type="http://schemas.openxmlformats.org/officeDocument/2006/relationships/image" Target="media/image77.png"/><Relationship Id="rId83" Type="http://schemas.openxmlformats.org/officeDocument/2006/relationships/hyperlink" Target="https://www.sec.gov/Archives/edgar/data/0001561550/000119312519252279/d803834dex31.htm" TargetMode="External"/><Relationship Id="rId84" Type="http://schemas.openxmlformats.org/officeDocument/2006/relationships/hyperlink" Target="https://www.sec.gov/Archives/edgar/data/1561550/000156155023000039/exhibit32-amendedandrestat.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2023-11-07T15:56:58Z</dcterms:created>
  <dcterms:modified xsi:type="dcterms:W3CDTF">2023-11-07T15:56:58Z</dcterms:modified>
</cp:coreProperties>
</file>