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868680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894715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52" w:lineRule="exact"/>
        <w:rPr>
          <w:sz w:val="24"/>
          <w:szCs w:val="24"/>
          <w:color w:val="auto"/>
        </w:rPr>
      </w:pPr>
    </w:p>
    <w:p>
      <w:pPr>
        <w:ind w:left="420" w:hanging="394"/>
        <w:spacing w:after="0"/>
        <w:tabs>
          <w:tab w:leader="none" w:pos="4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58" w:lineRule="exact"/>
        <w:rPr>
          <w:sz w:val="24"/>
          <w:szCs w:val="24"/>
          <w:color w:val="auto"/>
        </w:rPr>
      </w:pPr>
    </w:p>
    <w:p>
      <w:pPr>
        <w:ind w:left="420" w:hanging="394"/>
        <w:spacing w:after="0"/>
        <w:tabs>
          <w:tab w:leader="none" w:pos="42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223" w:lineRule="exact"/>
        <w:rPr>
          <w:sz w:val="24"/>
          <w:szCs w:val="24"/>
          <w:color w:val="auto"/>
        </w:rPr>
      </w:pPr>
    </w:p>
    <w:p>
      <w:pPr>
        <w:ind w:left="38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3933825</wp:posOffset>
            </wp:positionH>
            <wp:positionV relativeFrom="paragraph">
              <wp:posOffset>-5080</wp:posOffset>
            </wp:positionV>
            <wp:extent cx="7804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0415" cy="8890"/>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001-39051</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Datadog,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1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ectPr>
          <w:pgSz w:w="11900" w:h="16838" w:orient="portrait"/>
          <w:cols w:equalWidth="0" w:num="1">
            <w:col w:w="11260"/>
          </w:cols>
          <w:pgMar w:left="320" w:top="1440" w:right="319" w:bottom="1440" w:gutter="0" w:footer="0" w:header="0"/>
        </w:sectPr>
      </w:pPr>
    </w:p>
    <w:p>
      <w:pPr>
        <w:spacing w:after="0" w:line="145" w:lineRule="exact"/>
        <w:rPr>
          <w:sz w:val="24"/>
          <w:szCs w:val="24"/>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Nevada</w:t>
      </w:r>
    </w:p>
    <w:p>
      <w:pPr>
        <w:spacing w:after="0" w:line="20" w:lineRule="exact"/>
        <w:rPr>
          <w:sz w:val="24"/>
          <w:szCs w:val="24"/>
          <w:color w:val="auto"/>
        </w:rPr>
      </w:pPr>
      <w:r>
        <w:rPr>
          <w:sz w:val="24"/>
          <w:szCs w:val="24"/>
          <w:color w:val="auto"/>
        </w:rPr>
        <w:br w:type="column"/>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27-2825503</w:t>
      </w:r>
    </w:p>
    <w:p>
      <w:pPr>
        <w:spacing w:after="0" w:line="61" w:lineRule="exact"/>
        <w:rPr>
          <w:sz w:val="24"/>
          <w:szCs w:val="24"/>
          <w:color w:val="auto"/>
        </w:rPr>
      </w:pPr>
    </w:p>
    <w:p>
      <w:pPr>
        <w:sectPr>
          <w:pgSz w:w="11900" w:h="16838" w:orient="portrait"/>
          <w:cols w:equalWidth="0" w:num="2">
            <w:col w:w="7880" w:space="720"/>
            <w:col w:w="2660"/>
          </w:cols>
          <w:pgMar w:left="320" w:top="1440" w:right="319" w:bottom="1440" w:gutter="0" w:footer="0" w:header="0"/>
          <w:type w:val="continuous"/>
        </w:sectPr>
      </w:pPr>
    </w:p>
    <w:p>
      <w:pPr>
        <w:ind w:left="190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spacing w:after="0" w:line="19" w:lineRule="exact"/>
        <w:rPr>
          <w:sz w:val="24"/>
          <w:szCs w:val="24"/>
          <w:color w:val="auto"/>
        </w:rPr>
      </w:pPr>
    </w:p>
    <w:p>
      <w:pPr>
        <w:ind w:left="18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66" w:lineRule="exact"/>
        <w:rPr>
          <w:sz w:val="24"/>
          <w:szCs w:val="24"/>
          <w:color w:val="auto"/>
        </w:rPr>
      </w:pPr>
    </w:p>
    <w:p>
      <w:pPr>
        <w:sectPr>
          <w:pgSz w:w="11900" w:h="16838" w:orient="portrait"/>
          <w:cols w:equalWidth="0" w:num="2">
            <w:col w:w="7760" w:space="720"/>
            <w:col w:w="2780"/>
          </w:cols>
          <w:pgMar w:left="320" w:top="1440" w:right="319" w:bottom="1440" w:gutter="0" w:footer="0" w:header="0"/>
          <w:type w:val="continuous"/>
        </w:sectPr>
      </w:pPr>
    </w:p>
    <w:p>
      <w:pPr>
        <w:ind w:left="4580"/>
        <w:spacing w:after="0"/>
        <w:rPr>
          <w:sz w:val="20"/>
          <w:szCs w:val="20"/>
          <w:color w:val="auto"/>
        </w:rPr>
      </w:pPr>
      <w:r>
        <w:rPr>
          <w:rFonts w:ascii="Times New Roman" w:cs="Times New Roman" w:eastAsia="Times New Roman" w:hAnsi="Times New Roman"/>
          <w:sz w:val="18"/>
          <w:szCs w:val="18"/>
          <w:b w:val="1"/>
          <w:bCs w:val="1"/>
          <w:color w:val="auto"/>
        </w:rPr>
        <w:t>620 8th Avenue, 45th Floor</w:t>
      </w:r>
    </w:p>
    <w:p>
      <w:pPr>
        <w:spacing w:after="0" w:line="63" w:lineRule="exact"/>
        <w:rPr>
          <w:sz w:val="24"/>
          <w:szCs w:val="24"/>
          <w:color w:val="auto"/>
        </w:rPr>
      </w:pPr>
    </w:p>
    <w:p>
      <w:pPr>
        <w:ind w:left="4560"/>
        <w:spacing w:after="0"/>
        <w:rPr>
          <w:sz w:val="20"/>
          <w:szCs w:val="20"/>
          <w:color w:val="auto"/>
        </w:rPr>
      </w:pPr>
      <w:r>
        <w:rPr>
          <w:rFonts w:ascii="Times New Roman" w:cs="Times New Roman" w:eastAsia="Times New Roman" w:hAnsi="Times New Roman"/>
          <w:sz w:val="18"/>
          <w:szCs w:val="18"/>
          <w:b w:val="1"/>
          <w:bCs w:val="1"/>
          <w:color w:val="auto"/>
        </w:rPr>
        <w:t>New York, New York 10018</w:t>
      </w:r>
    </w:p>
    <w:p>
      <w:pPr>
        <w:spacing w:after="0" w:line="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ectPr>
          <w:pgSz w:w="11900" w:h="16838" w:orient="portrait"/>
          <w:cols w:equalWidth="0" w:num="1">
            <w:col w:w="11260"/>
          </w:cols>
          <w:pgMar w:left="320" w:top="1440" w:right="319" w:bottom="1440" w:gutter="0" w:footer="0" w:header="0"/>
          <w:type w:val="continuous"/>
        </w:sectPr>
      </w:pPr>
    </w:p>
    <w:p>
      <w:pPr>
        <w:spacing w:after="0" w:line="21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(866) 329-4466</w:t>
      </w:r>
    </w:p>
    <w:p>
      <w:pPr>
        <w:spacing w:after="0" w:line="31"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w:t>
      </w:r>
    </w:p>
    <w:p>
      <w:pPr>
        <w:spacing w:after="0" w:line="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06"/>
        </w:trPr>
        <w:tc>
          <w:tcPr>
            <w:tcW w:w="37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37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Class A common stock, par value $0.00001 per share</w:t>
            </w:r>
          </w:p>
        </w:tc>
        <w:tc>
          <w:tcPr>
            <w:tcW w:w="3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DDOG</w:t>
            </w:r>
          </w:p>
        </w:tc>
        <w:tc>
          <w:tcPr>
            <w:tcW w:w="3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c>
          <w:tcPr>
            <w:tcW w:w="0" w:type="dxa"/>
            <w:vAlign w:val="bottom"/>
          </w:tcPr>
          <w:p>
            <w:pPr>
              <w:spacing w:after="0"/>
              <w:rPr>
                <w:sz w:val="1"/>
                <w:szCs w:val="1"/>
                <w:color w:val="auto"/>
              </w:rPr>
            </w:pPr>
          </w:p>
        </w:tc>
      </w:tr>
      <w:tr>
        <w:trPr>
          <w:trHeight w:val="108"/>
        </w:trPr>
        <w:tc>
          <w:tcPr>
            <w:tcW w:w="3760" w:type="dxa"/>
            <w:vAlign w:val="bottom"/>
            <w:tcBorders>
              <w:left w:val="single" w:sz="8" w:color="auto"/>
              <w:right w:val="single" w:sz="8" w:color="auto"/>
            </w:tcBorders>
            <w:vMerge w:val="continue"/>
          </w:tcPr>
          <w:p>
            <w:pPr>
              <w:spacing w:after="0"/>
              <w:rPr>
                <w:sz w:val="9"/>
                <w:szCs w:val="9"/>
                <w:color w:val="auto"/>
              </w:rPr>
            </w:pPr>
          </w:p>
        </w:tc>
        <w:tc>
          <w:tcPr>
            <w:tcW w:w="3740" w:type="dxa"/>
            <w:vAlign w:val="bottom"/>
            <w:tcBorders>
              <w:right w:val="single" w:sz="8" w:color="auto"/>
            </w:tcBorders>
            <w:vMerge w:val="continue"/>
          </w:tcPr>
          <w:p>
            <w:pPr>
              <w:spacing w:after="0"/>
              <w:rPr>
                <w:sz w:val="9"/>
                <w:szCs w:val="9"/>
                <w:color w:val="auto"/>
              </w:rPr>
            </w:pPr>
          </w:p>
        </w:tc>
        <w:tc>
          <w:tcPr>
            <w:tcW w:w="37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(Nasdaq Global Select Market)</w:t>
            </w:r>
          </w:p>
        </w:tc>
        <w:tc>
          <w:tcPr>
            <w:tcW w:w="0" w:type="dxa"/>
            <w:vAlign w:val="bottom"/>
          </w:tcPr>
          <w:p>
            <w:pPr>
              <w:spacing w:after="0"/>
              <w:rPr>
                <w:sz w:val="1"/>
                <w:szCs w:val="1"/>
                <w:color w:val="auto"/>
              </w:rPr>
            </w:pPr>
          </w:p>
        </w:tc>
      </w:tr>
      <w:tr>
        <w:trPr>
          <w:trHeight w:val="122"/>
        </w:trPr>
        <w:tc>
          <w:tcPr>
            <w:tcW w:w="3760" w:type="dxa"/>
            <w:vAlign w:val="bottom"/>
            <w:tcBorders>
              <w:left w:val="single" w:sz="8" w:color="auto"/>
              <w:right w:val="single" w:sz="8" w:color="auto"/>
            </w:tcBorders>
          </w:tcPr>
          <w:p>
            <w:pPr>
              <w:spacing w:after="0"/>
              <w:rPr>
                <w:sz w:val="10"/>
                <w:szCs w:val="10"/>
                <w:color w:val="auto"/>
              </w:rPr>
            </w:pPr>
          </w:p>
        </w:tc>
        <w:tc>
          <w:tcPr>
            <w:tcW w:w="3740" w:type="dxa"/>
            <w:vAlign w:val="bottom"/>
            <w:tcBorders>
              <w:right w:val="single" w:sz="8" w:color="auto"/>
            </w:tcBorders>
          </w:tcPr>
          <w:p>
            <w:pPr>
              <w:spacing w:after="0"/>
              <w:rPr>
                <w:sz w:val="10"/>
                <w:szCs w:val="10"/>
                <w:color w:val="auto"/>
              </w:rPr>
            </w:pPr>
          </w:p>
        </w:tc>
        <w:tc>
          <w:tcPr>
            <w:tcW w:w="37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760" w:type="dxa"/>
            <w:vAlign w:val="bottom"/>
            <w:tcBorders>
              <w:left w:val="single" w:sz="8" w:color="auto"/>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376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171" w:lineRule="exact"/>
        <w:rPr>
          <w:sz w:val="24"/>
          <w:szCs w:val="24"/>
          <w:color w:val="auto"/>
        </w:rPr>
      </w:pPr>
    </w:p>
    <w:p>
      <w:pPr>
        <w:ind w:right="3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4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5" w:lineRule="exact"/>
        <w:rPr>
          <w:sz w:val="24"/>
          <w:szCs w:val="24"/>
          <w:color w:val="auto"/>
        </w:rPr>
      </w:pPr>
    </w:p>
    <w:tbl>
      <w:tblPr>
        <w:tblLayout w:type="fixed"/>
        <w:tblInd w:w="20" w:type="dxa"/>
        <w:tblCellMar>
          <w:top w:w="0" w:type="dxa"/>
          <w:left w:w="0" w:type="dxa"/>
          <w:bottom w:w="0" w:type="dxa"/>
          <w:right w:w="0" w:type="dxa"/>
        </w:tblCellMar>
      </w:tblPr>
      <w:tr>
        <w:trPr>
          <w:trHeight w:val="357"/>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Accelerated filer</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080" w:type="dxa"/>
            <w:vAlign w:val="bottom"/>
          </w:tcPr>
          <w:p>
            <w:pPr>
              <w:ind w:left="9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280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52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pacing w:after="0" w:line="170" w:lineRule="exact"/>
        <w:rPr>
          <w:sz w:val="24"/>
          <w:szCs w:val="24"/>
          <w:color w:val="auto"/>
        </w:rPr>
      </w:pPr>
    </w:p>
    <w:p>
      <w:pPr>
        <w:ind w:right="1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April 30, 2026, there were 330,825,798 shares of the registrant’s Class A common stock and 25,134,391 shares of the registrant’s Class B common stock, each with a par value of $0.00001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701675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71120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1151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80" w:type="dxa"/>
            <w:vAlign w:val="bottom"/>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10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1200" w:type="dxa"/>
            <w:vAlign w:val="bottom"/>
            <w:gridSpan w:val="2"/>
            <w:vMerge w:val="continue"/>
          </w:tcPr>
          <w:p>
            <w:pPr>
              <w:spacing w:after="0"/>
              <w:rPr>
                <w:sz w:val="15"/>
                <w:szCs w:val="15"/>
                <w:color w:val="auto"/>
              </w:rPr>
            </w:pPr>
          </w:p>
        </w:tc>
        <w:tc>
          <w:tcPr>
            <w:tcW w:w="9100" w:type="dxa"/>
            <w:vAlign w:val="bottom"/>
            <w:gridSpan w:val="20"/>
            <w:vMerge w:val="continue"/>
          </w:tcPr>
          <w:p>
            <w:pPr>
              <w:spacing w:after="0"/>
              <w:rPr>
                <w:sz w:val="15"/>
                <w:szCs w:val="15"/>
                <w:color w:val="auto"/>
              </w:rPr>
            </w:pPr>
          </w:p>
        </w:tc>
        <w:tc>
          <w:tcPr>
            <w:tcW w:w="8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63"/>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740" w:type="dxa"/>
            <w:vAlign w:val="bottom"/>
            <w:tcBorders>
              <w:top w:val="single" w:sz="8" w:color="0000FF"/>
            </w:tcBorders>
            <w:gridSpan w:val="3"/>
          </w:tcPr>
          <w:p>
            <w:pPr>
              <w:spacing w:after="0"/>
              <w:rPr>
                <w:sz w:val="22"/>
                <w:szCs w:val="22"/>
                <w:color w:val="auto"/>
              </w:rPr>
            </w:pPr>
          </w:p>
        </w:tc>
        <w:tc>
          <w:tcPr>
            <w:tcW w:w="6860" w:type="dxa"/>
            <w:vAlign w:val="bottom"/>
            <w:gridSpan w:val="11"/>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and December 31, 2025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Months Ended March 31, 2026 and 2025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190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Income for the Three Months Ended March 31, 2026 and 2025</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56"/>
        </w:trPr>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560" w:type="dxa"/>
            <w:vAlign w:val="bottom"/>
            <w:tcBorders>
              <w:top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(unaudited)</w:t>
            </w:r>
          </w:p>
        </w:tc>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Months Ended March 31, 2026 and 2025</w:t>
            </w: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360" w:type="dxa"/>
            <w:vAlign w:val="bottom"/>
            <w:tcBorders>
              <w:top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(unaudited)</w:t>
            </w:r>
          </w:p>
        </w:tc>
        <w:tc>
          <w:tcPr>
            <w:tcW w:w="740" w:type="dxa"/>
            <w:vAlign w:val="bottom"/>
            <w:gridSpan w:val="4"/>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5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Three Months Ended March 31, 2026 and 2025 (unaudited)</w:t>
            </w: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50"/>
        </w:trPr>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640" w:type="dxa"/>
            <w:vAlign w:val="bottom"/>
            <w:gridSpan w:val="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640" w:type="dxa"/>
            <w:vAlign w:val="bottom"/>
            <w:gridSpan w:val="6"/>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740" w:type="dxa"/>
            <w:vAlign w:val="bottom"/>
            <w:gridSpan w:val="8"/>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200" w:type="dxa"/>
            <w:vAlign w:val="bottom"/>
            <w:gridSpan w:val="2"/>
            <w:vMerge w:val="continue"/>
          </w:tcPr>
          <w:p>
            <w:pPr>
              <w:spacing w:after="0"/>
              <w:rPr>
                <w:sz w:val="24"/>
                <w:szCs w:val="24"/>
                <w:color w:val="auto"/>
              </w:rPr>
            </w:pPr>
          </w:p>
        </w:tc>
        <w:tc>
          <w:tcPr>
            <w:tcW w:w="18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220" w:type="dxa"/>
            <w:vAlign w:val="bottom"/>
            <w:gridSpan w:val="12"/>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FF"/>
            </w:tcBorders>
            <w:gridSpan w:val="2"/>
          </w:tcPr>
          <w:p>
            <w:pPr>
              <w:spacing w:after="0"/>
              <w:rPr>
                <w:sz w:val="21"/>
                <w:szCs w:val="21"/>
                <w:color w:val="auto"/>
              </w:rPr>
            </w:pPr>
          </w:p>
        </w:tc>
        <w:tc>
          <w:tcPr>
            <w:tcW w:w="7780" w:type="dxa"/>
            <w:vAlign w:val="bottom"/>
            <w:gridSpan w:val="15"/>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Unregistered Sales of Equity Securities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500" w:type="dxa"/>
            <w:vAlign w:val="bottom"/>
            <w:tcBorders>
              <w:top w:val="single" w:sz="8" w:color="0000FF"/>
            </w:tcBorders>
          </w:tcPr>
          <w:p>
            <w:pPr>
              <w:spacing w:after="0"/>
              <w:rPr>
                <w:sz w:val="21"/>
                <w:szCs w:val="21"/>
                <w:color w:val="auto"/>
              </w:rPr>
            </w:pPr>
          </w:p>
        </w:tc>
        <w:tc>
          <w:tcPr>
            <w:tcW w:w="6280" w:type="dxa"/>
            <w:vAlign w:val="bottom"/>
            <w:gridSpan w:val="9"/>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10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340" w:type="dxa"/>
            <w:vAlign w:val="bottom"/>
            <w:gridSpan w:val="13"/>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0" w:type="dxa"/>
            <w:vAlign w:val="bottom"/>
            <w:gridSpan w:val="16"/>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50"/>
        </w:trPr>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
        </w:trPr>
        <w:tc>
          <w:tcPr>
            <w:tcW w:w="7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40" w:top="108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about us and our industry that involve substantial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These forward-looking statements include, but are not limited to, statements concerning the following:</w:t>
      </w:r>
    </w:p>
    <w:p>
      <w:pPr>
        <w:spacing w:after="0" w:line="79" w:lineRule="exact"/>
        <w:rPr>
          <w:sz w:val="20"/>
          <w:szCs w:val="20"/>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revenue, expenses and other operating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new customers and successfully retain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increase usage of our platform and upsell and cross sell additional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our profitability;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investments in our business, our anticipated capital expenditures and our estimates regarding our capital requirements;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success of our sales and marketing efforts, and our ability to promote our brand;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key personnel and our ability to identify, recruit and retain skilled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growth, including any international expansion;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and any costs associated therewith;</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effectively with existing competitors and new market entrants;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rates of the markets in which we compete; and</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general market, political, economic, and business conditions in our industry, or reductions in information technology spending, on our business, results of operations and financial condition.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You should not rely on forward-looking statements as predictions of future events. The outcome of the events described in these forward-looking statements is subject to risks, uncertainties and other factors described under the header “Risk Factors” and elsewhere in this Quarterly Report on Form 10-Q. Moreover, we operate in a very competitive and rapidly changing environment. New risks and uncertainties emerge from time to time, and it is not possible for us to predict all risks and uncertainties that could have an impact on the forward-looking statements contained herein. The results, events and circumstances reflected in the forward-looking statements may not be achieved or occur, and actual results, events or circumstances could differ materially from those described in the forward-looking statements.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forward-looking statements made in this Quarterly Report on Form 10-Q relate only to events as of the date on which the statements are made, and we undertake no obligation to update them to reflect events or circumstances after the date of this Quarterly Report on Form 10-Q or to reflect new information or the occurrence of unanticipated events, except as required by law.</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Unless the context otherwise indicates, references in this report to the terms “Datadog”, “the Company,” “we,” “our” and “us” refer to Datadog, Inc. and its subsidiaries. “Datadog” and other trade names and trademarks of ours appearing in this report are our property. This report contains trade names and trademarks of other companies, which are the property of their respective owners. We do not intend our use or display of other companies’ trade names or trademarks to imply an endorsement or sponsorship of us by such companies, or any relationship with any of these companies.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may announce material business and financial information to our investors using our investor relations website (www.investors.datadoghq.com). We therefore encourage investors and others interested in Datadog to review the information that we make available on our website, in addition to following our filings with the Securities and Exchange Commission, or the SEC, webcasts, press releases and conference calls.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5"/>
                <w:szCs w:val="15"/>
                <w:color w:val="auto"/>
              </w:rPr>
            </w:pPr>
          </w:p>
        </w:tc>
        <w:tc>
          <w:tcPr>
            <w:tcW w:w="114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8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426,360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401,305</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4,332,257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4,073,531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$21,188 and $19,292 as of March 31, 2026 and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680,434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741,262</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contract costs, 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81,687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76,022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90,160</w:t>
            </w:r>
          </w:p>
        </w:tc>
        <w:tc>
          <w:tcPr>
            <w:tcW w:w="0" w:type="dxa"/>
            <w:vAlign w:val="bottom"/>
          </w:tcPr>
          <w:p>
            <w:pPr>
              <w:spacing w:after="0"/>
              <w:rPr>
                <w:sz w:val="1"/>
                <w:szCs w:val="1"/>
                <w:color w:val="auto"/>
              </w:rPr>
            </w:pPr>
          </w:p>
        </w:tc>
      </w:tr>
      <w:tr>
        <w:trPr>
          <w:trHeight w:val="237"/>
        </w:trPr>
        <w:tc>
          <w:tcPr>
            <w:tcW w:w="8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5,625,206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5,382,280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338,093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assets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214,674</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540,543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530,568</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contract costs,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136,264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126,708</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36,553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6,952,012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6,643,844</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4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174,801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208,549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209,595</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39,369</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1,193,646</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1,655,903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1,591,401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259,155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256,187</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Convertible senior notes, net, non-current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984,496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983,449</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68,711</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11,890</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2,963,790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2,911,638</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9)</w:t>
            </w: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common stock, $0.00001 par value per share; 2,000,000,000 shares authorized as of March 31, 2026 and</w:t>
            </w:r>
          </w:p>
        </w:tc>
        <w:tc>
          <w:tcPr>
            <w:tcW w:w="2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330,573,793 and 328,117,781 shares issued and outstanding as of March 31, 2026 and</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common stock, $0.00001 par value per share; 310,000,000 shares authorized as of March 31, 2026 and</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25,271,775 and 24,408,190 shares issued and outstanding as of March 31, 2026 and</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8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3,801,272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3,579,010</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137,789</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48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3,988,222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3,732,206</w:t>
            </w:r>
          </w:p>
        </w:tc>
        <w:tc>
          <w:tcPr>
            <w:tcW w:w="0" w:type="dxa"/>
            <w:vAlign w:val="bottom"/>
          </w:tcPr>
          <w:p>
            <w:pPr>
              <w:spacing w:after="0"/>
              <w:rPr>
                <w:sz w:val="1"/>
                <w:szCs w:val="1"/>
                <w:color w:val="auto"/>
              </w:rPr>
            </w:pPr>
          </w:p>
        </w:tc>
      </w:tr>
      <w:tr>
        <w:trPr>
          <w:trHeight w:val="26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6,952,012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6,643,844</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240"/>
          </w:cols>
          <w:pgMar w:left="320" w:top="1089" w:right="339" w:bottom="956"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956" w:gutter="0" w:footer="0" w:header="0"/>
          <w:type w:val="continuous"/>
        </w:sectPr>
      </w:pPr>
    </w:p>
    <w:bookmarkStart w:id="4" w:name="page5"/>
    <w:bookmarkEnd w:id="4"/>
    <w:p>
      <w:pPr>
        <w:ind w:left="4940"/>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185"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761,553</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157,628</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797,198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603,925</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341,061</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214,291</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74,750</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60,993</w:t>
            </w:r>
          </w:p>
        </w:tc>
        <w:tc>
          <w:tcPr>
            <w:tcW w:w="0" w:type="dxa"/>
            <w:vAlign w:val="bottom"/>
          </w:tcPr>
          <w:p>
            <w:pPr>
              <w:spacing w:after="0"/>
              <w:rPr>
                <w:sz w:val="1"/>
                <w:szCs w:val="1"/>
                <w:color w:val="auto"/>
              </w:rPr>
            </w:pPr>
          </w:p>
        </w:tc>
      </w:tr>
      <w:tr>
        <w:trPr>
          <w:trHeight w:val="237"/>
        </w:trPr>
        <w:tc>
          <w:tcPr>
            <w:tcW w:w="84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789,871</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616,345</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(12,420)</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w:t>
            </w:r>
          </w:p>
        </w:tc>
        <w:tc>
          <w:tcPr>
            <w:tcW w:w="0" w:type="dxa"/>
            <w:vAlign w:val="bottom"/>
          </w:tcPr>
          <w:p>
            <w:pPr>
              <w:spacing w:after="0"/>
              <w:rPr>
                <w:sz w:val="1"/>
                <w:szCs w:val="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47,179</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84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44,216</w:t>
            </w:r>
          </w:p>
        </w:tc>
        <w:tc>
          <w:tcPr>
            <w:tcW w:w="0" w:type="dxa"/>
            <w:vAlign w:val="bottom"/>
          </w:tcPr>
          <w:p>
            <w:pPr>
              <w:spacing w:after="0"/>
              <w:rPr>
                <w:sz w:val="1"/>
                <w:szCs w:val="1"/>
                <w:color w:val="auto"/>
              </w:rPr>
            </w:pP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58,930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31,796</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c>
          <w:tcPr>
            <w:tcW w:w="0" w:type="dxa"/>
            <w:vAlign w:val="bottom"/>
          </w:tcPr>
          <w:p>
            <w:pPr>
              <w:spacing w:after="0"/>
              <w:rPr>
                <w:sz w:val="1"/>
                <w:szCs w:val="1"/>
                <w:color w:val="auto"/>
              </w:rPr>
            </w:pPr>
          </w:p>
        </w:tc>
      </w:tr>
      <w:tr>
        <w:trPr>
          <w:trHeight w:val="26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52,574</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24,642</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480" w:type="dxa"/>
            <w:vAlign w:val="bottom"/>
            <w:vMerge w:val="continue"/>
          </w:tcPr>
          <w:p>
            <w:pPr>
              <w:spacing w:after="0"/>
              <w:rPr>
                <w:sz w:val="18"/>
                <w:szCs w:val="18"/>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basic net income per share: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vMerge w:val="continue"/>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353,272</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343,097</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shares used in calculating diluted net income per share:</w:t>
            </w:r>
          </w:p>
        </w:tc>
        <w:tc>
          <w:tcPr>
            <w:tcW w:w="3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364,731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363,078</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39370</wp:posOffset>
            </wp:positionV>
            <wp:extent cx="17487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24,642</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5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3,106</w:t>
            </w:r>
          </w:p>
        </w:tc>
      </w:tr>
      <w:tr>
        <w:trPr>
          <w:trHeight w:val="243"/>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Unrealized (loss) gain on available-for-sale marketable securities</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Unrealized loss on cash flow hedges</w:t>
            </w:r>
          </w:p>
        </w:tc>
        <w:tc>
          <w:tcPr>
            <w:tcW w:w="3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8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(18,820)</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6,039</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33,754</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30,681</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3" w:lineRule="exact"/>
        <w:rPr>
          <w:sz w:val="20"/>
          <w:szCs w:val="20"/>
          <w:color w:val="auto"/>
        </w:rPr>
      </w:pPr>
    </w:p>
    <w:tbl>
      <w:tblPr>
        <w:tblLayout w:type="fixed"/>
        <w:tblInd w:w="2860" w:type="dxa"/>
        <w:tblCellMar>
          <w:top w:w="0" w:type="dxa"/>
          <w:left w:w="0" w:type="dxa"/>
          <w:bottom w:w="0" w:type="dxa"/>
          <w:right w:w="0" w:type="dxa"/>
        </w:tblCellMar>
      </w:tblPr>
      <w:tr>
        <w:trPr>
          <w:trHeight w:val="149"/>
        </w:trPr>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A and Class B</w:t>
            </w:r>
          </w:p>
        </w:tc>
        <w:tc>
          <w:tcPr>
            <w:tcW w:w="1300" w:type="dxa"/>
            <w:vAlign w:val="bottom"/>
            <w:vMerge w:val="restart"/>
          </w:tcPr>
          <w:p>
            <w:pPr>
              <w:jc w:val="center"/>
              <w:ind w:left="181"/>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60" w:type="dxa"/>
            <w:vAlign w:val="bottom"/>
            <w:vMerge w:val="restart"/>
          </w:tcPr>
          <w:p>
            <w:pPr>
              <w:jc w:val="center"/>
              <w:ind w:left="61"/>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3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880" w:type="dxa"/>
            <w:vAlign w:val="bottom"/>
          </w:tcPr>
          <w:p>
            <w:pPr>
              <w:spacing w:after="0"/>
              <w:rPr>
                <w:sz w:val="7"/>
                <w:szCs w:val="7"/>
                <w:color w:val="auto"/>
              </w:rPr>
            </w:pPr>
          </w:p>
        </w:tc>
        <w:tc>
          <w:tcPr>
            <w:tcW w:w="1820" w:type="dxa"/>
            <w:vAlign w:val="bottom"/>
            <w:vMerge w:val="restart"/>
          </w:tcPr>
          <w:p>
            <w:pPr>
              <w:jc w:val="center"/>
              <w:ind w:right="817"/>
              <w:spacing w:after="0"/>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30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1320" w:type="dxa"/>
            <w:vAlign w:val="bottom"/>
          </w:tcPr>
          <w:p>
            <w:pPr>
              <w:spacing w:after="0"/>
              <w:rPr>
                <w:sz w:val="7"/>
                <w:szCs w:val="7"/>
                <w:color w:val="auto"/>
              </w:rPr>
            </w:pPr>
          </w:p>
        </w:tc>
        <w:tc>
          <w:tcPr>
            <w:tcW w:w="1320" w:type="dxa"/>
            <w:vAlign w:val="bottom"/>
            <w:vMerge w:val="restart"/>
          </w:tcPr>
          <w:p>
            <w:pPr>
              <w:jc w:val="center"/>
              <w:ind w:left="97"/>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0" w:type="dxa"/>
            <w:vAlign w:val="bottom"/>
          </w:tcPr>
          <w:p>
            <w:pPr>
              <w:spacing w:after="0"/>
              <w:rPr>
                <w:sz w:val="1"/>
                <w:szCs w:val="1"/>
                <w:color w:val="auto"/>
              </w:rPr>
            </w:pPr>
          </w:p>
        </w:tc>
      </w:tr>
      <w:tr>
        <w:trPr>
          <w:trHeight w:val="95"/>
        </w:trPr>
        <w:tc>
          <w:tcPr>
            <w:tcW w:w="88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vMerge w:val="continue"/>
          </w:tcPr>
          <w:p>
            <w:pPr>
              <w:spacing w:after="0"/>
              <w:rPr>
                <w:sz w:val="8"/>
                <w:szCs w:val="8"/>
                <w:color w:val="auto"/>
              </w:rPr>
            </w:pPr>
          </w:p>
        </w:tc>
        <w:tc>
          <w:tcPr>
            <w:tcW w:w="1300" w:type="dxa"/>
            <w:vAlign w:val="bottom"/>
          </w:tcPr>
          <w:p>
            <w:pPr>
              <w:jc w:val="center"/>
              <w:ind w:left="181"/>
              <w:spacing w:after="0" w:line="95" w:lineRule="exact"/>
              <w:rPr>
                <w:sz w:val="20"/>
                <w:szCs w:val="20"/>
                <w:color w:val="auto"/>
              </w:rPr>
            </w:pPr>
            <w:r>
              <w:rPr>
                <w:rFonts w:ascii="Times New Roman" w:cs="Times New Roman" w:eastAsia="Times New Roman" w:hAnsi="Times New Roman"/>
                <w:sz w:val="10"/>
                <w:szCs w:val="10"/>
                <w:b w:val="1"/>
                <w:bCs w:val="1"/>
                <w:color w:val="auto"/>
              </w:rPr>
              <w:t>Paid-in</w:t>
            </w:r>
          </w:p>
        </w:tc>
        <w:tc>
          <w:tcPr>
            <w:tcW w:w="1660" w:type="dxa"/>
            <w:vAlign w:val="bottom"/>
          </w:tcPr>
          <w:p>
            <w:pPr>
              <w:jc w:val="center"/>
              <w:ind w:left="61"/>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 Income</w:t>
            </w:r>
          </w:p>
        </w:tc>
        <w:tc>
          <w:tcPr>
            <w:tcW w:w="1320" w:type="dxa"/>
            <w:vAlign w:val="bottom"/>
          </w:tcPr>
          <w:p>
            <w:pPr>
              <w:spacing w:after="0"/>
              <w:rPr>
                <w:sz w:val="8"/>
                <w:szCs w:val="8"/>
                <w:color w:val="auto"/>
              </w:rPr>
            </w:pPr>
          </w:p>
        </w:tc>
        <w:tc>
          <w:tcPr>
            <w:tcW w:w="13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88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2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300" w:type="dxa"/>
            <w:vAlign w:val="bottom"/>
          </w:tcPr>
          <w:p>
            <w:pPr>
              <w:jc w:val="center"/>
              <w:ind w:left="201"/>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60" w:type="dxa"/>
            <w:vAlign w:val="bottom"/>
          </w:tcPr>
          <w:p>
            <w:pPr>
              <w:jc w:val="center"/>
              <w:ind w:left="61"/>
              <w:spacing w:after="0"/>
              <w:rPr>
                <w:sz w:val="20"/>
                <w:szCs w:val="20"/>
                <w:color w:val="auto"/>
              </w:rPr>
            </w:pPr>
            <w:r>
              <w:rPr>
                <w:rFonts w:ascii="Times New Roman" w:cs="Times New Roman" w:eastAsia="Times New Roman" w:hAnsi="Times New Roman"/>
                <w:sz w:val="13"/>
                <w:szCs w:val="13"/>
                <w:b w:val="1"/>
                <w:bCs w:val="1"/>
                <w:color w:val="auto"/>
              </w:rPr>
              <w:t>(Loss)</w:t>
            </w:r>
          </w:p>
        </w:tc>
        <w:tc>
          <w:tcPr>
            <w:tcW w:w="13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Retained Earnings</w:t>
            </w:r>
          </w:p>
        </w:tc>
        <w:tc>
          <w:tcPr>
            <w:tcW w:w="1320" w:type="dxa"/>
            <w:vAlign w:val="bottom"/>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BALANCE—December 31, 2025</w:t>
      </w:r>
    </w:p>
    <w:p>
      <w:pPr>
        <w:spacing w:after="0" w:line="46" w:lineRule="exact"/>
        <w:rPr>
          <w:sz w:val="20"/>
          <w:szCs w:val="20"/>
          <w:color w:val="auto"/>
        </w:rPr>
      </w:pPr>
    </w:p>
    <w:p>
      <w:pPr>
        <w:ind w:left="180" w:hanging="161"/>
        <w:spacing w:after="0" w:line="290" w:lineRule="auto"/>
        <w:rPr>
          <w:sz w:val="20"/>
          <w:szCs w:val="20"/>
          <w:color w:val="auto"/>
        </w:rPr>
      </w:pPr>
      <w:r>
        <w:rPr>
          <w:rFonts w:ascii="Times New Roman" w:cs="Times New Roman" w:eastAsia="Times New Roman" w:hAnsi="Times New Roman"/>
          <w:sz w:val="16"/>
          <w:szCs w:val="16"/>
          <w:color w:val="auto"/>
        </w:rPr>
        <w:t>Issuance of common stock upon exercise of stock options</w:t>
      </w:r>
    </w:p>
    <w:p>
      <w:pPr>
        <w:spacing w:after="0" w:line="1" w:lineRule="exact"/>
        <w:rPr>
          <w:sz w:val="20"/>
          <w:szCs w:val="20"/>
          <w:color w:val="auto"/>
        </w:rPr>
      </w:pPr>
    </w:p>
    <w:p>
      <w:pPr>
        <w:ind w:left="180" w:right="220" w:hanging="161"/>
        <w:spacing w:after="0" w:line="290" w:lineRule="auto"/>
        <w:rPr>
          <w:sz w:val="20"/>
          <w:szCs w:val="20"/>
          <w:color w:val="auto"/>
        </w:rPr>
      </w:pPr>
      <w:r>
        <w:rPr>
          <w:rFonts w:ascii="Times New Roman" w:cs="Times New Roman" w:eastAsia="Times New Roman" w:hAnsi="Times New Roman"/>
          <w:sz w:val="16"/>
          <w:szCs w:val="16"/>
          <w:color w:val="auto"/>
        </w:rPr>
        <w:t>Vesting of restricted and performance stock units</w:t>
      </w:r>
    </w:p>
    <w:p>
      <w:pPr>
        <w:spacing w:after="0" w:line="1" w:lineRule="exact"/>
        <w:rPr>
          <w:sz w:val="20"/>
          <w:szCs w:val="20"/>
          <w:color w:val="auto"/>
        </w:rPr>
      </w:pPr>
    </w:p>
    <w:p>
      <w:pPr>
        <w:ind w:left="180" w:right="40" w:hanging="161"/>
        <w:spacing w:after="0" w:line="281" w:lineRule="auto"/>
        <w:rPr>
          <w:sz w:val="20"/>
          <w:szCs w:val="20"/>
          <w:color w:val="auto"/>
        </w:rPr>
      </w:pPr>
      <w:r>
        <w:rPr>
          <w:rFonts w:ascii="Times New Roman" w:cs="Times New Roman" w:eastAsia="Times New Roman" w:hAnsi="Times New Roman"/>
          <w:sz w:val="16"/>
          <w:szCs w:val="16"/>
          <w:color w:val="auto"/>
        </w:rPr>
        <w:t>Issuance of restricted shares of common stock from acquisitions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Stock-based compensation</w:t>
      </w:r>
    </w:p>
    <w:p>
      <w:pPr>
        <w:spacing w:after="0" w:line="46" w:lineRule="exact"/>
        <w:rPr>
          <w:sz w:val="20"/>
          <w:szCs w:val="20"/>
          <w:color w:val="auto"/>
        </w:rPr>
      </w:pPr>
    </w:p>
    <w:p>
      <w:pPr>
        <w:ind w:left="180" w:right="760" w:hanging="161"/>
        <w:spacing w:after="0" w:line="290" w:lineRule="auto"/>
        <w:rPr>
          <w:sz w:val="20"/>
          <w:szCs w:val="20"/>
          <w:color w:val="auto"/>
        </w:rPr>
      </w:pPr>
      <w:r>
        <w:rPr>
          <w:rFonts w:ascii="Times New Roman" w:cs="Times New Roman" w:eastAsia="Times New Roman" w:hAnsi="Times New Roman"/>
          <w:sz w:val="16"/>
          <w:szCs w:val="16"/>
          <w:color w:val="auto"/>
        </w:rPr>
        <w:t>Change in accumulated other comprehensive loss</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Net income</w:t>
      </w:r>
    </w:p>
    <w:p>
      <w:pPr>
        <w:spacing w:after="0" w:line="11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BALANCE—March 31, 2026</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4"/>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352,525,971</w:t>
            </w:r>
          </w:p>
        </w:tc>
        <w:tc>
          <w:tcPr>
            <w:tcW w:w="120" w:type="dxa"/>
            <w:vAlign w:val="bottom"/>
          </w:tcPr>
          <w:p>
            <w:pPr>
              <w:spacing w:after="0"/>
              <w:rPr>
                <w:sz w:val="19"/>
                <w:szCs w:val="19"/>
                <w:color w:val="auto"/>
              </w:rPr>
            </w:pPr>
          </w:p>
        </w:tc>
        <w:tc>
          <w:tcPr>
            <w:tcW w:w="580" w:type="dxa"/>
            <w:vAlign w:val="bottom"/>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3,579,010</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15,404</w:t>
            </w:r>
          </w:p>
        </w:tc>
        <w:tc>
          <w:tcPr>
            <w:tcW w:w="120" w:type="dxa"/>
            <w:vAlign w:val="bottom"/>
          </w:tcPr>
          <w:p>
            <w:pPr>
              <w:spacing w:after="0"/>
              <w:rPr>
                <w:sz w:val="19"/>
                <w:szCs w:val="19"/>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137,789</w:t>
            </w:r>
          </w:p>
        </w:tc>
        <w:tc>
          <w:tcPr>
            <w:tcW w:w="120" w:type="dxa"/>
            <w:vAlign w:val="bottom"/>
          </w:tcPr>
          <w:p>
            <w:pPr>
              <w:spacing w:after="0"/>
              <w:rPr>
                <w:sz w:val="19"/>
                <w:szCs w:val="19"/>
                <w:color w:val="auto"/>
              </w:rPr>
            </w:pPr>
          </w:p>
        </w:tc>
        <w:tc>
          <w:tcPr>
            <w:tcW w:w="3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3,732,206</w:t>
            </w:r>
          </w:p>
        </w:tc>
      </w:tr>
      <w:tr>
        <w:trPr>
          <w:trHeight w:val="446"/>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1,293,916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9,715</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9,715</w:t>
            </w:r>
          </w:p>
        </w:tc>
      </w:tr>
      <w:tr>
        <w:trPr>
          <w:trHeight w:val="432"/>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1,891,445</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459"/>
        </w:trPr>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134,236</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6,517</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6,517</w:t>
            </w:r>
          </w:p>
        </w:tc>
      </w:tr>
      <w:tr>
        <w:trPr>
          <w:trHeight w:val="216"/>
        </w:trPr>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206,030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206,030</w:t>
            </w:r>
          </w:p>
        </w:tc>
      </w:tr>
      <w:tr>
        <w:trPr>
          <w:trHeight w:val="446"/>
        </w:trPr>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4"/>
                <w:szCs w:val="24"/>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(18,820)</w:t>
            </w: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(18,820)</w:t>
            </w:r>
          </w:p>
        </w:tc>
      </w:tr>
      <w:tr>
        <w:trPr>
          <w:trHeight w:val="242"/>
        </w:trPr>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1"/>
                <w:szCs w:val="21"/>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1"/>
                <w:szCs w:val="21"/>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52,574</w:t>
            </w:r>
          </w:p>
        </w:tc>
      </w:tr>
      <w:tr>
        <w:trPr>
          <w:trHeight w:val="237"/>
        </w:trPr>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355,845,568</w:t>
            </w:r>
          </w:p>
        </w:tc>
        <w:tc>
          <w:tcPr>
            <w:tcW w:w="12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3,801,272</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1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190,363</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3,988,222</w:t>
            </w:r>
          </w:p>
        </w:tc>
      </w:tr>
      <w:tr>
        <w:trPr>
          <w:trHeight w:val="27"/>
        </w:trPr>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-1810385</wp:posOffset>
            </wp:positionH>
            <wp:positionV relativeFrom="paragraph">
              <wp:posOffset>-1336675</wp:posOffset>
            </wp:positionV>
            <wp:extent cx="7132320" cy="2825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82575"/>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-770890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-1810385</wp:posOffset>
            </wp:positionH>
            <wp:positionV relativeFrom="paragraph">
              <wp:posOffset>-351155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7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A and Class B</w:t>
            </w:r>
          </w:p>
        </w:tc>
        <w:tc>
          <w:tcPr>
            <w:tcW w:w="1320" w:type="dxa"/>
            <w:vAlign w:val="bottom"/>
            <w:vMerge w:val="restart"/>
          </w:tcPr>
          <w:p>
            <w:pPr>
              <w:jc w:val="center"/>
              <w:ind w:left="166"/>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1600" w:type="dxa"/>
            <w:vAlign w:val="bottom"/>
            <w:vMerge w:val="restart"/>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6"/>
              </w:rPr>
              <w:t>Accumulated Other</w:t>
            </w:r>
          </w:p>
        </w:tc>
        <w:tc>
          <w:tcPr>
            <w:tcW w:w="1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880" w:type="dxa"/>
            <w:vAlign w:val="bottom"/>
          </w:tcPr>
          <w:p>
            <w:pPr>
              <w:spacing w:after="0"/>
              <w:rPr>
                <w:sz w:val="10"/>
                <w:szCs w:val="10"/>
                <w:color w:val="auto"/>
              </w:rPr>
            </w:pPr>
          </w:p>
        </w:tc>
        <w:tc>
          <w:tcPr>
            <w:tcW w:w="1820" w:type="dxa"/>
            <w:vAlign w:val="bottom"/>
          </w:tcPr>
          <w:p>
            <w:pPr>
              <w:jc w:val="center"/>
              <w:ind w:right="817"/>
              <w:spacing w:after="0" w:line="122" w:lineRule="exact"/>
              <w:rPr>
                <w:sz w:val="20"/>
                <w:szCs w:val="20"/>
                <w:color w:val="auto"/>
              </w:rPr>
            </w:pPr>
            <w:r>
              <w:rPr>
                <w:rFonts w:ascii="Times New Roman" w:cs="Times New Roman" w:eastAsia="Times New Roman" w:hAnsi="Times New Roman"/>
                <w:sz w:val="13"/>
                <w:szCs w:val="13"/>
                <w:b w:val="1"/>
                <w:bCs w:val="1"/>
                <w:color w:val="auto"/>
                <w:w w:val="95"/>
              </w:rPr>
              <w:t>Common Stock</w:t>
            </w:r>
          </w:p>
        </w:tc>
        <w:tc>
          <w:tcPr>
            <w:tcW w:w="132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880" w:type="dxa"/>
            <w:vAlign w:val="bottom"/>
            <w:tcBorders>
              <w:bottom w:val="single" w:sz="8" w:color="auto"/>
            </w:tcBorders>
          </w:tcPr>
          <w:p>
            <w:pPr>
              <w:spacing w:after="0"/>
              <w:rPr>
                <w:sz w:val="5"/>
                <w:szCs w:val="5"/>
                <w:color w:val="auto"/>
              </w:rPr>
            </w:pPr>
          </w:p>
        </w:tc>
        <w:tc>
          <w:tcPr>
            <w:tcW w:w="1820" w:type="dxa"/>
            <w:vAlign w:val="bottom"/>
            <w:tcBorders>
              <w:bottom w:val="single" w:sz="8" w:color="auto"/>
            </w:tcBorders>
          </w:tcPr>
          <w:p>
            <w:pPr>
              <w:spacing w:after="0"/>
              <w:rPr>
                <w:sz w:val="5"/>
                <w:szCs w:val="5"/>
                <w:color w:val="auto"/>
              </w:rPr>
            </w:pPr>
          </w:p>
        </w:tc>
        <w:tc>
          <w:tcPr>
            <w:tcW w:w="1320" w:type="dxa"/>
            <w:vAlign w:val="bottom"/>
          </w:tcPr>
          <w:p>
            <w:pPr>
              <w:jc w:val="center"/>
              <w:ind w:left="166"/>
              <w:spacing w:after="0" w:line="61" w:lineRule="exact"/>
              <w:rPr>
                <w:sz w:val="20"/>
                <w:szCs w:val="20"/>
                <w:color w:val="auto"/>
              </w:rPr>
            </w:pPr>
            <w:r>
              <w:rPr>
                <w:rFonts w:ascii="Times New Roman" w:cs="Times New Roman" w:eastAsia="Times New Roman" w:hAnsi="Times New Roman"/>
                <w:sz w:val="7"/>
                <w:szCs w:val="7"/>
                <w:b w:val="1"/>
                <w:bCs w:val="1"/>
                <w:color w:val="auto"/>
              </w:rPr>
              <w:t>Paid-in</w:t>
            </w:r>
          </w:p>
        </w:tc>
        <w:tc>
          <w:tcPr>
            <w:tcW w:w="1600" w:type="dxa"/>
            <w:vAlign w:val="bottom"/>
          </w:tcPr>
          <w:p>
            <w:pPr>
              <w:jc w:val="center"/>
              <w:ind w:left="86"/>
              <w:spacing w:after="0" w:line="61" w:lineRule="exact"/>
              <w:rPr>
                <w:sz w:val="20"/>
                <w:szCs w:val="20"/>
                <w:color w:val="auto"/>
              </w:rPr>
            </w:pPr>
            <w:r>
              <w:rPr>
                <w:rFonts w:ascii="Times New Roman" w:cs="Times New Roman" w:eastAsia="Times New Roman" w:hAnsi="Times New Roman"/>
                <w:sz w:val="7"/>
                <w:szCs w:val="7"/>
                <w:b w:val="1"/>
                <w:bCs w:val="1"/>
                <w:color w:val="auto"/>
              </w:rPr>
              <w:t>Comprehensive (Loss)</w:t>
            </w:r>
          </w:p>
        </w:tc>
        <w:tc>
          <w:tcPr>
            <w:tcW w:w="1380" w:type="dxa"/>
            <w:vAlign w:val="bottom"/>
          </w:tcPr>
          <w:p>
            <w:pPr>
              <w:spacing w:after="0"/>
              <w:rPr>
                <w:sz w:val="5"/>
                <w:szCs w:val="5"/>
                <w:color w:val="auto"/>
              </w:rPr>
            </w:pPr>
          </w:p>
        </w:tc>
        <w:tc>
          <w:tcPr>
            <w:tcW w:w="1300" w:type="dxa"/>
            <w:vAlign w:val="bottom"/>
          </w:tcPr>
          <w:p>
            <w:pPr>
              <w:jc w:val="center"/>
              <w:ind w:left="90"/>
              <w:spacing w:after="0" w:line="61" w:lineRule="exact"/>
              <w:rPr>
                <w:sz w:val="20"/>
                <w:szCs w:val="20"/>
                <w:color w:val="auto"/>
              </w:rPr>
            </w:pPr>
            <w:r>
              <w:rPr>
                <w:rFonts w:ascii="Times New Roman" w:cs="Times New Roman" w:eastAsia="Times New Roman" w:hAnsi="Times New Roman"/>
                <w:sz w:val="7"/>
                <w:szCs w:val="7"/>
                <w:b w:val="1"/>
                <w:bCs w:val="1"/>
                <w:color w:val="auto"/>
              </w:rPr>
              <w:t>Total</w:t>
            </w:r>
          </w:p>
        </w:tc>
        <w:tc>
          <w:tcPr>
            <w:tcW w:w="0" w:type="dxa"/>
            <w:vAlign w:val="bottom"/>
          </w:tcPr>
          <w:p>
            <w:pPr>
              <w:spacing w:after="0"/>
              <w:rPr>
                <w:sz w:val="1"/>
                <w:szCs w:val="1"/>
                <w:color w:val="auto"/>
              </w:rPr>
            </w:pPr>
          </w:p>
        </w:tc>
      </w:tr>
      <w:tr>
        <w:trPr>
          <w:trHeight w:val="166"/>
        </w:trPr>
        <w:tc>
          <w:tcPr>
            <w:tcW w:w="880" w:type="dxa"/>
            <w:vAlign w:val="bottom"/>
          </w:tcPr>
          <w:p>
            <w:pPr>
              <w:ind w:left="4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820" w:type="dxa"/>
            <w:vAlign w:val="bottom"/>
          </w:tcPr>
          <w:p>
            <w:pPr>
              <w:ind w:left="96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320" w:type="dxa"/>
            <w:vAlign w:val="bottom"/>
          </w:tcPr>
          <w:p>
            <w:pPr>
              <w:jc w:val="center"/>
              <w:ind w:left="186"/>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1600" w:type="dxa"/>
            <w:vAlign w:val="bottom"/>
          </w:tcPr>
          <w:p>
            <w:pPr>
              <w:jc w:val="center"/>
              <w:ind w:left="86"/>
              <w:spacing w:after="0"/>
              <w:rPr>
                <w:sz w:val="20"/>
                <w:szCs w:val="20"/>
                <w:color w:val="auto"/>
              </w:rPr>
            </w:pPr>
            <w:r>
              <w:rPr>
                <w:rFonts w:ascii="Times New Roman" w:cs="Times New Roman" w:eastAsia="Times New Roman" w:hAnsi="Times New Roman"/>
                <w:sz w:val="13"/>
                <w:szCs w:val="13"/>
                <w:b w:val="1"/>
                <w:bCs w:val="1"/>
                <w:color w:val="auto"/>
                <w:w w:val="92"/>
              </w:rPr>
              <w:t>Income</w:t>
            </w:r>
          </w:p>
        </w:tc>
        <w:tc>
          <w:tcPr>
            <w:tcW w:w="13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Accumulated Deficit</w:t>
            </w:r>
          </w:p>
        </w:tc>
        <w:tc>
          <w:tcPr>
            <w:tcW w:w="1300" w:type="dxa"/>
            <w:vAlign w:val="bottom"/>
          </w:tcPr>
          <w:p>
            <w:pPr>
              <w:jc w:val="center"/>
              <w:ind w:left="110"/>
              <w:spacing w:after="0"/>
              <w:rPr>
                <w:sz w:val="20"/>
                <w:szCs w:val="20"/>
                <w:color w:val="auto"/>
              </w:rPr>
            </w:pPr>
            <w:r>
              <w:rPr>
                <w:rFonts w:ascii="Times New Roman" w:cs="Times New Roman" w:eastAsia="Times New Roman" w:hAnsi="Times New Roman"/>
                <w:sz w:val="13"/>
                <w:szCs w:val="13"/>
                <w:b w:val="1"/>
                <w:bCs w:val="1"/>
                <w:color w:val="auto"/>
                <w:w w:val="97"/>
              </w:rPr>
              <w:t>Stockholders' 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2680" w:space="180"/>
            <w:col w:w="838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226"/>
        </w:trPr>
        <w:tc>
          <w:tcPr>
            <w:tcW w:w="2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BALANCE—December 31, 2024</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342,118,782</w:t>
            </w:r>
          </w:p>
        </w:tc>
        <w:tc>
          <w:tcPr>
            <w:tcW w:w="1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2,689,013</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(4,701)</w:t>
            </w:r>
          </w:p>
        </w:tc>
        <w:tc>
          <w:tcPr>
            <w:tcW w:w="1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30,048</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2,714,363</w:t>
            </w:r>
          </w:p>
        </w:tc>
      </w:tr>
      <w:tr>
        <w:trPr>
          <w:trHeight w:val="202"/>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upon exercise</w:t>
            </w: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40"/>
        </w:trPr>
        <w:tc>
          <w:tcPr>
            <w:tcW w:w="2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of stock options</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1,316,133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1,703</w:t>
            </w: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Vesting of restricted and performance</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stock units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1,475,894</w:t>
            </w: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169,927</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169,927</w:t>
            </w:r>
          </w:p>
        </w:tc>
      </w:tr>
      <w:tr>
        <w:trPr>
          <w:trHeight w:val="205"/>
        </w:trPr>
        <w:tc>
          <w:tcPr>
            <w:tcW w:w="2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accumulated other</w:t>
            </w:r>
          </w:p>
        </w:tc>
        <w:tc>
          <w:tcPr>
            <w:tcW w:w="1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43"/>
        </w:trPr>
        <w:tc>
          <w:tcPr>
            <w:tcW w:w="2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comprehensive income</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6,039</w:t>
            </w:r>
          </w:p>
        </w:tc>
      </w:tr>
      <w:tr>
        <w:trPr>
          <w:trHeight w:val="240"/>
        </w:trPr>
        <w:tc>
          <w:tcPr>
            <w:tcW w:w="2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24,642</w:t>
            </w:r>
          </w:p>
        </w:tc>
      </w:tr>
      <w:tr>
        <w:trPr>
          <w:trHeight w:val="265"/>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BALANCE—March 31, 2025</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344,910,809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2,860,643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60" w:type="dxa"/>
            <w:vAlign w:val="bottom"/>
            <w:tcBorders>
              <w:top w:val="single" w:sz="8" w:color="auto"/>
              <w:bottom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54,690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2,916,674</w:t>
            </w: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7" w:name="page8"/>
    <w:bookmarkEnd w:id="7"/>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33"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39370</wp:posOffset>
            </wp:positionV>
            <wp:extent cx="17316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3164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03"/>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52,574</w:t>
            </w:r>
          </w:p>
        </w:tc>
        <w:tc>
          <w:tcPr>
            <w:tcW w:w="10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24,642</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Accretion of discounts on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(11,880)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(10,370)</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Amortization of deferred contract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14,853</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Stock-based compensation, net of amounts capitalized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196,841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164,265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Non-cash lease expense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8,389</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Allowance for credit losses on accounts receivable</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4,520</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193"/>
        </w:trPr>
        <w:tc>
          <w:tcPr>
            <w:tcW w:w="83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receivable, net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55,874</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104,227</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Deferred contract costs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(35,545)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(21,519)</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(14,445)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(10,263)</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Other assets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(1,217)</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Accounts payable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21,500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(10,712)</w:t>
            </w:r>
          </w:p>
        </w:tc>
      </w:tr>
      <w:tr>
        <w:trPr>
          <w:trHeight w:val="193"/>
        </w:trPr>
        <w:tc>
          <w:tcPr>
            <w:tcW w:w="836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Accrued expenses and other liabilities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5,648</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836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4"/>
                <w:szCs w:val="14"/>
                <w:color w:val="auto"/>
              </w:rPr>
              <w:t>Deferred revenue</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19,647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(13,851)</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334,622</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271,541</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88"/>
        </w:trPr>
        <w:tc>
          <w:tcPr>
            <w:tcW w:w="83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(1,304,965)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(970,302)</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Maturities of marketable securities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1,046,415</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555,938</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09"/>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Proceeds from sale of marketable securities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(8,748)</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Capitalized software development costs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(34,173)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(18,402)</w:t>
            </w: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Cash paid for acquisition of businesses; net of cash acquired</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(10,660)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(1,818)</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23"/>
        </w:trPr>
        <w:tc>
          <w:tcPr>
            <w:tcW w:w="8360" w:type="dxa"/>
            <w:vAlign w:val="bottom"/>
            <w:tcBorders>
              <w:bottom w:val="single" w:sz="8" w:color="CCEEFF"/>
            </w:tcBorders>
            <w:shd w:val="clear" w:color="auto" w:fill="CCEEFF"/>
          </w:tcPr>
          <w:p>
            <w:pPr>
              <w:ind w:left="100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(314,798)</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(443,408)</w:t>
            </w:r>
          </w:p>
        </w:tc>
      </w:tr>
      <w:tr>
        <w:trPr>
          <w:trHeight w:val="88"/>
        </w:trPr>
        <w:tc>
          <w:tcPr>
            <w:tcW w:w="836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tcPr>
          <w:p>
            <w:pPr>
              <w:spacing w:after="0"/>
              <w:rPr>
                <w:sz w:val="7"/>
                <w:szCs w:val="7"/>
                <w:color w:val="auto"/>
              </w:rPr>
            </w:pPr>
          </w:p>
        </w:tc>
      </w:tr>
      <w:tr>
        <w:trPr>
          <w:trHeight w:val="21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r>
      <w:tr>
        <w:trPr>
          <w:trHeight w:val="193"/>
        </w:trPr>
        <w:tc>
          <w:tcPr>
            <w:tcW w:w="83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9,711</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30"/>
        </w:trPr>
        <w:tc>
          <w:tcPr>
            <w:tcW w:w="83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Repayments of 2025 Convertible Senior Notes</w:t>
            </w:r>
          </w:p>
        </w:tc>
        <w:tc>
          <w:tcPr>
            <w:tcW w:w="30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186"/>
        </w:trPr>
        <w:tc>
          <w:tcPr>
            <w:tcW w:w="8360" w:type="dxa"/>
            <w:vAlign w:val="bottom"/>
          </w:tcPr>
          <w:p>
            <w:pPr>
              <w:ind w:left="1000"/>
              <w:spacing w:after="0"/>
              <w:rPr>
                <w:sz w:val="20"/>
                <w:szCs w:val="20"/>
                <w:color w:val="auto"/>
              </w:rPr>
            </w:pPr>
            <w:r>
              <w:rPr>
                <w:rFonts w:ascii="Times New Roman" w:cs="Times New Roman" w:eastAsia="Times New Roman" w:hAnsi="Times New Roman"/>
                <w:sz w:val="14"/>
                <w:szCs w:val="14"/>
                <w:color w:val="auto"/>
              </w:rPr>
              <w:t>Net cash provided by financing activities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9,711</w:t>
            </w: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1,653</w:t>
            </w:r>
          </w:p>
        </w:tc>
      </w:tr>
      <w:tr>
        <w:trPr>
          <w:trHeight w:val="37"/>
        </w:trPr>
        <w:tc>
          <w:tcPr>
            <w:tcW w:w="836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42"/>
        </w:trPr>
        <w:tc>
          <w:tcPr>
            <w:tcW w:w="8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r>
        <w:trPr>
          <w:trHeight w:val="193"/>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and cash equivalents</w:t>
            </w: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3,085</w:t>
            </w:r>
          </w:p>
        </w:tc>
      </w:tr>
      <w:tr>
        <w:trPr>
          <w:trHeight w:val="37"/>
        </w:trPr>
        <w:tc>
          <w:tcPr>
            <w:tcW w:w="83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148"/>
        </w:trPr>
        <w:tc>
          <w:tcPr>
            <w:tcW w:w="83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r>
    </w:tbl>
    <w:p>
      <w:pPr>
        <w:spacing w:after="0" w:line="4" w:lineRule="exact"/>
        <w:rPr>
          <w:sz w:val="20"/>
          <w:szCs w:val="20"/>
          <w:color w:val="auto"/>
        </w:rPr>
      </w:pPr>
    </w:p>
    <w:p>
      <w:pPr>
        <w:sectPr>
          <w:pgSz w:w="11900" w:h="16838" w:orient="portrait"/>
          <w:cols w:equalWidth="0" w:num="1">
            <w:col w:w="11080"/>
          </w:cols>
          <w:pgMar w:left="320" w:top="1089" w:right="499" w:bottom="1440" w:gutter="0" w:footer="0" w:header="0"/>
        </w:sectPr>
      </w:pPr>
    </w:p>
    <w:p>
      <w:pPr>
        <w:ind w:left="20" w:right="3320"/>
        <w:spacing w:after="0" w:line="372" w:lineRule="auto"/>
        <w:rPr>
          <w:sz w:val="20"/>
          <w:szCs w:val="20"/>
          <w:color w:val="auto"/>
        </w:rPr>
      </w:pPr>
      <w:r>
        <w:rPr>
          <w:rFonts w:ascii="Times New Roman" w:cs="Times New Roman" w:eastAsia="Times New Roman" w:hAnsi="Times New Roman"/>
          <w:sz w:val="14"/>
          <w:szCs w:val="14"/>
          <w:color w:val="auto"/>
        </w:rPr>
        <w:t>NET INCREASE (DECREASE) IN CASH AND CASH EQUIVALENTS CASH AND CASH EQUIVALENTS—Beginning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029450" cy="146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0" cy="14605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color w:val="auto"/>
        </w:rPr>
        <w:t>CASH AND CASH EQUIVALENTS—End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029450" cy="685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0" cy="68580"/>
                    </a:xfrm>
                    <a:prstGeom prst="rect">
                      <a:avLst/>
                    </a:prstGeom>
                    <a:noFill/>
                  </pic:spPr>
                </pic:pic>
              </a:graphicData>
            </a:graphic>
          </wp:anchor>
        </w:drawing>
      </w:r>
    </w:p>
    <w:p>
      <w:pPr>
        <w:spacing w:after="0" w:line="1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4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25,055</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(167,129)</w:t>
            </w:r>
          </w:p>
        </w:tc>
      </w:tr>
      <w:tr>
        <w:trPr>
          <w:trHeight w:val="229"/>
        </w:trPr>
        <w:tc>
          <w:tcPr>
            <w:tcW w:w="4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401,305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1,246,983</w:t>
            </w:r>
          </w:p>
        </w:tc>
      </w:tr>
      <w:tr>
        <w:trPr>
          <w:trHeight w:val="37"/>
        </w:trPr>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186"/>
        </w:trPr>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426,360</w:t>
            </w:r>
          </w:p>
        </w:tc>
        <w:tc>
          <w:tcPr>
            <w:tcW w:w="100" w:type="dxa"/>
            <w:vAlign w:val="bottom"/>
          </w:tcPr>
          <w:p>
            <w:pPr>
              <w:spacing w:after="0"/>
              <w:rPr>
                <w:sz w:val="16"/>
                <w:szCs w:val="16"/>
                <w:color w:val="auto"/>
              </w:rPr>
            </w:pP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1,079,854</w:t>
            </w:r>
          </w:p>
        </w:tc>
      </w:tr>
      <w:tr>
        <w:trPr>
          <w:trHeight w:val="37"/>
        </w:trPr>
        <w:tc>
          <w:tcPr>
            <w:tcW w:w="4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r>
      <w:tr>
        <w:trPr>
          <w:trHeight w:val="20"/>
        </w:trPr>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ectPr>
          <w:pgSz w:w="11900" w:h="16838" w:orient="portrait"/>
          <w:cols w:equalWidth="0" w:num="2">
            <w:col w:w="7640" w:space="720"/>
            <w:col w:w="2720"/>
          </w:cols>
          <w:pgMar w:left="320" w:top="1089" w:right="49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1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17,172</w:t>
            </w:r>
          </w:p>
        </w:tc>
        <w:tc>
          <w:tcPr>
            <w:tcW w:w="58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3,658</w:t>
            </w:r>
          </w:p>
        </w:tc>
      </w:tr>
      <w:tr>
        <w:trPr>
          <w:trHeight w:val="108"/>
        </w:trPr>
        <w:tc>
          <w:tcPr>
            <w:tcW w:w="7280" w:type="dxa"/>
            <w:vAlign w:val="bottom"/>
          </w:tcPr>
          <w:p>
            <w:pPr>
              <w:spacing w:after="0"/>
              <w:rPr>
                <w:sz w:val="9"/>
                <w:szCs w:val="9"/>
                <w:color w:val="auto"/>
              </w:rPr>
            </w:pPr>
          </w:p>
        </w:tc>
        <w:tc>
          <w:tcPr>
            <w:tcW w:w="1540" w:type="dxa"/>
            <w:vAlign w:val="bottom"/>
          </w:tcPr>
          <w:p>
            <w:pPr>
              <w:spacing w:after="0"/>
              <w:rPr>
                <w:sz w:val="9"/>
                <w:szCs w:val="9"/>
                <w:color w:val="auto"/>
              </w:rPr>
            </w:pPr>
          </w:p>
        </w:tc>
        <w:tc>
          <w:tcPr>
            <w:tcW w:w="88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210"/>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5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r>
      <w:tr>
        <w:trPr>
          <w:trHeight w:val="192"/>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Accrued property and equipment purchases</w:t>
            </w:r>
          </w:p>
        </w:tc>
        <w:tc>
          <w:tcPr>
            <w:tcW w:w="1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8,963</w:t>
            </w:r>
          </w:p>
        </w:tc>
        <w:tc>
          <w:tcPr>
            <w:tcW w:w="5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4,542</w:t>
            </w:r>
          </w:p>
        </w:tc>
      </w:tr>
      <w:tr>
        <w:trPr>
          <w:trHeight w:val="37"/>
        </w:trPr>
        <w:tc>
          <w:tcPr>
            <w:tcW w:w="7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10"/>
        </w:trPr>
        <w:tc>
          <w:tcPr>
            <w:tcW w:w="7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Stock-based compensation included in capitalized software development costs</w:t>
            </w:r>
          </w:p>
        </w:tc>
        <w:tc>
          <w:tcPr>
            <w:tcW w:w="1540" w:type="dxa"/>
            <w:vAlign w:val="bottom"/>
            <w:tcBorders>
              <w:bottom w:val="single" w:sz="8" w:color="CCEEFF"/>
            </w:tcBorders>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9,189</w:t>
            </w:r>
          </w:p>
        </w:tc>
        <w:tc>
          <w:tcPr>
            <w:tcW w:w="580" w:type="dxa"/>
            <w:vAlign w:val="bottom"/>
            <w:tcBorders>
              <w:bottom w:val="single" w:sz="8" w:color="CCEEFF"/>
            </w:tcBorders>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5,662</w:t>
            </w:r>
          </w:p>
        </w:tc>
      </w:tr>
      <w:tr>
        <w:trPr>
          <w:trHeight w:val="192"/>
        </w:trPr>
        <w:tc>
          <w:tcPr>
            <w:tcW w:w="72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Issuance of restricted shares of common stock for the acquisition of businesses</w:t>
            </w:r>
          </w:p>
        </w:tc>
        <w:tc>
          <w:tcPr>
            <w:tcW w:w="1540" w:type="dxa"/>
            <w:vAlign w:val="bottom"/>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6,517</w:t>
            </w:r>
          </w:p>
        </w:tc>
        <w:tc>
          <w:tcPr>
            <w:tcW w:w="58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7"/>
        </w:trPr>
        <w:tc>
          <w:tcPr>
            <w:tcW w:w="7280" w:type="dxa"/>
            <w:vAlign w:val="bottom"/>
          </w:tcPr>
          <w:p>
            <w:pPr>
              <w:spacing w:after="0"/>
              <w:rPr>
                <w:sz w:val="3"/>
                <w:szCs w:val="3"/>
                <w:color w:val="auto"/>
              </w:rPr>
            </w:pPr>
          </w:p>
        </w:tc>
        <w:tc>
          <w:tcPr>
            <w:tcW w:w="1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193"/>
        </w:trPr>
        <w:tc>
          <w:tcPr>
            <w:tcW w:w="7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Acquisition holdback</w:t>
            </w:r>
          </w:p>
        </w:tc>
        <w:tc>
          <w:tcPr>
            <w:tcW w:w="1540" w:type="dxa"/>
            <w:vAlign w:val="bottom"/>
            <w:shd w:val="clear" w:color="auto" w:fill="CCEEFF"/>
          </w:tcPr>
          <w:p>
            <w:pPr>
              <w:jc w:val="right"/>
              <w:ind w:right="30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1,614</w:t>
            </w:r>
          </w:p>
        </w:tc>
        <w:tc>
          <w:tcPr>
            <w:tcW w:w="580" w:type="dxa"/>
            <w:vAlign w:val="bottom"/>
            <w:shd w:val="clear" w:color="auto" w:fill="CCEEFF"/>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37"/>
        </w:trPr>
        <w:tc>
          <w:tcPr>
            <w:tcW w:w="7280" w:type="dxa"/>
            <w:vAlign w:val="bottom"/>
            <w:shd w:val="clear" w:color="auto" w:fill="CCEEFF"/>
          </w:tcPr>
          <w:p>
            <w:pPr>
              <w:spacing w:after="0"/>
              <w:rPr>
                <w:sz w:val="3"/>
                <w:szCs w:val="3"/>
                <w:color w:val="auto"/>
              </w:rPr>
            </w:pPr>
          </w:p>
        </w:tc>
        <w:tc>
          <w:tcPr>
            <w:tcW w:w="154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11080"/>
          </w:cols>
          <w:pgMar w:left="320" w:top="1089" w:right="499" w:bottom="1440" w:gutter="0" w:footer="0" w:header="0"/>
          <w:type w:val="continuous"/>
        </w:sectPr>
      </w:pPr>
    </w:p>
    <w:p>
      <w:pPr>
        <w:spacing w:after="0" w:line="6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Description of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Datadog, Inc. (“Datadog” or the “Company”) was incorporated in the State of Delaware on June 4, 2010. On April 21, 2026, the Company completed its conversion from a corporation organized under the laws of the State of Delaware to a corporation organized under the laws of the State of Nevada.</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is the AI-powered observability and security platform for cloud applications. </w:t>
      </w:r>
      <w:r>
        <w:rPr>
          <w:rFonts w:ascii="Times New Roman" w:cs="Times New Roman" w:eastAsia="Times New Roman" w:hAnsi="Times New Roman"/>
          <w:sz w:val="18"/>
          <w:szCs w:val="18"/>
          <w:color w:val="231F20"/>
        </w:rPr>
        <w:t>The Company’s SaaS platform integrates and automates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31F20"/>
        </w:rPr>
        <w:t xml:space="preserve">infrastructure monitoring, application performance monitoring, log management, user experience monitoring, cloud security, service management, and many other capabilities to provide unified, real-time observability and security of its customers’ entire technology stack. </w:t>
      </w:r>
      <w:r>
        <w:rPr>
          <w:rFonts w:ascii="Times New Roman" w:cs="Times New Roman" w:eastAsia="Times New Roman" w:hAnsi="Times New Roman"/>
          <w:sz w:val="18"/>
          <w:szCs w:val="18"/>
          <w:color w:val="000000"/>
        </w:rPr>
        <w:t>The Company is headquartered in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New York City and has various other global office locations.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Basis of Presentation and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Unaudited Interim Condensed Consolidated Financial Information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Datadog, Inc. and its wholly-owned subsidiaries, and have been prepared in accordance with generally accepted accounting principles in the United States (“GAAP”) and following the requirements of the SEC for interim reporting. As permitted under those rules, certain footnotes or other financial information that are normally required by GAAP can be condensed or omitted. These financial statements have been prepared on the same basis as the Company’s annual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December 31, 2026 or for any other interim period or for any other future year. The accompanying unaudited condensed consolidated financial statements and related financial information should be read in conjunction with the audited consolidated financial statements and the related notes contained in the Company’s Annual Report on Form 10-K for the fiscal year ended December 31, 2025, as filed with the SEC on February 18, 2026 (the “Annual Report”).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accounting principles generally accepted in the United States of America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Datadog, Inc. and its wholly-owned subsidiaries. All intercompany transactions and balances have been eliminated in consolidation.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GAAP requires management to make estimates and assumptions that affect the amounts reported in the condensed consolidated financial statements and accompanying notes. Such estimates include the fair value of marketable securities, the allowance for credit losses, the fair value of acquired assets and assumed liabilities from business combinations, useful lives of property, equipment, software and finite lived intangibles, stock-based compensation, valuation of long-lived assets and their recoverability, including goodwill, the incremental borrowing rate for operating leases, estimated expected period of benefit for deferred contract costs, fair value of the liability component of the convertible debt, realization of deferred tax assets and uncertain tax positions, revenue recognition and the allocation of overhead costs between cost of revenue and operating expenses. The Company bases its estimates on historical experience and also on assumptions that management considers reasonable. The Company assesses these estimates on a regular basis; however, actual results could materially differ from these estimates.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utilizes foreign currency forward contracts to reduce the volatility in cash flows associated with forecasted operating expenses denominated in currencies other than the U.S. dollar. These foreign currency forward contracts are designated as cash flow hedges. The Company does not enter into derivative instruments for trading or speculative purposes. Changes in the fair value of these instruments are recorded in accumulated other comprehensive income (loss) and are subsequently reclassified into earnings in the same period in which the underlying hedged transactions affect earnings, generally within operating expenses. In the event the underlying forecasted transactions do not occur, or it becomes probable that they will not occur within the designated hedge period, the related gains or losses are reclassified into earnings. The Company formally designates and documents hedging relationships at inception and assesses hedge effectiveness at inception and on a quarterly basis thereafter. Cash flows at settlement of such foreign currency forward contracts are classified in the same category as the cash flows from the underlying hedged forecasted transactions.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Recently Adopted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In July 2025, the FASB issued ASU No. 2025-05, </w:t>
      </w:r>
      <w:r>
        <w:rPr>
          <w:rFonts w:ascii="Times New Roman" w:cs="Times New Roman" w:eastAsia="Times New Roman" w:hAnsi="Times New Roman"/>
          <w:sz w:val="18"/>
          <w:szCs w:val="18"/>
          <w:i w:val="1"/>
          <w:iCs w:val="1"/>
          <w:color w:val="231F20"/>
        </w:rPr>
        <w:t>Financial Instruments-Credit Losses (Topic 326): Measurement of Credit Losses for Accounts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Receivable and Contract Assets (</w:t>
      </w:r>
      <w:r>
        <w:rPr>
          <w:rFonts w:ascii="Times New Roman" w:cs="Times New Roman" w:eastAsia="Times New Roman" w:hAnsi="Times New Roman"/>
          <w:sz w:val="18"/>
          <w:szCs w:val="18"/>
          <w:color w:val="231F20"/>
        </w:rPr>
        <w:t>"ASU No. 2025-05"</w:t>
      </w:r>
      <w:r>
        <w:rPr>
          <w:rFonts w:ascii="Times New Roman" w:cs="Times New Roman" w:eastAsia="Times New Roman" w:hAnsi="Times New Roman"/>
          <w:sz w:val="18"/>
          <w:szCs w:val="18"/>
          <w:i w:val="1"/>
          <w:iCs w:val="1"/>
          <w:color w:val="231F20"/>
        </w:rPr>
        <w:t>)</w:t>
      </w:r>
      <w:r>
        <w:rPr>
          <w:rFonts w:ascii="Times New Roman" w:cs="Times New Roman" w:eastAsia="Times New Roman" w:hAnsi="Times New Roman"/>
          <w:sz w:val="18"/>
          <w:szCs w:val="18"/>
          <w:color w:val="231F20"/>
        </w:rPr>
        <w:t>, which provides a practical expedient related to the estimation of expected credit losses for current</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accounts receivable and current contract assets that arise from transactions accounted for under ASC 606. The practical expedient permits an entity to assume that current conditions as of the balance sheet date do not change for the remaining life of the asset. This guidance is effective for annual periods, including interim reporting periods, beginning after December 15, 2025, on a prospective basis, with early adoption permitted. The Company adopted this standard on a prospective basis for interim and annual periods beginning January 1, 2026. The adoption of this guidance did not have a material impact on the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Accounting Pronouncements Not Yet Adopted</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In November 2024, the FASB issued ASU No. 2024-03, </w:t>
      </w:r>
      <w:r>
        <w:rPr>
          <w:rFonts w:ascii="Times New Roman" w:cs="Times New Roman" w:eastAsia="Times New Roman" w:hAnsi="Times New Roman"/>
          <w:sz w:val="18"/>
          <w:szCs w:val="18"/>
          <w:i w:val="1"/>
          <w:iCs w:val="1"/>
          <w:color w:val="231F20"/>
        </w:rPr>
        <w:t>Income Statement-Reporting Comprehensive Income-Expense Disaggregation</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Disclosures (Subtopic 220-40) </w:t>
      </w:r>
      <w:r>
        <w:rPr>
          <w:rFonts w:ascii="Times New Roman" w:cs="Times New Roman" w:eastAsia="Times New Roman" w:hAnsi="Times New Roman"/>
          <w:sz w:val="18"/>
          <w:szCs w:val="18"/>
          <w:color w:val="231F20"/>
        </w:rPr>
        <w:t>("ASU No. 2024-03"), which requires disaggregated disclosure of income statement expenses for public business entities.</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The ASU does not change the expense captions an entity presents on the face of the income statement; rather, it requires disaggregation of certain expense captions into specified categories in disclosures within the footnotes to the financial statements. For public business entities, it is effective for fiscal years beginning after December 15, 2026, and interim periods within fiscal years beginning after December 15, 2027, with early adoption permitted. The amendments in this ASU should be applied prospectively, however, public business entities are permitted to apply the amendments in the ASU retrospectively. The Company is currently evaluating the impact of the adoption of this standard on its consolidated financial statements.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231F20"/>
        </w:rPr>
        <w:t xml:space="preserve">In September 2025, the FASB issued ASU 2025-06, </w:t>
      </w:r>
      <w:r>
        <w:rPr>
          <w:rFonts w:ascii="Times New Roman" w:cs="Times New Roman" w:eastAsia="Times New Roman" w:hAnsi="Times New Roman"/>
          <w:sz w:val="18"/>
          <w:szCs w:val="18"/>
          <w:i w:val="1"/>
          <w:iCs w:val="1"/>
          <w:color w:val="231F20"/>
        </w:rPr>
        <w:t>Intangibles—Goodwill and Other—Internal-Use Software (Subtopic 350-40): Targeted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i w:val="1"/>
          <w:iCs w:val="1"/>
          <w:color w:val="231F20"/>
        </w:rPr>
        <w:t xml:space="preserve">Improvements to the Accounting for Internal-Use Software </w:t>
      </w:r>
      <w:r>
        <w:rPr>
          <w:rFonts w:ascii="Times New Roman" w:cs="Times New Roman" w:eastAsia="Times New Roman" w:hAnsi="Times New Roman"/>
          <w:sz w:val="18"/>
          <w:szCs w:val="18"/>
          <w:color w:val="231F20"/>
        </w:rPr>
        <w:t>("ASU No. 2025-06"), to modernize the accounting for software costs that are accounted for</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color w:val="231F20"/>
        </w:rPr>
        <w:t>under Subtopic 350-40. The ASU removes all references to software development stages and allows software development costs to be capitalized once management commits to funding the project and it is probable that the project will be completed and used as intended. The ASU also introduces the concept of "significant development uncertainty," which, if present, prevents capitalization. The guidance is effective for annual reporting periods, including interim reporting periods, beginning after December 15, 2027. The guidance may be applied prospectively, retrospectively, or via a modified prospective transition method. The Company is currently evaluating the impact of the adoption of this standard on its consolidated financial statements.</w:t>
      </w:r>
    </w:p>
    <w:p>
      <w:pPr>
        <w:spacing w:after="0" w:line="185"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231F20"/>
        </w:rPr>
        <w:t>In December 2025, the FASB issued ASU 2025-11, Interim Reporting (Topics 270): Narrow-Scope Improvements ("ASU No. 2025-11"), which amends guidance related to interim financial reporting. The guidance is effective for interim reporting periods within annual reporting periods beginning after December 15, 2027, with early adoption permitted. The Company is currently evaluating the impact of the adoption of this standard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3. Marketable Securities</w:t>
      </w:r>
    </w:p>
    <w:p>
      <w:pPr>
        <w:spacing w:after="0" w:line="229" w:lineRule="exact"/>
        <w:rPr>
          <w:sz w:val="20"/>
          <w:szCs w:val="20"/>
          <w:color w:val="auto"/>
        </w:rPr>
      </w:pPr>
    </w:p>
    <w:p>
      <w:pPr>
        <w:jc w:val="both"/>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is a summary of available-for-sale marketable securities, excluding those securities classified within cash and cash equivalents on the condensed consolidated balance sheets as of March 31, 2026 and December 31, 2025 (in thousands):</w:t>
      </w:r>
    </w:p>
    <w:tbl>
      <w:tblPr>
        <w:tblLayout w:type="fixed"/>
        <w:tblInd w:w="0" w:type="dxa"/>
        <w:tblCellMar>
          <w:top w:w="0" w:type="dxa"/>
          <w:left w:w="0" w:type="dxa"/>
          <w:bottom w:w="0" w:type="dxa"/>
          <w:right w:w="0" w:type="dxa"/>
        </w:tblCellMar>
      </w:tblPr>
      <w:tr>
        <w:trPr>
          <w:trHeight w:val="190"/>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31"/>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5"/>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6"/>
                <w:szCs w:val="16"/>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6"/>
                <w:szCs w:val="16"/>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8"/>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2,386,236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2,384,115</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817,510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817,081</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803,020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802,246</w:t>
            </w:r>
          </w:p>
        </w:tc>
      </w:tr>
      <w:tr>
        <w:trPr>
          <w:trHeight w:val="230"/>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327,392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327,324</w:t>
            </w:r>
          </w:p>
        </w:tc>
      </w:tr>
      <w:tr>
        <w:trPr>
          <w:trHeight w:val="229"/>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4,335,648</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(5,729)</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4,332,257</w:t>
            </w:r>
          </w:p>
        </w:tc>
      </w:tr>
      <w:tr>
        <w:trPr>
          <w:trHeight w:val="20"/>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94"/>
        </w:trPr>
        <w:tc>
          <w:tcPr>
            <w:tcW w:w="5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40" w:type="dxa"/>
            <w:vAlign w:val="bottom"/>
            <w:gridSpan w:val="5"/>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3"/>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29"/>
        </w:trPr>
        <w:tc>
          <w:tcPr>
            <w:tcW w:w="5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Amortized</w:t>
            </w:r>
          </w:p>
        </w:tc>
        <w:tc>
          <w:tcPr>
            <w:tcW w:w="220" w:type="dxa"/>
            <w:vAlign w:val="bottom"/>
          </w:tcPr>
          <w:p>
            <w:pPr>
              <w:spacing w:after="0"/>
              <w:rPr>
                <w:sz w:val="11"/>
                <w:szCs w:val="11"/>
                <w:color w:val="auto"/>
              </w:rPr>
            </w:pPr>
          </w:p>
        </w:tc>
        <w:tc>
          <w:tcPr>
            <w:tcW w:w="120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20" w:type="dxa"/>
            <w:vAlign w:val="bottom"/>
          </w:tcPr>
          <w:p>
            <w:pPr>
              <w:spacing w:after="0"/>
              <w:rPr>
                <w:sz w:val="11"/>
                <w:szCs w:val="11"/>
                <w:color w:val="auto"/>
              </w:rPr>
            </w:pPr>
          </w:p>
        </w:tc>
        <w:tc>
          <w:tcPr>
            <w:tcW w:w="1220" w:type="dxa"/>
            <w:vAlign w:val="bottom"/>
            <w:gridSpan w:val="2"/>
          </w:tcPr>
          <w:p>
            <w:pPr>
              <w:jc w:val="center"/>
              <w:ind w:right="320"/>
              <w:spacing w:after="0" w:line="12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300" w:type="dxa"/>
            <w:vAlign w:val="bottom"/>
          </w:tcPr>
          <w:p>
            <w:pPr>
              <w:spacing w:after="0"/>
              <w:rPr>
                <w:sz w:val="11"/>
                <w:szCs w:val="11"/>
                <w:color w:val="auto"/>
              </w:rPr>
            </w:pPr>
          </w:p>
        </w:tc>
        <w:tc>
          <w:tcPr>
            <w:tcW w:w="1020" w:type="dxa"/>
            <w:vAlign w:val="bottom"/>
          </w:tcPr>
          <w:p>
            <w:pPr>
              <w:jc w:val="center"/>
              <w:ind w:right="215"/>
              <w:spacing w:after="0" w:line="129" w:lineRule="exact"/>
              <w:rPr>
                <w:sz w:val="20"/>
                <w:szCs w:val="20"/>
                <w:color w:val="auto"/>
              </w:rPr>
            </w:pPr>
            <w:r>
              <w:rPr>
                <w:rFonts w:ascii="Times New Roman" w:cs="Times New Roman" w:eastAsia="Times New Roman" w:hAnsi="Times New Roman"/>
                <w:sz w:val="14"/>
                <w:szCs w:val="14"/>
                <w:b w:val="1"/>
                <w:bCs w:val="1"/>
                <w:color w:val="auto"/>
              </w:rPr>
              <w:t>Fair</w:t>
            </w:r>
          </w:p>
        </w:tc>
      </w:tr>
      <w:tr>
        <w:trPr>
          <w:trHeight w:val="196"/>
        </w:trPr>
        <w:tc>
          <w:tcPr>
            <w:tcW w:w="5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7"/>
                <w:szCs w:val="17"/>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w:t>
            </w:r>
          </w:p>
        </w:tc>
        <w:tc>
          <w:tcPr>
            <w:tcW w:w="22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300" w:type="dxa"/>
            <w:vAlign w:val="bottom"/>
          </w:tcPr>
          <w:p>
            <w:pPr>
              <w:spacing w:after="0"/>
              <w:rPr>
                <w:sz w:val="17"/>
                <w:szCs w:val="17"/>
                <w:color w:val="auto"/>
              </w:rPr>
            </w:pPr>
          </w:p>
        </w:tc>
        <w:tc>
          <w:tcPr>
            <w:tcW w:w="1020" w:type="dxa"/>
            <w:vAlign w:val="bottom"/>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Value</w:t>
            </w:r>
          </w:p>
        </w:tc>
      </w:tr>
      <w:tr>
        <w:trPr>
          <w:trHeight w:val="229"/>
        </w:trPr>
        <w:tc>
          <w:tcPr>
            <w:tcW w:w="5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2,577,421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2,583,393</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693,907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695,894</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paper</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599,663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599,967</w:t>
            </w:r>
          </w:p>
        </w:tc>
      </w:tr>
      <w:tr>
        <w:trPr>
          <w:trHeight w:val="22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Certificates of deposit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192,685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192,784</w:t>
            </w:r>
          </w:p>
        </w:tc>
      </w:tr>
      <w:tr>
        <w:trPr>
          <w:trHeight w:val="230"/>
        </w:trPr>
        <w:tc>
          <w:tcPr>
            <w:tcW w:w="5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5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4,065,166</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4,073,531</w:t>
            </w:r>
          </w:p>
        </w:tc>
      </w:tr>
      <w:tr>
        <w:trPr>
          <w:trHeight w:val="21"/>
        </w:trPr>
        <w:tc>
          <w:tcPr>
            <w:tcW w:w="5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fair values of available-for-sale marketable securities, by remaining contractual maturity, were as follows (in thousands):</w:t>
      </w:r>
    </w:p>
    <w:p>
      <w:pPr>
        <w:spacing w:after="0" w:line="270" w:lineRule="exact"/>
        <w:rPr>
          <w:sz w:val="20"/>
          <w:szCs w:val="20"/>
          <w:color w:val="auto"/>
        </w:rPr>
      </w:pPr>
    </w:p>
    <w:tbl>
      <w:tblPr>
        <w:tblLayout w:type="fixed"/>
        <w:tblInd w:w="2460" w:type="dxa"/>
        <w:tblCellMar>
          <w:top w:w="0" w:type="dxa"/>
          <w:left w:w="0" w:type="dxa"/>
          <w:bottom w:w="0" w:type="dxa"/>
          <w:right w:w="0" w:type="dxa"/>
        </w:tblCellMar>
      </w:tblP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Due within one year</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2,902,501</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Due in one year through five years</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1,429,756</w:t>
            </w:r>
          </w:p>
        </w:tc>
      </w:tr>
      <w:tr>
        <w:trPr>
          <w:trHeight w:val="248"/>
        </w:trPr>
        <w:tc>
          <w:tcPr>
            <w:tcW w:w="49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4,332,257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does not believe that any unrealized losses are attributable to credit-related factors based on its evaluation of available evidence. To determine whether a decline in value is related to credit loss, the Company evaluates, among other factors: the extent to which the fair value is less than the amortized cost basis, changes to the rating of the security by a rating agency and any adverse conditions specifically related to an issuer of a security or its industry. Unrealized gains and losses on marketable securities are presented net of tax.</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financial assets and liabilities that have been measured at fair value on a recurring basis as of March 31, 2026 and December 31, 2025, and indicate the fair value hierarchy of the valuation inputs utilized to determine such fair value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9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 as of March 31, 2026</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369,785</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369,785</w:t>
            </w:r>
          </w:p>
        </w:tc>
      </w:tr>
      <w:tr>
        <w:trPr>
          <w:trHeight w:val="229"/>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15,058</w:t>
            </w:r>
          </w:p>
        </w:tc>
      </w:tr>
      <w:tr>
        <w:trPr>
          <w:trHeight w:val="230"/>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2,384,115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2,384,115</w:t>
            </w: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817,081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817,081</w:t>
            </w: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802,246</w:t>
            </w: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327,324</w:t>
            </w:r>
          </w:p>
        </w:tc>
      </w:tr>
      <w:tr>
        <w:trPr>
          <w:trHeight w:val="229"/>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r>
      <w:tr>
        <w:trPr>
          <w:trHeight w:val="175"/>
        </w:trPr>
        <w:tc>
          <w:tcPr>
            <w:tcW w:w="5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Derivative assets—included in prepaid expenses and other current</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41"/>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32"/>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28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369,785</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4,351,796</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4,721,581</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6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175"/>
        </w:trPr>
        <w:tc>
          <w:tcPr>
            <w:tcW w:w="56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b w:val="1"/>
                <w:bCs w:val="1"/>
                <w:color w:val="auto"/>
              </w:rPr>
              <w:t>Derivative liabilities—included in accrued expenses and other current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43"/>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0"/>
        </w:trPr>
        <w:tc>
          <w:tcPr>
            <w:tcW w:w="5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flow hedges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3,067</w:t>
            </w:r>
          </w:p>
        </w:tc>
      </w:tr>
      <w:tr>
        <w:trPr>
          <w:trHeight w:val="248"/>
        </w:trPr>
        <w:tc>
          <w:tcPr>
            <w:tcW w:w="5640" w:type="dxa"/>
            <w:vAlign w:val="bottom"/>
            <w:tcBorders>
              <w:top w:val="single" w:sz="8" w:color="CCEEFF"/>
              <w:bottom w:val="single" w:sz="8" w:color="CCEEFF"/>
            </w:tcBorders>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3,067</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477"/>
        </w:trPr>
        <w:tc>
          <w:tcPr>
            <w:tcW w:w="5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320" w:type="dxa"/>
            <w:vAlign w:val="bottom"/>
            <w:gridSpan w:val="9"/>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Fair Value Measurement as of December 31, 2025</w:t>
            </w:r>
          </w:p>
        </w:tc>
        <w:tc>
          <w:tcPr>
            <w:tcW w:w="1020" w:type="dxa"/>
            <w:vAlign w:val="bottom"/>
          </w:tcPr>
          <w:p>
            <w:pPr>
              <w:spacing w:after="0"/>
              <w:rPr>
                <w:sz w:val="24"/>
                <w:szCs w:val="24"/>
                <w:color w:val="auto"/>
              </w:rPr>
            </w:pPr>
          </w:p>
        </w:tc>
      </w:tr>
      <w:tr>
        <w:trPr>
          <w:trHeight w:val="23"/>
        </w:trPr>
        <w:tc>
          <w:tcPr>
            <w:tcW w:w="56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80" w:type="dxa"/>
            <w:vAlign w:val="bottom"/>
          </w:tcPr>
          <w:p>
            <w:pPr>
              <w:spacing w:after="0"/>
              <w:rPr>
                <w:sz w:val="16"/>
                <w:szCs w:val="16"/>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00" w:type="dxa"/>
            <w:vAlign w:val="bottom"/>
          </w:tcPr>
          <w:p>
            <w:pPr>
              <w:spacing w:after="0"/>
              <w:rPr>
                <w:sz w:val="16"/>
                <w:szCs w:val="16"/>
                <w:color w:val="auto"/>
              </w:rPr>
            </w:pPr>
          </w:p>
        </w:tc>
        <w:tc>
          <w:tcPr>
            <w:tcW w:w="102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Assets:</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equivalents: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311,106</w:t>
            </w:r>
          </w:p>
        </w:tc>
        <w:tc>
          <w:tcPr>
            <w:tcW w:w="440" w:type="dxa"/>
            <w:vAlign w:val="bottom"/>
            <w:gridSpan w:val="3"/>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311,106</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29,879</w:t>
            </w: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r>
      <w:tr>
        <w:trPr>
          <w:trHeight w:val="229"/>
        </w:trPr>
        <w:tc>
          <w:tcPr>
            <w:tcW w:w="5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Marketable securities:</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2,583,393</w:t>
            </w:r>
          </w:p>
        </w:tc>
      </w:tr>
      <w:tr>
        <w:trPr>
          <w:trHeight w:val="230"/>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U.S. government treasury securities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695,894</w:t>
            </w: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599,967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599,967</w:t>
            </w:r>
          </w:p>
        </w:tc>
      </w:tr>
      <w:tr>
        <w:trPr>
          <w:trHeight w:val="229"/>
        </w:trPr>
        <w:tc>
          <w:tcPr>
            <w:tcW w:w="5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Certificates of deposit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192,784</w:t>
            </w:r>
          </w:p>
        </w:tc>
      </w:tr>
      <w:tr>
        <w:trPr>
          <w:trHeight w:val="230"/>
        </w:trPr>
        <w:tc>
          <w:tcPr>
            <w:tcW w:w="5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23"/>
        </w:trPr>
        <w:tc>
          <w:tcPr>
            <w:tcW w:w="56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financial assets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311,106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4,104,934</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4,416,040</w:t>
            </w:r>
          </w:p>
        </w:tc>
      </w:tr>
      <w:tr>
        <w:trPr>
          <w:trHeight w:val="21"/>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considers all highly liquid investments, including money market funds with an original maturity of three months or less at the date of purchase, to be cash equivalents. The Company uses quoted prices in active markets for assets to determine the fair value of its Level 1 investments in money market funds. The Company classifies its commercial paper, corporate debt securities, certificates of deposit, U.S. government treasury securities, Non-U.S. government securities, and cash flow hedges within Level 2 because they are valued using inputs other than quoted prices that are directly or indirectly observable in the market, including readily available pricing sources for the identical underlying security which may not be actively traded.</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2" w:name="page13"/>
    <w:bookmarkEnd w:id="12"/>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In addition to its cash equivalents and marketable securities, the Company measures the fair value of its outstanding convertible senior notes on a quarterly basis for disclosure purposes. The Company considers the fair value of the convertible senior notes to be a Level 2 measurement due to limited trading activity of the convertible senior notes. Refer to Note 8, </w:t>
      </w:r>
      <w:r>
        <w:rPr>
          <w:rFonts w:ascii="Times New Roman" w:cs="Times New Roman" w:eastAsia="Times New Roman" w:hAnsi="Times New Roman"/>
          <w:sz w:val="18"/>
          <w:szCs w:val="18"/>
          <w:i w:val="1"/>
          <w:iCs w:val="1"/>
          <w:color w:val="auto"/>
        </w:rPr>
        <w:t>Convertible Senior Notes</w:t>
      </w:r>
      <w:r>
        <w:rPr>
          <w:rFonts w:ascii="Times New Roman" w:cs="Times New Roman" w:eastAsia="Times New Roman" w:hAnsi="Times New Roman"/>
          <w:sz w:val="18"/>
          <w:szCs w:val="18"/>
          <w:color w:val="auto"/>
        </w:rPr>
        <w:t>, to the condensed consolidated financial statements for further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Property and Equipment,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1140" w:type="dxa"/>
            <w:vAlign w:val="bottom"/>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Computers and equipment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67,484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63,146</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28,319</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99,009</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Capitalized software development costs</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376,290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329,117</w:t>
            </w:r>
          </w:p>
        </w:tc>
      </w:tr>
      <w:tr>
        <w:trPr>
          <w:trHeight w:val="22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580,959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519,591</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(202,015)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(181,498)</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378,944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338,093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capitalizes costs related to the development of computer software for internal use and is included in capitalized software development costs within property and equipment, net.</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was approximately $16.3 million and $10.1 million for the three months ended March 31, 2026 and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Acquisitions, Intangible Assets and Goodwill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Acquisitions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During the quarter ended March 31, 2026, the Company entered into two purchase agreements for acquisitions of businesses, each of which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 acquisitions to be material, individually or in aggregate. The resulting goodwill from each of the agreements is not deductible for income tax purposes. Pro forma results of operations from these acquisitions have not been presented because they were not material to the consolidated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Acquisitions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During the year ended December 31, 2025, the Company entered into three purchase agreements for acquisitions of businesses, each of which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the acquisitions to be material, individually or in aggregate. The total purchase price in aggregate of $178.4 million consisted of $109.3 million in cash payments, net of cash acquired, $16.1 million of deferred acquisition holdback payments and the issuance of 770,044 restricted shares of Class A common stock. The total purchase price was allocated to intangible assets in the amount of $17.6 million and goodwill in the amount of $163.1 million based on the respective estimated fair values. The purchase price allocations are preliminary. The Company continues to collect information with regard to its estimates and assumptions, including potential liabilities and contingencies. The Company will record adjustments to the fair value of the assets acquired, liabilities assumed and goodwill within the 12 month measurement period, if necessary. The resulting goodwill from the agreements is not deductible for income tax purposes. Pro forma results of operations from the acquisitions have not been presented because they were not material to the consolidated results of operations.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Acquisitions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During the year ended December 31, 2024, the Company entered into one purchase agreement for an acquisition of a business, which was accounted for as a business combination in accordance with ASC 805,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The Company does not consider this acquisition to be material. The total purchase price was allocated to intangible assets in the amount of $0.7 million and goodwill in the amount of $10.2 million based on the respective estimated fair values. The resulting goodwill from the agreements is not deductible for income tax purposes. Pro forma results of operations from the acquisition have not been presented because they were not material to the consolidated results of operations.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Intangible assets, net consisted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60" w:type="dxa"/>
            <w:vAlign w:val="bottom"/>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29"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7"/>
                <w:szCs w:val="17"/>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7"/>
                <w:szCs w:val="17"/>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9"/>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10,438</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30"/>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4,491</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7"/>
        </w:trPr>
        <w:tc>
          <w:tcPr>
            <w:tcW w:w="5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5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80" w:type="dxa"/>
            <w:vAlign w:val="bottom"/>
            <w:gridSpan w:val="2"/>
          </w:tcPr>
          <w:p>
            <w:pPr>
              <w:jc w:val="center"/>
              <w:ind w:right="340"/>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180" w:type="dxa"/>
            <w:vAlign w:val="bottom"/>
          </w:tcPr>
          <w:p>
            <w:pPr>
              <w:spacing w:after="0"/>
              <w:rPr>
                <w:sz w:val="11"/>
                <w:szCs w:val="11"/>
                <w:color w:val="auto"/>
              </w:rPr>
            </w:pPr>
          </w:p>
        </w:tc>
        <w:tc>
          <w:tcPr>
            <w:tcW w:w="12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40" w:type="dxa"/>
            <w:vAlign w:val="bottom"/>
          </w:tcPr>
          <w:p>
            <w:pPr>
              <w:spacing w:after="0"/>
              <w:rPr>
                <w:sz w:val="11"/>
                <w:szCs w:val="11"/>
                <w:color w:val="auto"/>
              </w:rPr>
            </w:pPr>
          </w:p>
        </w:tc>
        <w:tc>
          <w:tcPr>
            <w:tcW w:w="1080" w:type="dxa"/>
            <w:vAlign w:val="bottom"/>
          </w:tcPr>
          <w:p>
            <w:pPr>
              <w:jc w:val="center"/>
              <w:ind w:right="139"/>
              <w:spacing w:after="0" w:line="131" w:lineRule="exact"/>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1"/>
                <w:szCs w:val="1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5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40" w:type="dxa"/>
            <w:vAlign w:val="bottom"/>
          </w:tcPr>
          <w:p>
            <w:pPr>
              <w:spacing w:after="0"/>
              <w:rPr>
                <w:sz w:val="16"/>
                <w:szCs w:val="16"/>
                <w:color w:val="auto"/>
              </w:rPr>
            </w:pPr>
          </w:p>
        </w:tc>
        <w:tc>
          <w:tcPr>
            <w:tcW w:w="108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28"/>
        </w:trPr>
        <w:tc>
          <w:tcPr>
            <w:tcW w:w="5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10,119</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229"/>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4 years</w:t>
            </w:r>
          </w:p>
        </w:tc>
        <w:tc>
          <w:tcPr>
            <w:tcW w:w="0" w:type="dxa"/>
            <w:vAlign w:val="bottom"/>
          </w:tcPr>
          <w:p>
            <w:pPr>
              <w:spacing w:after="0"/>
              <w:rPr>
                <w:sz w:val="1"/>
                <w:szCs w:val="1"/>
                <w:color w:val="auto"/>
              </w:rPr>
            </w:pPr>
          </w:p>
        </w:tc>
      </w:tr>
      <w:tr>
        <w:trPr>
          <w:trHeight w:val="248"/>
        </w:trPr>
        <w:tc>
          <w:tcPr>
            <w:tcW w:w="56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14,968</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Intangible amortization expense was approximately $1.6 million and $1.1 million for the three months ended March 31, 2026 and 2025, respectively.</w:t>
      </w:r>
    </w:p>
    <w:p>
      <w:pPr>
        <w:spacing w:after="0" w:line="23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future amortization expense by year is expected to be as follows (in thousands):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4,976</w:t>
            </w:r>
          </w:p>
        </w:tc>
        <w:tc>
          <w:tcPr>
            <w:tcW w:w="0" w:type="dxa"/>
            <w:vAlign w:val="bottom"/>
          </w:tcPr>
          <w:p>
            <w:pPr>
              <w:spacing w:after="0"/>
              <w:rPr>
                <w:sz w:val="1"/>
                <w:szCs w:val="1"/>
                <w:color w:val="auto"/>
              </w:rPr>
            </w:pPr>
          </w:p>
        </w:tc>
      </w:tr>
      <w:tr>
        <w:trPr>
          <w:trHeight w:val="229"/>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6,117</w:t>
            </w:r>
          </w:p>
        </w:tc>
        <w:tc>
          <w:tcPr>
            <w:tcW w:w="0" w:type="dxa"/>
            <w:vAlign w:val="bottom"/>
          </w:tcPr>
          <w:p>
            <w:pPr>
              <w:spacing w:after="0"/>
              <w:rPr>
                <w:sz w:val="1"/>
                <w:szCs w:val="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w:t>
            </w:r>
          </w:p>
        </w:tc>
        <w:tc>
          <w:tcPr>
            <w:tcW w:w="0" w:type="dxa"/>
            <w:vAlign w:val="bottom"/>
          </w:tcPr>
          <w:p>
            <w:pPr>
              <w:spacing w:after="0"/>
              <w:rPr>
                <w:sz w:val="1"/>
                <w:szCs w:val="1"/>
                <w:color w:val="auto"/>
              </w:rPr>
            </w:pPr>
          </w:p>
        </w:tc>
      </w:tr>
      <w:tr>
        <w:trPr>
          <w:trHeight w:val="230"/>
        </w:trPr>
        <w:tc>
          <w:tcPr>
            <w:tcW w:w="9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48"/>
        </w:trPr>
        <w:tc>
          <w:tcPr>
            <w:tcW w:w="99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14,929</w:t>
            </w:r>
          </w:p>
        </w:tc>
        <w:tc>
          <w:tcPr>
            <w:tcW w:w="0" w:type="dxa"/>
            <w:vAlign w:val="bottom"/>
          </w:tcPr>
          <w:p>
            <w:pPr>
              <w:spacing w:after="0"/>
              <w:rPr>
                <w:sz w:val="1"/>
                <w:szCs w:val="1"/>
                <w:color w:val="auto"/>
              </w:rPr>
            </w:pPr>
          </w:p>
        </w:tc>
      </w:tr>
      <w:tr>
        <w:trPr>
          <w:trHeight w:val="20"/>
        </w:trPr>
        <w:tc>
          <w:tcPr>
            <w:tcW w:w="99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The changes in the carrying amount of goodwill were as follows (in thousands):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9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
        </w:trPr>
        <w:tc>
          <w:tcPr>
            <w:tcW w:w="99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530,568</w:t>
            </w:r>
          </w:p>
        </w:tc>
        <w:tc>
          <w:tcPr>
            <w:tcW w:w="0" w:type="dxa"/>
            <w:vAlign w:val="bottom"/>
          </w:tcPr>
          <w:p>
            <w:pPr>
              <w:spacing w:after="0"/>
              <w:rPr>
                <w:sz w:val="1"/>
                <w:szCs w:val="1"/>
                <w:color w:val="auto"/>
              </w:rPr>
            </w:pPr>
          </w:p>
        </w:tc>
      </w:tr>
      <w:tr>
        <w:trPr>
          <w:trHeight w:val="230"/>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 acquisitions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11,289</w:t>
            </w:r>
          </w:p>
        </w:tc>
        <w:tc>
          <w:tcPr>
            <w:tcW w:w="0" w:type="dxa"/>
            <w:vAlign w:val="bottom"/>
          </w:tcPr>
          <w:p>
            <w:pPr>
              <w:spacing w:after="0"/>
              <w:rPr>
                <w:sz w:val="1"/>
                <w:szCs w:val="1"/>
                <w:color w:val="auto"/>
              </w:rPr>
            </w:pPr>
          </w:p>
        </w:tc>
      </w:tr>
      <w:tr>
        <w:trPr>
          <w:trHeight w:val="230"/>
        </w:trPr>
        <w:tc>
          <w:tcPr>
            <w:tcW w:w="9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w:t>
            </w:r>
          </w:p>
        </w:tc>
        <w:tc>
          <w:tcPr>
            <w:tcW w:w="0" w:type="dxa"/>
            <w:vAlign w:val="bottom"/>
          </w:tcPr>
          <w:p>
            <w:pPr>
              <w:spacing w:after="0"/>
              <w:rPr>
                <w:sz w:val="1"/>
                <w:szCs w:val="1"/>
                <w:color w:val="auto"/>
              </w:rPr>
            </w:pPr>
          </w:p>
        </w:tc>
      </w:tr>
      <w:tr>
        <w:trPr>
          <w:trHeight w:val="223"/>
        </w:trPr>
        <w:tc>
          <w:tcPr>
            <w:tcW w:w="9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540,543</w:t>
            </w:r>
          </w:p>
        </w:tc>
        <w:tc>
          <w:tcPr>
            <w:tcW w:w="0" w:type="dxa"/>
            <w:vAlign w:val="bottom"/>
          </w:tcPr>
          <w:p>
            <w:pPr>
              <w:spacing w:after="0"/>
              <w:rPr>
                <w:sz w:val="1"/>
                <w:szCs w:val="1"/>
                <w:color w:val="auto"/>
              </w:rPr>
            </w:pPr>
          </w:p>
        </w:tc>
      </w:tr>
      <w:tr>
        <w:trPr>
          <w:trHeight w:val="20"/>
        </w:trPr>
        <w:tc>
          <w:tcPr>
            <w:tcW w:w="992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99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99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7. Accrued Expenses and Other Current Liabilities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(in thousands):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3"/>
                <w:szCs w:val="13"/>
                <w:color w:val="auto"/>
              </w:rPr>
            </w:pPr>
          </w:p>
        </w:tc>
        <w:tc>
          <w:tcPr>
            <w:tcW w:w="124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5"/>
        </w:trPr>
        <w:tc>
          <w:tcPr>
            <w:tcW w:w="8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8"/>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compensation and commissions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109,765</w:t>
            </w:r>
          </w:p>
        </w:tc>
      </w:tr>
      <w:tr>
        <w:trPr>
          <w:trHeight w:val="229"/>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 liability and sales tax</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52,934</w:t>
            </w:r>
          </w:p>
        </w:tc>
      </w:tr>
      <w:tr>
        <w:trPr>
          <w:trHeight w:val="22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46,896</w:t>
            </w:r>
          </w:p>
        </w:tc>
      </w:tr>
      <w:tr>
        <w:trPr>
          <w:trHeight w:val="223"/>
        </w:trPr>
        <w:tc>
          <w:tcPr>
            <w:tcW w:w="8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208,549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209,595</w:t>
            </w:r>
          </w:p>
        </w:tc>
      </w:tr>
      <w:tr>
        <w:trPr>
          <w:trHeight w:val="21"/>
        </w:trPr>
        <w:tc>
          <w:tcPr>
            <w:tcW w:w="8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231F20"/>
        </w:rPr>
        <w:t>D</w:t>
      </w:r>
      <w:r>
        <w:rPr>
          <w:rFonts w:ascii="Times New Roman" w:cs="Times New Roman" w:eastAsia="Times New Roman" w:hAnsi="Times New Roman"/>
          <w:sz w:val="18"/>
          <w:szCs w:val="18"/>
          <w:color w:val="000000"/>
        </w:rPr>
        <w:t>ue to the timing of when invoices are received, payables for cloud hosting and infrastructure expenses are included within accounts payable on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condensed consolidated balance sheets, amounting to $96.3 million and $122.7 million as of March 31, 2026 and December 31, 2025,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Convertible Senior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Senior Notes</w:t>
      </w:r>
    </w:p>
    <w:p>
      <w:pPr>
        <w:spacing w:after="0" w:line="229" w:lineRule="exact"/>
        <w:rPr>
          <w:sz w:val="20"/>
          <w:szCs w:val="20"/>
          <w:color w:val="auto"/>
        </w:rPr>
      </w:pPr>
    </w:p>
    <w:p>
      <w:pPr>
        <w:jc w:val="both"/>
        <w:ind w:firstLine="972"/>
        <w:spacing w:after="0" w:line="258" w:lineRule="auto"/>
        <w:rPr>
          <w:sz w:val="20"/>
          <w:szCs w:val="20"/>
          <w:color w:val="auto"/>
        </w:rPr>
      </w:pPr>
      <w:r>
        <w:rPr>
          <w:rFonts w:ascii="Times New Roman" w:cs="Times New Roman" w:eastAsia="Times New Roman" w:hAnsi="Times New Roman"/>
          <w:sz w:val="18"/>
          <w:szCs w:val="18"/>
          <w:color w:val="auto"/>
        </w:rPr>
        <w:t>On June 2, 2020, the Company issued $747.5 million aggregate principal amount of the “2025 Notes.” The 2025 Notes bore interest at a rate of 0.125% per year. The total net proceeds from the sale of the 2025 Notes, after deducting the initial purchasers’ discounts and debt issuance costs, were approximately $730.2 million. The 2025 Notes matured on June 15, 2025. The remaining $634.1 million aggregate principal amount of the 2025 Notes were converted prior to maturity and in connection with such conversions, the Company delivered $634.1 million in cash and issued 1,354,569 shares of the Company's Class A common stock to converting note holders.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2029 Convertible Senior Notes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December 12, 2024, the Company issued $1.0 billion aggregate principal amount of 0.00% Convertible Senior Notes due 2029 (the “2029 Notes”) in a private placement to qualified institutional buyers pursuant to Rule 144A under the Securities Act. The total net proceeds from the sale of the 2029 Notes, after deducting the initial purchasers’ discounts and debt issuance costs, were approximately $979.1 million. The 2029 Notes do not bear interest and the principal amount of the 2029 Notes will not accrete. The 2029 Notes will mature on December 1, 2029, unless earlier converted, redeemed or repurchased.</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Holders may convert their 2029 Notes at their option at any time prior to the close of business on the business day immediately preceding September 1, 2029 only under the following circumstances:</w:t>
      </w:r>
    </w:p>
    <w:p>
      <w:pPr>
        <w:spacing w:after="0" w:line="54" w:lineRule="exact"/>
        <w:rPr>
          <w:sz w:val="20"/>
          <w:szCs w:val="20"/>
          <w:color w:val="auto"/>
        </w:rPr>
      </w:pPr>
    </w:p>
    <w:p>
      <w:pPr>
        <w:jc w:val="both"/>
        <w:ind w:left="980" w:hanging="486"/>
        <w:spacing w:after="0" w:line="261"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calendar quarter commencing after the calendar quarter ending on March 31, 2025 (and only during such calendar quarter), if the last reported sale price of the Company’s Class A common stock for at least 20 trading days (whether or not consecutive) during a period of 30 consecutive trading days ending on, and including, the last trading day of the immediately preceding calendar quarter is greater than or equal to 130% of the conversion price for the 2029 Notes on each applicable trading day;</w:t>
      </w:r>
    </w:p>
    <w:p>
      <w:pPr>
        <w:spacing w:after="0" w:line="71"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five business day period after any ten consecutive trading day period (the “measurement period”) in which the trading price per $1,000 principal amount of 2029 Notes for each trading day of the measurement period was less than 98% of the product of the last reported sale price of the Company’s Class A common stock and the conversion rate on each such trading day;</w:t>
      </w:r>
    </w:p>
    <w:p>
      <w:pPr>
        <w:spacing w:after="0" w:line="67" w:lineRule="exact"/>
        <w:rPr>
          <w:rFonts w:ascii="Times New Roman" w:cs="Times New Roman" w:eastAsia="Times New Roman" w:hAnsi="Times New Roman"/>
          <w:sz w:val="18"/>
          <w:szCs w:val="18"/>
          <w:color w:val="auto"/>
        </w:rPr>
      </w:pPr>
    </w:p>
    <w:p>
      <w:pPr>
        <w:ind w:left="980" w:hanging="486"/>
        <w:spacing w:after="0" w:line="282" w:lineRule="auto"/>
        <w:tabs>
          <w:tab w:leader="none" w:pos="9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calls such 2029 Notes for redemption, at any time prior to the close of business on the scheduled trading day immediately preceding the redemption date; or</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specified corporate events, as set forth in the indenture governing the 2029 Notes (the “2029 Indenture”).</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On or after September 1, 2029 until the close of business on the second scheduled trading day immediately preceding the maturity date for the 2029 Notes, holders may convert all or any portion of their 2029 Notes, in integral multiples of $1,000 principal amount, at the option of the holder regardless of the foregoing circumstances. The conversion rate for the 2029 Notes is initially 4.5955 shares of Class A common stock per $1,000 principal amount of 2029 Notes (equivalent to an initial conversion price for the 2029 Notes of approximately $217.60 per share of Class A common stock), subject to adjustment as set forth in the 2029 Indenture. Upon conversion, the Company will pay or deliver, as the case may be, cash, shares of Class A</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jc w:val="both"/>
        <w:spacing w:after="0" w:line="256" w:lineRule="auto"/>
        <w:rPr>
          <w:sz w:val="20"/>
          <w:szCs w:val="20"/>
          <w:color w:val="auto"/>
        </w:rPr>
      </w:pPr>
      <w:r>
        <w:rPr>
          <w:rFonts w:ascii="Times New Roman" w:cs="Times New Roman" w:eastAsia="Times New Roman" w:hAnsi="Times New Roman"/>
          <w:sz w:val="18"/>
          <w:szCs w:val="18"/>
          <w:color w:val="auto"/>
        </w:rPr>
        <w:t>common stock or a combination of cash and shares of Class A common stock, at the Company’s election. If the Company satisfies its conversion obligation solely in cash or through payment and delivery, as the case may be, of a combination of cash and shares of Class A common stock, the amount of cash and shares of Class A common stock, if any, due upon conversion will be based on a daily conversion value calculated on a proportionate basis for each trading day in a 20 trading day observation period as described in the 2029 Indenture. In addition, if specific corporate events occur prior to the applicable maturity date for the 2029 Notes, or if the Company elects to redeem the 2029 Notes, the Company will increase the conversion rate for the 2029 Notes for a holder who elects to convert their 2029 Notes in connection with such a corporate event or redemption in certain circumstances.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conditional conversion features of the 2029 Notes were not triggered. Therefore the 2029 Notes are not convertible, in whole or in part, at the option of the holders between April 1, 2026 through June 30, 2026. As of March 31, 2026, the 2029 Notes were classified as non-current liabilities on the Company's condensed consolidated balance sheet.</w:t>
      </w:r>
    </w:p>
    <w:p>
      <w:pPr>
        <w:spacing w:after="0" w:line="176"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Company may not redeem the 2029 Notes prior to December 6, 2027. The Company may redeem for cash all or any portion of the 2029 Notes, at its option, on or after December 6, 2027 if the last reported sale price of its Class A common stock was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a notice of redemption at a redemption price equal to 100% of the principal amount of the 2029 Notes to be redeemed, plus accrued and unpaid special interest, if any, to, but excluding, the redemption date.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net carrying amount of the 2029 Notes was as follows (in thousands):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28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14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16"/>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Convertible senior notes, net:</w:t>
            </w: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9"/>
        </w:trPr>
        <w:tc>
          <w:tcPr>
            <w:tcW w:w="81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Principal</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r>
      <w:tr>
        <w:trPr>
          <w:trHeight w:val="229"/>
        </w:trPr>
        <w:tc>
          <w:tcPr>
            <w:tcW w:w="8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Unamortized debt issuance costs</w:t>
            </w:r>
          </w:p>
        </w:tc>
        <w:tc>
          <w:tcPr>
            <w:tcW w:w="2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(16,551)</w:t>
            </w:r>
          </w:p>
        </w:tc>
      </w:tr>
      <w:tr>
        <w:trPr>
          <w:trHeight w:val="223"/>
        </w:trPr>
        <w:tc>
          <w:tcPr>
            <w:tcW w:w="81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carrying amount</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984,496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983,449</w:t>
            </w:r>
          </w:p>
        </w:tc>
      </w:tr>
      <w:tr>
        <w:trPr>
          <w:trHeight w:val="20"/>
        </w:trPr>
        <w:tc>
          <w:tcPr>
            <w:tcW w:w="8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the total estimated fair value of the 2029 Notes was approximately $969.5 million. The fair value was determined based on the closing trading price or quoted market price per $100 of the 2029 Notes as of the last day of trading for the period. The fair value of the 2029 Notes is primarily affected by the trading price of the Company’s Class A common stock and market interest rates and has been classified as level 2 in the fair value hierarchy.</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Issuance costs were being amortized to interest expense over the contractual terms of the 2025 Notes at an effective interest rate of 0.59%. Issuance costs are being amortized to interest expense over the contractual terms of the 2029 Notes at an effective interest rate of 0.43%.</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interest expense related to the 2025 and 2029 Notes for the three months ended March 31, 2026 and 2025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60" w:type="dxa"/>
            <w:vAlign w:val="bottom"/>
          </w:tcPr>
          <w:p>
            <w:pPr>
              <w:spacing w:after="0"/>
              <w:rPr>
                <w:sz w:val="13"/>
                <w:szCs w:val="13"/>
                <w:color w:val="auto"/>
              </w:rPr>
            </w:pPr>
          </w:p>
        </w:tc>
      </w:tr>
      <w:tr>
        <w:trPr>
          <w:trHeight w:val="195"/>
        </w:trPr>
        <w:tc>
          <w:tcPr>
            <w:tcW w:w="764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60" w:type="dxa"/>
            <w:vAlign w:val="bottom"/>
            <w:tcBorders>
              <w:bottom w:val="single" w:sz="8" w:color="auto"/>
            </w:tcBorders>
          </w:tcPr>
          <w:p>
            <w:pPr>
              <w:spacing w:after="0"/>
              <w:rPr>
                <w:sz w:val="16"/>
                <w:szCs w:val="16"/>
                <w:color w:val="auto"/>
              </w:rPr>
            </w:pPr>
          </w:p>
        </w:tc>
      </w:tr>
      <w:tr>
        <w:trPr>
          <w:trHeight w:val="195"/>
        </w:trPr>
        <w:tc>
          <w:tcPr>
            <w:tcW w:w="76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Contractual interest expense</w:t>
            </w:r>
          </w:p>
        </w:tc>
        <w:tc>
          <w:tcPr>
            <w:tcW w:w="1020" w:type="dxa"/>
            <w:vAlign w:val="bottom"/>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10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248"/>
        </w:trPr>
        <w:tc>
          <w:tcPr>
            <w:tcW w:w="76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Capped Calls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connection with the pricing of the 2029 Notes, the Company entered into privately negotiated capped call transactions with certain option counterparties (the “Capped Calls”). The initial strike price of each of the Capped Calls corresponds to the initial conversion price of the 2029 Notes. The Capped Calls are expected to partially offset the potential dilution to the Company’s Class A common stock upon any conversion of the 2029 Notes, with such offset subject to a cap based on the cap price. For accounting purposes, the Capped Calls are separate transactions, and not part of the 2029 Notes. As these transactions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6" w:name="page17"/>
    <w:bookmarkEnd w:id="16"/>
    <w:p>
      <w:pPr>
        <w:jc w:val="both"/>
        <w:spacing w:after="0" w:line="282" w:lineRule="auto"/>
        <w:rPr>
          <w:sz w:val="20"/>
          <w:szCs w:val="20"/>
          <w:color w:val="auto"/>
        </w:rPr>
      </w:pPr>
      <w:r>
        <w:rPr>
          <w:rFonts w:ascii="Times New Roman" w:cs="Times New Roman" w:eastAsia="Times New Roman" w:hAnsi="Times New Roman"/>
          <w:sz w:val="18"/>
          <w:szCs w:val="18"/>
          <w:color w:val="auto"/>
        </w:rPr>
        <w:t>meet certain accounting criteria, the Capped Calls are recorded in stockholders’ equity and are not accounted for as derivatives. The cost incurred to purchase the Capped Calls was recorded as a reduction to additional paid-in capital and will not be remeasured.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key terms and costs incurred for the Capped Calls related to the 2029 Notes (in millions, except per share amounts):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jc w:val="right"/>
              <w:ind w:right="594"/>
              <w:spacing w:after="0"/>
              <w:rPr>
                <w:sz w:val="20"/>
                <w:szCs w:val="20"/>
                <w:color w:val="auto"/>
              </w:rPr>
            </w:pPr>
            <w:r>
              <w:rPr>
                <w:rFonts w:ascii="Times New Roman" w:cs="Times New Roman" w:eastAsia="Times New Roman" w:hAnsi="Times New Roman"/>
                <w:sz w:val="14"/>
                <w:szCs w:val="14"/>
                <w:b w:val="1"/>
                <w:bCs w:val="1"/>
                <w:color w:val="auto"/>
              </w:rPr>
              <w:t>2029 Notes</w:t>
            </w:r>
          </w:p>
        </w:tc>
      </w:tr>
      <w:tr>
        <w:trPr>
          <w:trHeight w:val="23"/>
        </w:trPr>
        <w:tc>
          <w:tcPr>
            <w:tcW w:w="9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Initial strike price per share, subject to certain adjustments</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217.60</w:t>
            </w:r>
          </w:p>
        </w:tc>
      </w:tr>
      <w:tr>
        <w:trPr>
          <w:trHeight w:val="229"/>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Initial cap price per share, subject to certain adjustments</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322.38</w:t>
            </w:r>
          </w:p>
        </w:tc>
      </w:tr>
      <w:tr>
        <w:trPr>
          <w:trHeight w:val="23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cost incurred</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r>
      <w:tr>
        <w:trPr>
          <w:trHeight w:val="234"/>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covered, subject to anti-dilution adjustments</w:t>
            </w:r>
          </w:p>
        </w:tc>
        <w:tc>
          <w:tcPr>
            <w:tcW w:w="4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bl>
    <w:p>
      <w:pPr>
        <w:spacing w:after="0" w:line="2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maturity of the 2025 Notes, the Company issued 1,354,569 shares to holders of the 2025 Notes that converted prior to maturity and received 1,360,738 shares from the relevant option counterparties upon settlement of the Capped Calls relating to the 2025 Notes.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Non-cancelable Material Commitments—</w:t>
      </w:r>
      <w:r>
        <w:rPr>
          <w:rFonts w:ascii="Times New Roman" w:cs="Times New Roman" w:eastAsia="Times New Roman" w:hAnsi="Times New Roman"/>
          <w:sz w:val="18"/>
          <w:szCs w:val="18"/>
          <w:color w:val="auto"/>
        </w:rPr>
        <w:t>During the three months ended March 31, 2026, other than certain non-cancelable operating leases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described in Note 10,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there have been no other material changes outside the ordinary course of business to the Company’s contractual obligations and commitments from those disclosed in the Annual Report.</w:t>
      </w:r>
    </w:p>
    <w:p>
      <w:pPr>
        <w:spacing w:after="0" w:line="17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401(k) Plan</w:t>
      </w:r>
      <w:r>
        <w:rPr>
          <w:rFonts w:ascii="Times New Roman" w:cs="Times New Roman" w:eastAsia="Times New Roman" w:hAnsi="Times New Roman"/>
          <w:sz w:val="18"/>
          <w:szCs w:val="18"/>
          <w:color w:val="auto"/>
        </w:rPr>
        <w:t>—The Company sponsors a 401(k) defined contribution plan covering all eligible U.S. employees. The Company is responsible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administrative costs of the 401(k) plan and makes matching contributions to the 401(k) plan. For the three months ended March 31, 2026 and 2025, the Company incurred expense of $2.5 million and $2.1 million, respectively, for matching contributions.</w:t>
      </w:r>
    </w:p>
    <w:p>
      <w:pPr>
        <w:spacing w:after="0" w:line="171"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Legal Matters</w:t>
      </w:r>
      <w:r>
        <w:rPr>
          <w:rFonts w:ascii="Times New Roman" w:cs="Times New Roman" w:eastAsia="Times New Roman" w:hAnsi="Times New Roman"/>
          <w:sz w:val="18"/>
          <w:szCs w:val="18"/>
          <w:color w:val="auto"/>
        </w:rPr>
        <w:t>—The Company is involved from time to time in various claims and legal actions arising in the ordinary course of business. While 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is not feasible to predict or determine the ultimate outcome of these matters, the Company believes that none of its current legal proceedings will have a material adverse effect on its financial position or results of operations.</w:t>
      </w:r>
    </w:p>
    <w:p>
      <w:pPr>
        <w:spacing w:after="0" w:line="171"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Indemnification</w:t>
      </w:r>
      <w:r>
        <w:rPr>
          <w:rFonts w:ascii="Times New Roman" w:cs="Times New Roman" w:eastAsia="Times New Roman" w:hAnsi="Times New Roman"/>
          <w:sz w:val="18"/>
          <w:szCs w:val="18"/>
          <w:color w:val="auto"/>
        </w:rPr>
        <w:t>—The Company enters into indemnification provisions under some agreements with other parties in the ordinary course of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business partners, investors, contractors, customers and the Company’s officers, directors and certain employees. The Company has agreed to indemnify and defend the indemnified party claims and related losses suffered or incurred by the indemnified party from actual or threatened third-party claim because of the Company’s activities or non-compliance with certain representations and warranties made by the Company. It is not possible to determine the maximum potential loss under these indemnification provisions due to the Company’s limited history of prior indemnification claims and the unique facts and circumstances involved in each particular provision. To date, losses recorded in the Company’s condensed consolidated statements of operations in connection with the indemnification provisions have not been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Leases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has entered into various non-cancelable operating leases for its facilities expiring between 2026 and 2036. Certain lease agreements contain an option for the Company to renew a lease for a term of up to three years or an option to terminate a lease early within one year. The Company considers these options, which may be elected at the Company’s sole discretion, in determining the lease term on a lease-by-lease basis.</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Lease expense for these leases is recognized on a straight-line basis over the lease term, with variable lease payments recognized in the period those payments are incurred.</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lease cost recognized within the Company’s condensed consolidated statements of operations were as follows (in thousands):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17" w:name="page18"/>
    <w:bookmarkEnd w:id="17"/>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4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Operating lease cost </w:t>
            </w:r>
            <w:r>
              <w:rPr>
                <w:rFonts w:ascii="Times New Roman" w:cs="Times New Roman" w:eastAsia="Times New Roman" w:hAnsi="Times New Roman"/>
                <w:sz w:val="21"/>
                <w:szCs w:val="21"/>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13,055</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103695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22"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non-cash lease expense of $9.1 million and $8.4 million for the three months ended March 31, 2026 and 2025, respectively.</w:t>
      </w:r>
    </w:p>
    <w:p>
      <w:pPr>
        <w:spacing w:after="0" w:line="23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Supplemental cash flow information and non-cash activity related to the Company’s operating leases are as follows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measurement of lease liabilities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10,611</w:t>
            </w:r>
          </w:p>
        </w:tc>
      </w:tr>
      <w:tr>
        <w:trPr>
          <w:trHeight w:val="234"/>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assets obtained in exchange for new lease liabilities</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37,769</w:t>
            </w:r>
          </w:p>
        </w:tc>
      </w:tr>
      <w:tr>
        <w:trPr>
          <w:trHeight w:val="522"/>
        </w:trPr>
        <w:tc>
          <w:tcPr>
            <w:tcW w:w="84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Maturities of lease liabilities by fiscal year for the Company’s operating leases are as follows (in thousands):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8"/>
        </w:trPr>
        <w:tc>
          <w:tcPr>
            <w:tcW w:w="8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44,313</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59,568</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51,685</w:t>
            </w:r>
          </w:p>
        </w:tc>
      </w:tr>
      <w:tr>
        <w:trPr>
          <w:trHeight w:val="230"/>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48,792</w:t>
            </w:r>
          </w:p>
        </w:tc>
      </w:tr>
      <w:tr>
        <w:trPr>
          <w:trHeight w:val="229"/>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49,097</w:t>
            </w:r>
          </w:p>
        </w:tc>
      </w:tr>
      <w:tr>
        <w:trPr>
          <w:trHeight w:val="229"/>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128,348</w:t>
            </w:r>
          </w:p>
        </w:tc>
      </w:tr>
      <w:tr>
        <w:trPr>
          <w:trHeight w:val="223"/>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381,803</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(81,247)</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300,556</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various operating leases that had not yet commenced, which are excluded from the table above. The operating leases will commence between fiscal years 2026 and 2027 with total undiscounted future payments of $221.6 million and a weighted-average lease term of 9.1 years.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 and discount rate for the Company’s operating leases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tcPr>
          <w:p>
            <w:pPr>
              <w:spacing w:after="0"/>
              <w:rPr>
                <w:sz w:val="13"/>
                <w:szCs w:val="13"/>
                <w:color w:val="auto"/>
              </w:rPr>
            </w:pPr>
          </w:p>
        </w:tc>
        <w:tc>
          <w:tcPr>
            <w:tcW w:w="14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March 31,</w:t>
            </w:r>
          </w:p>
        </w:tc>
      </w:tr>
      <w:tr>
        <w:trPr>
          <w:trHeight w:val="195"/>
        </w:trPr>
        <w:tc>
          <w:tcPr>
            <w:tcW w:w="978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2026</w:t>
            </w:r>
          </w:p>
        </w:tc>
      </w:tr>
      <w:tr>
        <w:trPr>
          <w:trHeight w:val="228"/>
        </w:trPr>
        <w:tc>
          <w:tcPr>
            <w:tcW w:w="9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6.67 %</w:t>
            </w:r>
          </w:p>
        </w:tc>
      </w:tr>
    </w:tbl>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Geographical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Revenue by location is determined by the billing address of the customer. The following table sets forth revenue by geographic area (in thousands):</w:t>
      </w:r>
    </w:p>
    <w:p>
      <w:pPr>
        <w:spacing w:after="0" w:line="124"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84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29"/>
        </w:trPr>
        <w:tc>
          <w:tcPr>
            <w:tcW w:w="848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 xml:space="preserve">North America </w:t>
            </w:r>
            <w:r>
              <w:rPr>
                <w:rFonts w:ascii="Times New Roman" w:cs="Times New Roman" w:eastAsia="Times New Roman" w:hAnsi="Times New Roman"/>
                <w:sz w:val="23"/>
                <w:szCs w:val="23"/>
                <w:color w:val="auto"/>
                <w:vertAlign w:val="superscript"/>
              </w:rPr>
              <w:t>(1)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723,933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533,815</w:t>
            </w:r>
          </w:p>
        </w:tc>
      </w:tr>
      <w:tr>
        <w:trPr>
          <w:trHeight w:val="230"/>
        </w:trPr>
        <w:tc>
          <w:tcPr>
            <w:tcW w:w="8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282,493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227,738</w:t>
            </w:r>
          </w:p>
        </w:tc>
      </w:tr>
      <w:tr>
        <w:trPr>
          <w:trHeight w:val="24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1,006,426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761,553</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0369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32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revenue from the United States of $692.7 million and $508.5 million for the three months ended March 31, 2026 and 2025, respectively.</w:t>
      </w:r>
    </w:p>
    <w:p>
      <w:pPr>
        <w:sectPr>
          <w:pgSz w:w="11900" w:h="16838" w:orient="portrait"/>
          <w:cols w:equalWidth="0" w:num="1">
            <w:col w:w="11240"/>
          </w:cols>
          <w:pgMar w:left="320" w:top="1214" w:right="339" w:bottom="144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 and Remaining Performance Obligations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Certain of the Company’s customers pay in advance of satisfaction of performance obligations and other customers with monthly contract terms are billed in arrears on a monthly basis. The Company records contract liabilities to deferred revenue when customers are billed or when the Company receives customer payments in advance of the performance obligations being satisfied on the Company’s contracts.</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Revenue recognized during the three months ended March 31, 2026 and 2025, which was included in the deferred revenue balances at the beginning of each such period, was $560.3 million and $425.3 million, respectively.</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aggregate amount of the transaction price in contracts allocated to performance obligations not delivered, or partially undelivered, as of the end of the reporting period. Remaining performance obligations include unearned revenue, multi-year contracts with future installment payments and certain unfulfilled orders against accepted customer contracts at the end of any given period. As of March 31, 2026 and December 31, 2025, the aggregate transaction price allocated to remaining performance obligations was $3,484.4 million and $3,461.2 million, respectively. There is uncertainty in the timing of revenues associated with the Company’s drawdown contracts, as future revenue can often vary significantly from past revenue. However, the Company expects to recognize substantially all of the remaining performance obligations over the next 24 months.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Accounts receivable deemed uncollectible are charged against the allowance for credit losses when identified. During the three months ended March 31, 2026 and 2025, the Company charged $3.3 million and $3.1 million, respectively, of accounts receivable deemed uncollectible against the allowance for credit losses.</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Unbilled accounts receivable represents revenue recognized on contracts for which billings have not yet been presented to customers because the amounts were earned but not contractually billable as of the balance sheet date. The unbilled accounts receivable balance is due within one year. As of March 31, 2026 and December 31, 2025, unbilled accounts receivable of approximately $134.1 million and $127.0 million, respectively, was included in accounts receivable on the Company’s condensed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Contract Costs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commissions earned by the Company’s sales force are considered incremental and recoverable costs of obtaining a contract with a customer. These costs are deferred and then amortized over a period of benefit, which is determined to be four years. Amounts expected to be recognized within one year of the balance sheet date are recorded as deferred contract costs, current; the remaining portion is recorded as deferred contract costs, non-current, in the condensed consolidated balance sheets.</w:t>
      </w:r>
    </w:p>
    <w:p>
      <w:pPr>
        <w:spacing w:after="0" w:line="180"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Deferred contract costs on the Company’s condensed consolidated balance sheets were $218.0 million and $202.7 million as of March 31, 2026 and December 31, 2025, respectively. Amortization expense was $20.3 million and $14.9 million for the three months ended March 31, 2026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Class A and Class B Common Stock</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has two classes of common stock, Class A and Class B. The rights of the holders of Class A and Class B common stock are identical, except with respect to voting and conversion. Each share of Class A common stock is entitled to one vote per share and each share of Class B common stock is entitled to ten votes per share. Shares of Class B common stock may be converted into Class A common stock at any time at the option of the stockholder and are automatically converted to Class A common stock upon sale or transfer, subject to certain limited exceptions.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three months ended March 31, 2026, 304,491 shares of Class B common stock were converted into Class A common stock.</w:t>
      </w:r>
    </w:p>
    <w:p>
      <w:pPr>
        <w:spacing w:after="0" w:line="225"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authorized 2,000,000,000 shares of Class A common stock and 310,000,000 shares of Class B common stock, each with a par value of $0.00001 per share, of which 330,573,793 shares of Class A common stock and 25,271,775 shares of Class B common stock were issued and outstanding.</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 has two equity incentive plans, the 2012 Equity Incentive Plan (the “2012 Plan”) and the 2019 Equity Incentive Plan (the “2019 Plan”). In connection with the Company’s initial public offering of Class A common stock (the “IPO”), the Company ceased granting awards under the 2012 Plan, and all shares that remained available for issuance under the 2012 Plan at that time were transferred to the 2019 Plan. Additionally, as of March 31, 2026, there were 2,166,251 shares of Class A common stock issuable upon conversion of Class B common stock underlying options outstanding under the 2012 Plan. Under the 2019 Plan, the Board and any committee or subcommittee of the Board may grant stock options, stock appreciation rights, restricted stock, restricted stock units (“RSUs”) and performance stock units (“PSUs”) and other awards, each equity award valued or based on the Company’s Class A common stock, to employees, directors, consultants and advisors of the Company. As of March 31, 2026, there were 108,289,634 shares available for grant under the 2019 Plan.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and weighted-average exercise prices: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6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6"/>
        </w:trPr>
        <w:tc>
          <w:tcPr>
            <w:tcW w:w="56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75"/>
        </w:trPr>
        <w:tc>
          <w:tcPr>
            <w:tcW w:w="56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620" w:type="dxa"/>
            <w:vAlign w:val="bottom"/>
          </w:tcPr>
          <w:p>
            <w:pPr>
              <w:spacing w:after="0"/>
              <w:rPr>
                <w:sz w:val="15"/>
                <w:szCs w:val="15"/>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5"/>
                <w:szCs w:val="15"/>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Intrinsic Value</w:t>
            </w:r>
          </w:p>
        </w:tc>
      </w:tr>
      <w:tr>
        <w:trPr>
          <w:trHeight w:val="190"/>
        </w:trPr>
        <w:tc>
          <w:tcPr>
            <w:tcW w:w="56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Life (in Years)</w:t>
            </w:r>
          </w:p>
        </w:tc>
        <w:tc>
          <w:tcPr>
            <w:tcW w:w="160" w:type="dxa"/>
            <w:vAlign w:val="bottom"/>
          </w:tcPr>
          <w:p>
            <w:pPr>
              <w:spacing w:after="0"/>
              <w:rPr>
                <w:sz w:val="16"/>
                <w:szCs w:val="16"/>
                <w:color w:val="auto"/>
              </w:rPr>
            </w:pPr>
          </w:p>
        </w:tc>
        <w:tc>
          <w:tcPr>
            <w:tcW w:w="116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56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r>
      <w:tr>
        <w:trPr>
          <w:trHeight w:val="243"/>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Balance—December 31, 2025</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3,474,619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447,294</w:t>
            </w: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exercised</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(1,293,916)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Options forfeited or expired</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r>
      <w:tr>
        <w:trPr>
          <w:trHeight w:val="289"/>
        </w:trPr>
        <w:tc>
          <w:tcPr>
            <w:tcW w:w="5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Balance—March 31, 2026</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2,180,703</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241,704</w:t>
            </w: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r>
        <w:trPr>
          <w:trHeight w:val="203"/>
        </w:trPr>
        <w:tc>
          <w:tcPr>
            <w:tcW w:w="562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Exercisable—March 31, 2026</w:t>
            </w:r>
          </w:p>
        </w:tc>
        <w:tc>
          <w:tcPr>
            <w:tcW w:w="13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2,180,703</w:t>
            </w:r>
          </w:p>
        </w:tc>
        <w:tc>
          <w:tcPr>
            <w:tcW w:w="280" w:type="dxa"/>
            <w:vAlign w:val="bottom"/>
            <w:gridSpan w:val="2"/>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7.21</w:t>
            </w:r>
          </w:p>
        </w:tc>
        <w:tc>
          <w:tcPr>
            <w:tcW w:w="10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241,704</w:t>
            </w:r>
          </w:p>
        </w:tc>
      </w:tr>
      <w:tr>
        <w:trPr>
          <w:trHeight w:val="20"/>
        </w:trPr>
        <w:tc>
          <w:tcPr>
            <w:tcW w:w="5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March 31, 2026, there were 14,452 shares of Class A common stock and 2,166,251 shares of Class B common stock issuable upon the exercise of options outstanding. As of December 31, 2025, there were 14,452 shares of Class A common stock and 3,460,167 shares of Class B common stock issuable upon the exercise of options outstanding.</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were no options granted during the three months ended March 31, 2026 and 2025. The Company received approximately $9.7 million and $1.7 million in cash proceeds from options exercised during the three months ended March 31, 2026 and 2025, respectively. The intrinsic value of options exercised during the three months ended March 31, 2026 and 2025 was approximately $127.5 million and $168.4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 Restricted Stock and Performance Stock Units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the activity for the Company’s unvested RSUs and PSUs: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0" w:type="dxa"/>
            <w:vAlign w:val="bottom"/>
          </w:tcPr>
          <w:p>
            <w:pPr>
              <w:spacing w:after="0"/>
              <w:rPr>
                <w:sz w:val="1"/>
                <w:szCs w:val="1"/>
                <w:color w:val="auto"/>
              </w:rPr>
            </w:pPr>
          </w:p>
        </w:tc>
      </w:tr>
      <w:tr>
        <w:trPr>
          <w:trHeight w:val="176"/>
        </w:trPr>
        <w:tc>
          <w:tcPr>
            <w:tcW w:w="7640" w:type="dxa"/>
            <w:vAlign w:val="bottom"/>
          </w:tcPr>
          <w:p>
            <w:pPr>
              <w:spacing w:after="0"/>
              <w:rPr>
                <w:sz w:val="15"/>
                <w:szCs w:val="15"/>
                <w:color w:val="auto"/>
              </w:rPr>
            </w:pPr>
          </w:p>
        </w:tc>
        <w:tc>
          <w:tcPr>
            <w:tcW w:w="1560" w:type="dxa"/>
            <w:vAlign w:val="bottom"/>
            <w:vMerge w:val="restart"/>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Average Grant Date</w:t>
            </w: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1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balance as of December 31, 2025</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16,700,043</w:t>
            </w: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124.10</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2,602,673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121.33</w:t>
            </w:r>
          </w:p>
        </w:tc>
        <w:tc>
          <w:tcPr>
            <w:tcW w:w="0" w:type="dxa"/>
            <w:vAlign w:val="bottom"/>
          </w:tcPr>
          <w:p>
            <w:pPr>
              <w:spacing w:after="0"/>
              <w:rPr>
                <w:sz w:val="1"/>
                <w:szCs w:val="1"/>
                <w:color w:val="auto"/>
              </w:rPr>
            </w:pPr>
          </w:p>
        </w:tc>
      </w:tr>
      <w:tr>
        <w:trPr>
          <w:trHeight w:val="27"/>
        </w:trPr>
        <w:tc>
          <w:tcPr>
            <w:tcW w:w="7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(1,891,445)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108.10</w:t>
            </w:r>
          </w:p>
        </w:tc>
        <w:tc>
          <w:tcPr>
            <w:tcW w:w="0" w:type="dxa"/>
            <w:vAlign w:val="bottom"/>
          </w:tcPr>
          <w:p>
            <w:pPr>
              <w:spacing w:after="0"/>
              <w:rPr>
                <w:sz w:val="1"/>
                <w:szCs w:val="1"/>
                <w:color w:val="auto"/>
              </w:rPr>
            </w:pPr>
          </w:p>
        </w:tc>
      </w:tr>
      <w:tr>
        <w:trPr>
          <w:trHeight w:val="24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Forfeited/canceled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(376,799)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127.67</w:t>
            </w:r>
          </w:p>
        </w:tc>
        <w:tc>
          <w:tcPr>
            <w:tcW w:w="0" w:type="dxa"/>
            <w:vAlign w:val="bottom"/>
          </w:tcPr>
          <w:p>
            <w:pPr>
              <w:spacing w:after="0"/>
              <w:rPr>
                <w:sz w:val="1"/>
                <w:szCs w:val="1"/>
                <w:color w:val="auto"/>
              </w:rPr>
            </w:pPr>
          </w:p>
        </w:tc>
      </w:tr>
      <w:tr>
        <w:trPr>
          <w:trHeight w:val="27"/>
        </w:trPr>
        <w:tc>
          <w:tcPr>
            <w:tcW w:w="76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Unvested and outstanding balance as of March 31, 2026</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17,034,472</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Company granted 134,236 restricted shares of Class A common stock in connection with acquisitions during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2026.</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Total compensation cost related to unvested RSUs and restricted shares of common stock not yet recognized was approximately $1,817.0 million and $1,717.2 million as of March 31, 2026 and December 31, 2025, respectively. The weighted-average period over which this compensation cost related to unvested RSUs and restricted shares of common stock will be recognized is 2.9 years and 2.8 years as of March 31, 2026 and December 31, 2025, respectively.</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20" w:name="page21"/>
    <w:bookmarkEnd w:id="20"/>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Total compensation cost related to unvested PSUs not yet recognized was approximately $63.2 million and $82.8 million as of March 31, 2026 and December 31, 2025, respectively. The weighted-average period over which this compensation cost related to unvested PSUs will be recognized is 1.4 years and 1.3 years as of March 31, 2026 and December 31,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September 2019, the Board adopted and approved the 2019 Employee Stock Purchase Plan (the “ESPP”).</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ESPP is implemented through a series of offerings under which eligible employees are granted purchase rights to purchase shares of the Company’s Class A common stock on specified dates during such offerings. Under the ESPP, the Company may specify offerings with durations of not more than 27 months and may specify shorter purchase periods within each offering. Historically offering periods have been approximately 6 months. On each purchase date, eligible employees will purchase the shares at a price per share equal to 85% of the lesser of (1) the fair market value of the Company’s Class A common stock on the first trading day of the offering period, or (2) the fair market value of the Company’s Class A common stock on the purchase date, as defined in the ESPP.</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Company recognized $7.2 million of stock-based compensation expense related to the ESPP during the three months ended March 31, 2026. As of March 31, 2026, $31.6 million has been withheld on behalf of employees for a future purchase under the ESPP due to the timing of payroll deductions. There were no purchases related to ESPP in the three months ended March 31, 2026. As of March 31, 2026, 26,719,708 shares of Class A common stock remain available for grant under the ESPP.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Company recognizes and measures compensation expense for all stock-based payment awards granted to employees, directors and nonemployees, including stock options, restricted stock units (“RSUs”), performance-based awards (“PSUs”), and the employee stock purchase plan (the “ESPP”) based on the fair value of the awards on the date of grant. The determination of the grant date fair value using an option-pricing model is affected by the estimated fair value of the Company’s common stock as well as assumptions regarding a number of other complex and subjective variables. These variables include expected stock price volatility over the expected term of the award, actual and projected employee stock option exercise behaviors, the risk-free interest rate for the expected term of the award and expected dividends. The fair value of RSUs and PSUs is determined by the closing price on the date of grant of the Company’s Class A common stock, as reported on the Nasdaq Global Select Market. The Company estimates the fair value of the rights to acquire stock under the ESPP using the Black-Scholes option-pricing model. Stock-based compensation for stock options and RSUs is recognized on a straight-line basis over the requisite service period and account for forfeitures as they occur. Stock-based compensation for PSUs is amortized under the accelerated attribution method and may be adjusted over the vesting period based on interim estimates of performance against pre-set objectives. PSUs will vest upon achievement of specified performance targets and subject to continuous service through the applicable vesting dates. The compensation cost is recognized over the requisite service period when it is probable that the performance condition will be satisfied and the Company accounts for forfeitures as they occur.</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also has certain options that have performance-based vesting conditions; stock-based compensation expense for such awards is recognized on a straight-line basis from the time the vesting condition is likely to be met through the time the vesting condition has been achieved.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1" w:name="page22"/>
    <w:bookmarkEnd w:id="21"/>
    <w:p>
      <w:pPr>
        <w:ind w:left="500"/>
        <w:spacing w:after="0"/>
        <w:rPr>
          <w:sz w:val="20"/>
          <w:szCs w:val="20"/>
          <w:color w:val="auto"/>
        </w:rPr>
      </w:pPr>
      <w:r>
        <w:rPr>
          <w:rFonts w:ascii="Times New Roman" w:cs="Times New Roman" w:eastAsia="Times New Roman" w:hAnsi="Times New Roman"/>
          <w:sz w:val="18"/>
          <w:szCs w:val="18"/>
          <w:color w:val="auto"/>
        </w:rPr>
        <w:t>Stock-based compensation expense was included in the condensed consolidated statement of operations as follows (in thousands):</w:t>
      </w:r>
    </w:p>
    <w:p>
      <w:pPr>
        <w:spacing w:after="0" w:line="151"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39370</wp:posOffset>
            </wp:positionV>
            <wp:extent cx="17487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3"/>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123,671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105,735</w:t>
            </w:r>
          </w:p>
        </w:tc>
      </w:tr>
      <w:tr>
        <w:trPr>
          <w:trHeight w:val="27"/>
        </w:trPr>
        <w:tc>
          <w:tcPr>
            <w:tcW w:w="8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w:t>
            </w: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net of amounts capitalized</w:t>
            </w:r>
          </w:p>
        </w:tc>
        <w:tc>
          <w:tcPr>
            <w:tcW w:w="3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164,265</w:t>
            </w:r>
          </w:p>
        </w:tc>
      </w:tr>
      <w:tr>
        <w:trPr>
          <w:trHeight w:val="237"/>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Capitalized stock-based compensation expense</w:t>
            </w: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9,189</w:t>
            </w: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5,662</w:t>
            </w:r>
          </w:p>
        </w:tc>
      </w:tr>
      <w:tr>
        <w:trPr>
          <w:trHeight w:val="27"/>
        </w:trPr>
        <w:tc>
          <w:tcPr>
            <w:tcW w:w="84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206,030</w:t>
            </w:r>
          </w:p>
        </w:tc>
        <w:tc>
          <w:tcPr>
            <w:tcW w:w="12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169,927</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309" w:right="339" w:bottom="1440" w:gutter="0" w:footer="0" w:header="0"/>
        </w:sectPr>
      </w:pP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Interest Income and Other Income,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Interest income and other income, net consist of the following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513080</wp:posOffset>
            </wp:positionV>
            <wp:extent cx="71323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 (loss),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968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Interest income and other income, net</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7487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49,229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50,727</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(3,548)</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6"/>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54,722</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47,179</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695" w:lineRule="exact"/>
        <w:rPr>
          <w:sz w:val="20"/>
          <w:szCs w:val="20"/>
          <w:color w:val="auto"/>
        </w:rPr>
      </w:pPr>
    </w:p>
    <w:p>
      <w:pPr>
        <w:sectPr>
          <w:pgSz w:w="11900" w:h="16838" w:orient="portrait"/>
          <w:cols w:equalWidth="0" w:num="2">
            <w:col w:w="7760" w:space="720"/>
            <w:col w:w="2760"/>
          </w:cols>
          <w:pgMar w:left="320" w:top="1309" w:right="339" w:bottom="1440" w:gutter="0" w:footer="0" w:header="0"/>
          <w:type w:val="continuous"/>
        </w:sectPr>
      </w:pPr>
    </w:p>
    <w:p>
      <w:pPr>
        <w:spacing w:after="0" w:line="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recorded a provision for income taxes of $6.4 million and $7.2 million for the three months ended March 31, 2026 and 2025, respectively. The Company has generated U.S. operating income and has minimal profits in its foreign jurisdictions during the quarter.</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Company’s effective tax rate was 10.79% and 22.50% for the three months ended March 31, 2026 and March 31, 2025, respectively. The effective tax rate differs from the U.S. federal statutory rate primarily due to the impact of a full valuation allowance on U.S. deferred tax assets, the favorable effects of the One Big Beautiful Bill Act (“OBBBA”), and withholding taxes in certain foreign jurisdictions.</w:t>
      </w:r>
    </w:p>
    <w:p>
      <w:pPr>
        <w:spacing w:after="0" w:line="174"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applied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and has determined that it has uncertain positions that would result in a tax reserve for each of the three months ended March 31, 2026 and 2025. There were no material changes to the Company's unrecognized tax benefits during the three months ended March 31, 2026. The Company’s policy is to recognize interest and penalties related to uncertain income tax positions in income tax expense. The Company is subject to U.S. federal tax authority, U.S. state tax authority and foreign tax authority examinations.</w:t>
      </w:r>
    </w:p>
    <w:p>
      <w:pPr>
        <w:spacing w:after="0" w:line="18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has evaluated the available evidence supporting the realization of its deferred tax assets, including the amount and timing of future taxable income, and has determined that it is more likely than not that its net deferred tax assets will not be realized in the United States. Due to uncertainties surrounding the realization of the deferred tax assets, the Company recorded a full valuation allowance against substantially all of its net deferred tax assets. When the Company determines that it will be able to realize some portion or all of its deferred tax assets, an adjustment to its valuation allowance on its deferred tax assets would have the effect of increasing net income in the period such determination is made.</w:t>
      </w:r>
    </w:p>
    <w:p>
      <w:pPr>
        <w:spacing w:after="0" w:line="183"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is subject to tax laws in the United States and numerous foreign jurisdictions. The United States and many international legislative and regulatory bodies continually propose and enact legislation that could significantly impact how U.S. multinational corporations are taxed. The Company is closely monitoring proposed legislation and its potential impact.</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permanently extends certain provisions of the Tax Cuts and Jobs Act, including 100% bonus depreciation for certain qualified property, and reverses the requirement to capitalize and amortize domestic research and experimentation (“R&amp;E”) expenses. As a result, for tax years beginning after December 31, 2024, taxpayers may deduct such expenses in the year incurred. The legislation also</w:t>
      </w:r>
    </w:p>
    <w:p>
      <w:pPr>
        <w:sectPr>
          <w:pgSz w:w="11900" w:h="16838" w:orient="portrait"/>
          <w:cols w:equalWidth="0" w:num="1">
            <w:col w:w="11240"/>
          </w:cols>
          <w:pgMar w:left="320" w:top="1309" w:right="339" w:bottom="1440" w:gutter="0" w:footer="0" w:header="0"/>
          <w:type w:val="continuous"/>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2" w:name="page23"/>
    <w:bookmarkEnd w:id="22"/>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introduced an election to accelerate any unamortized domestic R&amp;E expenditures over a one- or two-year period beginning with the 2025 tax year and includes modifications to the international tax framework. The OBBBA also includes modifications to the international tax framework. Future guidance from the Internal Revenue Service and other tax authorities with respect to such legislation may affect us, and certain aspects thereof could be repealed or modified in future legislation. In accordance with ASC 740, </w:t>
      </w:r>
      <w:r>
        <w:rPr>
          <w:rFonts w:ascii="Times New Roman" w:cs="Times New Roman" w:eastAsia="Times New Roman" w:hAnsi="Times New Roman"/>
          <w:sz w:val="18"/>
          <w:szCs w:val="18"/>
          <w:i w:val="1"/>
          <w:iCs w:val="1"/>
          <w:color w:val="auto"/>
        </w:rPr>
        <w:t>Accounting for Income Taxes</w:t>
      </w:r>
      <w:r>
        <w:rPr>
          <w:rFonts w:ascii="Times New Roman" w:cs="Times New Roman" w:eastAsia="Times New Roman" w:hAnsi="Times New Roman"/>
          <w:sz w:val="18"/>
          <w:szCs w:val="18"/>
          <w:color w:val="auto"/>
        </w:rPr>
        <w:t>, the Company has reflected the effects of the OBBBA in its financial statements for the quarter ended March 31, 2026. The enactment of the OBBBA reduced the Company’s forecasted U.S. income tax expense for 2026. The legislation did not impact the Company’s U.S. net deferred tax assets or liabilities, as a full valuation allowance continues to be maintained against those balances.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Net Income Per Share</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Basic and diluted net income per common share is presented in conformity with the two-class method required for participating securities. Basic and diluted net income per share is computed using the weighted-average number of shares of common stock outstanding during the period. The undistributed earnings are allocated based on the contractual participation rights of the Class A and Class B common stock as if the earnings for the year have been distributed. As the liquidation and dividend rights are identical, the undistributed earnings are allocated on a proportionate basis. Further, as the conversion of Class B common stock is assumed in the computation of the diluted net income per share of Class A common stock, the undistributed earnings are equal to net income for that computation.</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the calculation of basic and diluted net income per share (in thousands, except per share data):</w:t>
      </w:r>
    </w:p>
    <w:p>
      <w:pPr>
        <w:spacing w:after="0" w:line="151"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9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39370</wp:posOffset>
            </wp:positionV>
            <wp:extent cx="27343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3"/>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0" w:type="dxa"/>
            <w:vAlign w:val="bottom"/>
          </w:tcPr>
          <w:p>
            <w:pPr>
              <w:spacing w:after="0"/>
              <w:rPr>
                <w:sz w:val="16"/>
                <w:szCs w:val="16"/>
                <w:color w:val="auto"/>
              </w:rPr>
            </w:pPr>
          </w:p>
        </w:tc>
      </w:tr>
      <w:tr>
        <w:trPr>
          <w:trHeight w:val="37"/>
        </w:trPr>
        <w:tc>
          <w:tcPr>
            <w:tcW w:w="694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3"/>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Class B</w:t>
            </w:r>
          </w:p>
        </w:tc>
      </w:tr>
      <w:tr>
        <w:trPr>
          <w:trHeight w:val="21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r>
      <w:tr>
        <w:trPr>
          <w:trHeight w:val="253"/>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3,681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22,808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1,834</w:t>
            </w:r>
          </w:p>
        </w:tc>
      </w:tr>
      <w:tr>
        <w:trPr>
          <w:trHeight w:val="233"/>
        </w:trPr>
        <w:tc>
          <w:tcPr>
            <w:tcW w:w="69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3"/>
        </w:trPr>
        <w:tc>
          <w:tcPr>
            <w:tcW w:w="6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Weighted-average shares used in calculating net income per share, 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328,539</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317,561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25,536</w:t>
            </w:r>
          </w:p>
        </w:tc>
      </w:tr>
      <w:tr>
        <w:trPr>
          <w:trHeight w:val="230"/>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Basic net income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89"/>
        </w:trPr>
        <w:tc>
          <w:tcPr>
            <w:tcW w:w="6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r>
      <w:tr>
        <w:trPr>
          <w:trHeight w:val="23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3"/>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Numerator:</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3"/>
        </w:trPr>
        <w:tc>
          <w:tcPr>
            <w:tcW w:w="6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Allocation of distributed income, net of interest expense and related tax</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49,625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24,101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1,938</w:t>
            </w:r>
          </w:p>
        </w:tc>
      </w:tr>
      <w:tr>
        <w:trPr>
          <w:trHeight w:val="246"/>
        </w:trPr>
        <w:tc>
          <w:tcPr>
            <w:tcW w:w="6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Reallocation of undistributed net income as a result of conversion of Class B to Class A shares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9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Allocation of undistributed income</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53,361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3,736</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26,039</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1,938</w:t>
            </w:r>
          </w:p>
        </w:tc>
      </w:tr>
      <w:tr>
        <w:trPr>
          <w:trHeight w:val="20"/>
        </w:trPr>
        <w:tc>
          <w:tcPr>
            <w:tcW w:w="6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0"/>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Denominator:</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33"/>
        </w:trPr>
        <w:tc>
          <w:tcPr>
            <w:tcW w:w="69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Number of shares used in basic calculation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328,539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317,561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25,536</w:t>
            </w:r>
          </w:p>
        </w:tc>
      </w:tr>
      <w:tr>
        <w:trPr>
          <w:trHeight w:val="253"/>
        </w:trPr>
        <w:tc>
          <w:tcPr>
            <w:tcW w:w="6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Weighted-average effect of diluted securities: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r>
      <w:tr>
        <w:trPr>
          <w:trHeight w:val="23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Conversion of Class B to Class A common shares outstanding</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24,733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Employee stock options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Restricted stock units and performance stock units</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Unvested restricted stock in connection with acquisition</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53"/>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Shares issuable upon conversion of the 2025 Notes</w:t>
            </w: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9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Shares issuable upon conversion of the 2029 Notes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94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Number of shares used in diluted calculation</w:t>
            </w: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364,731</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24,733</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363,078</w:t>
            </w:r>
          </w:p>
        </w:tc>
        <w:tc>
          <w:tcPr>
            <w:tcW w:w="10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25,536</w:t>
            </w:r>
          </w:p>
        </w:tc>
      </w:tr>
      <w:tr>
        <w:trPr>
          <w:trHeight w:val="243"/>
        </w:trPr>
        <w:tc>
          <w:tcPr>
            <w:tcW w:w="6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Diluted net income per share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0.07</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0.08</w:t>
            </w:r>
          </w:p>
        </w:tc>
      </w:tr>
      <w:tr>
        <w:trPr>
          <w:trHeight w:val="20"/>
        </w:trPr>
        <w:tc>
          <w:tcPr>
            <w:tcW w:w="69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 w:name="page24"/>
    <w:bookmarkEnd w:id="23"/>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Potentially dilutive securities that were not included in the diluted per share calculations because they would be anti-dilutive were as follows (in thousands):</w:t>
      </w:r>
    </w:p>
    <w:p>
      <w:pPr>
        <w:spacing w:after="0" w:line="88"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As of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41910</wp:posOffset>
            </wp:positionV>
            <wp:extent cx="17487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r>
      <w:tr>
        <w:trPr>
          <w:trHeight w:val="25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subject to outstanding stock options, RSUs and PSUs</w:t>
            </w:r>
          </w:p>
        </w:tc>
        <w:tc>
          <w:tcPr>
            <w:tcW w:w="84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4,359</w:t>
            </w:r>
          </w:p>
        </w:tc>
        <w:tc>
          <w:tcPr>
            <w:tcW w:w="120" w:type="dxa"/>
            <w:vAlign w:val="bottom"/>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23"/>
        </w:trPr>
        <w:tc>
          <w:tcPr>
            <w:tcW w:w="8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4,359</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2,868</w:t>
            </w:r>
          </w:p>
        </w:tc>
      </w:tr>
      <w:tr>
        <w:trPr>
          <w:trHeight w:val="21"/>
        </w:trPr>
        <w:tc>
          <w:tcPr>
            <w:tcW w:w="84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 uses the if-converted method for calculating any potential dilutive effect of the conversion options embedded in the Notes on diluted net income per share.</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entered into Capped Calls in connection with the issuance of the Notes. The effect of the Capped Calls was excluded from the calculation of diluted net income per share as the effect of the Capped Calls would have been anti-dilutive. The Capped Calls are expected to partially offset the potential dilution to the Company’s Class A common stock upon any conversion of the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Derivative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derivative financial instruments consist of foreign currency forward contracts used to manage exposure to fluctuations in foreign currency exchange rates, which all have maturities of 12 months or less.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2026, the Company had foreign currency forward contracts designated as cash flow hedges with total notional amounts of approximately $194.0 million. The notional amounts of derivative instruments represent the amount of foreign currency to be exchanged under the contracts and do not represent the Company’s exposure to credit or market risk.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2026, an estimated ($3.0) million of net gains (losses) included in accumulated other comprehensive income (loss) is expected to be reclassified into earnings within the next 12 months. Cash flows from the settlement of these contracts are classified in the same category as the underlying hedged transactions. Refer to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xml:space="preserve"> and Note 4, </w:t>
      </w:r>
      <w:r>
        <w:rPr>
          <w:rFonts w:ascii="Times New Roman" w:cs="Times New Roman" w:eastAsia="Times New Roman" w:hAnsi="Times New Roman"/>
          <w:sz w:val="18"/>
          <w:szCs w:val="18"/>
          <w:i w:val="1"/>
          <w:iCs w:val="1"/>
          <w:color w:val="auto"/>
        </w:rPr>
        <w:t>Fair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Measurements </w:t>
      </w:r>
      <w:r>
        <w:rPr>
          <w:rFonts w:ascii="Times New Roman" w:cs="Times New Roman" w:eastAsia="Times New Roman" w:hAnsi="Times New Roman"/>
          <w:sz w:val="18"/>
          <w:szCs w:val="18"/>
          <w:color w:val="auto"/>
        </w:rPr>
        <w:t>for additional information.</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condensed consolidated financial statements and related notes appearing elsewhere in this Quarterly Report on Form 10-Q and our audited consolidated financial statements and the related notes and the discussion under the heading “Management’s Discussion and Analysis of Financial Condition and Results of Operations” in our Annual Report on Form 10-K for the fiscal year ended December 31, 2025, or the Annual Report. This discussion, particularly information with respect to our future results of operations or financial condition, business strategy and plans and objectives of management for future operations, includes forward-looking statements that involve risks and uncertainties as described under the heading “Special Note Regarding Forward-Looking Statements” in this Quarterly Report on Form 10-Q. You should review the disclosure under the heading “Risk Factors” in this Quarterly Report on Form 10-Q for a discussion of important factors that could cause our actual results to differ materially from those anticipated in these forward-looking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Datadog is the AI-powered observability and security platform for cloud applications.</w:t>
      </w:r>
    </w:p>
    <w:p>
      <w:pPr>
        <w:spacing w:after="0" w:line="22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SaaS platform integrates and automates infrastructure monitoring, application performance monitoring, log management, user experience monitoring, cloud security, service management, and many other capabilities to provide unified, real-time observability and security for our customers’ entire technology stack. Datadog is used by organizations of all sizes and across a wide range of industries to enable digital transformation and cloud migration, drive collaboration among development, operations, security and business teams, accelerate time to market for applications, reduce time to problem resolution, secure applications and infrastructure, understand user behavior and track key business metrics.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or annual. Customers also have the option to purchase additional products, such as additional containers to monitor, custom metrics packages, anomaly detection and app analytics. Professional services are generally not required for the implementation of our products and revenue from such services has been immaterial to date.</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employ a land-and-expand business model centered around offering products that are easy to adopt and have a very short time to value. Our customers can expand their footprint with us on a self-service basis. Our customers often significantly increase their usage of the products they initially buy from us and expand their usage to other products we offer on our platform. We grow with our customers as they expand their workloads in the public and private cloud.</w:t>
      </w:r>
    </w:p>
    <w:p>
      <w:pPr>
        <w:spacing w:after="0" w:line="180"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of March 31, 2026, we had $426.4 million in cash and cash equivalents and $4.3 billion in marketable securities. We generated revenue of $1,006.4 million and $761.6 million in the three months ended March 31, 2026 and 2025, respectively, representing year-over-year growth of 32%. Substantially all of our revenue is from subscription software sales. While we have continued to make significant expenditures and investments, including in personnel-related costs, sales and marketing, infrastructure and operations, we generated net income of $52.6 million and $24.6 million for the three months ended March 31, 2026 and 2025, respectively. Our operating cash flow was $334.6 million and $271.5 million for the three months ended March 31, 2026 and 2025, respectively. Our free cash flow was $289.1 million and $244.4 million for the three months ended March 31, 2026 and 2025, respectively. See the section titled “—Liquidity and Capital Resources—Non-GAAP Free Cash Flow” below.</w:t>
      </w:r>
    </w:p>
    <w:p>
      <w:pPr>
        <w:spacing w:after="0" w:line="18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Unfavorable conditions in the economy both in the United States and abroad may negatively affect the growth of our business and our results of operations. For example, macroeconomic events including changes in trade policies, such as trade wars, tariffs or other trade restrictions or the threat of such actions, fluctuating inflation and interest rates, and the conflicts in Ukraine and the Middle East have led to economic uncertainty. Historically, during periods of economic uncertainty and downturns, businesses may slow spending on information technology, which may impact our business and our customers’ businesses.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Due to our subscription model, the effect of macroeconomic conditions may not be fully reflected in our results of operations until future periods. However, if economic uncertainty increases or the global economy worsens, our business, financial condition and results of operations may be harmed. For further discussion of the potential impacts of macroeconomic events on our business, financial condition, and operating results, see “Risk Factors” included in Part II, Item 1A of this report.</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Acquiring New Customers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substantial opportunity to continue to grow our customer base. We intend to drive new customer acquisition by continuing to invest significantly in sales and marketing to engage our prospective customers, increase brand awareness and drive adoption of our platform and products. We also plan to continue to invest in building brand awareness within the development and operations communities. As of March 31, 2026, we had approximately 33,200 customers spanning organizations of a broad range of sizes and industries, compared to approximately 30,500 as of March 31, 2025. Our ability to attract new customers will depend on a number of factors, including the effectiveness and pricing of our products, offerings of our competitors and the effectiveness of our marketing efforts.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define the number of customers as the number of accounts with a unique account identifier for which we have an active subscription in the period indicated. Users of our free trials or tier are not included in our customer count. A single organization with multiple divisions, segments or subsidiaries is generally counted as a single customer. However, in some cases where they have separate billing terms, we may count separate divisions, segments or subsidiaries as multiple customers.</w:t>
      </w: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Within Our Existing Customer Base</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base of customers represents a significant opportunity for further sales expansion. As of March 31, 2026, we had approximately 4,550 customers with annual run-rate revenue, or ARR, of $100,000 or more, representing 90% of our ARR, up from 3,770 customers as of March 31, 2025, representing 88% of our ARR. We monitor our number of customers with ARR of $100,000 or more, and believe it is useful to investors, as an indicator of our ability to grow the number of customers that are exceeding this ARR threshold. We define ARR as the annual run-rate revenue of subscription agreements from all customers at a point in time. We calculate ARR by taking the monthly run-rate revenue, or MRR, and multiplying it by 12. MRR for each month is calculated by aggregating, for all customers during that month, monthly revenue from committed contractual amounts, additional usage, usage from subscriptions for a committed contractual amount of usage that is delivered as used and monthly subscriptions. ARR and MRR should be viewed independently of revenue, and do not represent our revenue under GAAP on a monthly or annualized basis, as they are operating metrics that can be impacted by contract start and end dates and renewal rates. ARR and MRR are not intended to be replacements or forecasts of revenue.</w:t>
      </w:r>
    </w:p>
    <w:p>
      <w:pPr>
        <w:spacing w:after="0" w:line="188"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further indication of the propensity of our customer relationships to expand over time is our dollar-based net retention rate, which compares our ARR from the same set of customers in one period, relative to the year-ago period. As of March 31, 2026, our trailing 12-month dollar-based net retention rate was low-120%'s. As of March 31, 2025, our trailing 12-month dollar-based net retention rate was high-110%'s. The increase in our trailing 12-month dollar-based net retention rate was attributable to increased usage growth from existing customers. We calculate dollar-based net retention rate as of a period end by starting with the ARR from the cohort of all customers as of 12 months prior to such period-end, or the Prior Period ARR. We then calculate the ARR from these same customers as of the current period-end, or the Current Period ARR. Current Period ARR includes any expansion and is net of contraction or attrition over the last 12 months but excludes ARR from new customers in the current period. We then divide the total Current Period ARR by the total Prior Period ARR to arrive at the point-in-time dollar-based net retention rate. We then calculate the weighted average of the trailing 12-month point-in-time dollar-based net retention rates, to arrive at the trailing 12-month dollar-based net retention rate.</w:t>
      </w:r>
    </w:p>
    <w:p>
      <w:pPr>
        <w:spacing w:after="0" w:line="18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that our land-and-expand business model allows us to efficiently increase revenue from our existing customer base. Our customers often expand the deployment of our platform across large teams and more broadly within the enterprise as they migrate more workloads to the cloud, find new use cases for our platform, and generally realize the benefits of our platform. We intend to continue to invest in enhancing awareness of our brand and developing more products, features and functionality, which we believe are important factors to achieve widespread adoption of our platform. Our ability to increase sales to existing customers will depend on a number of factors, including our customers’ satisfaction with our solution, competition, pricing and overall changes in our customers’ spending levels.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6" w:name="page27"/>
    <w:bookmarkEnd w:id="26"/>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Sustaining Innovation and Technology Leadership</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success is dependent on our ability to sustain innovation and technology leadership in order to maintain our competitive advantage. We believe that we have built a highly differentiated platform that will position us to further extend the adoption of our platform and products. Datadog is frequently deployed across a customer’s entire infrastructure, making it ubiquitous. Datadog is a daily part of the lives of developers, operations engineers and business leaders. We employ a land-and-expand business model centered around offering products that are easy to adopt and have a very short time to value. Our efficient go-to-market model enables us to prioritize significant investment in innovation. We have demonstrated the success of our platform approach, through expansion beyond our initial infrastructure monitoring solution to include over 20 products. Approximately 85% of our customers were using two or more products as of March 31, 2026, up from approximately 83% a year earlier. Additionally, as of March 31, 2026, approximately 56% of our customers were using four or more products, up from approximately 51% a year earlier, approximately 35% of our customers were using six or more products, up from 28% a year earlier, approximately 20% of our customers were using eight or more products, up from 13% a year earlier; and approximately 11% of our customers were using ten or more products, up from 6% a year earlier. We believe these metrics indicate strong expansion of product adoption across our platform.</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intend to continue to invest in building additional products, features and functionality that expand our capabilities and facilitate the extension of our platform to new use cases. We also intend to continue to evaluate strategic acquisitions and investments in businesses and technologies to drive product and market expansion. Our future success is dependent on our ability to successfully develop, market and sell existing and new products to both new and existing customers.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Expanding Internationally</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believe there is a significant opportunity to expand usage of our platform outside of North America. Revenue, as determined based on the billing address of our customers, from regions outside of North America was approximately 28% and 30% of our total revenue for the three months ended March 31, 2026 and 2025, respectively. In addition, we have made and plan to continue to make significant investments to expand geographically, particularly in EMEA and APAC. Although these investments may adversely affect our operating results in the near term, we believe that they will contribute to our long-term growth. Beyond North America, we now have sales presence internationally, primarily in Amsterdam, Dublin, London, Paris, Seoul, Singapore, Sydney, and Tokyo.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generate revenue from the sale of subscriptions to customers using our cloud-based platform. The terms of our subscription agreements are primarily monthly, annual or multi-year, with the majority of our revenue coming from annual subscriptions. Our customers can enter into a subscription for a committed contractual amount of usage that is apportioned ratably on a monthly basis over the term of the subscription period, a subscription for a committed contractual amount of usage that is delivered as used, or a monthly subscription based on usage. To the extent that our customers’ usage exceeds the committed contracted amounts under their subscriptions, either on a monthly basis in the case of a ratable subscription or once the entire commitment is used in the case of a delivered-as-used subscription, they are charged for their incremental usage. Usage is measured on a per-unit basis, with the unit of measure differing for each product, based on the unit that, in working with customers and design partners, best indicates the value we deliver.</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the case of subscriptions for committed contractual amounts of usage, revenue is recognized ratably over the term of the subscription agreement, generally beginning on the date that our platform is made available to a customer. As a result, much of our revenue is generated from subscriptions entered into during previous periods. Consequently,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the case of a subscription for a committed contractual amount of usage that is delivered as used, a monthly subscription based on usage, or usage in excess of a ratable subscription, we recognize revenue as the product is used, which may lead to fluctuations in our revenue and results of operations. In addition, historically, we have experienced seasonality in new customer bookings, as we typically enter into a higher percentage of subscription agreements with new customers in the fourth quarter of the year.</w:t>
      </w:r>
    </w:p>
    <w:p>
      <w:pPr>
        <w:spacing w:after="0" w:line="188"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Due to ease of implementation of our products, professional services generally are not required and revenue from such services has been immaterial to date.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 w:name="page28"/>
    <w:bookmarkEnd w:id="27"/>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Cost of revenue primarily consists of expenses related to providing our products to customers, including payments to our third-party cloud infrastructure providers for hosting our software, personnel-related expenses for operations and global support, including salaries, benefits, bonuses and stock-based compensation, payment processing fees, information technology, depreciation and amortization related to the amortization of acquired intangibles and internal-use software and other overhead costs such as allocated facilities.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intend to continue to invest additional resources in our platform infrastructure and our customer support and success organizations to expand the capability of our platform and ensure that our customers are realizing the full benefit of our platform and products. The level, timing and relative investment in our infrastructure could affect our cost of revenue in the future.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Gross profit represents revenue less cost of revenue. Gross margin is gross profit expressed as a percentage of revenue. Our gross margin may fluctuate from period to period as our revenue fluctuates, and as a result of the timing and amount of investments to expand our products and geographical coverage.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operating expenses consist of research and development, sales and marketing and general and administrative expenses. Personnel costs are the most significant component of operating expenses and consist of salaries, benefits, bonuses, stock-based compensation expense and sales commissions. Operating expenses also include overhead costs for facilities and shared IT-related expenses, including depreciation expense.</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Research and development expense consists primarily of personnel costs for our engineering, service and design teams. Additionally, research and development expense includes contractor fees, depreciation and amortization and allocated overhead costs. Research and development costs are expensed as incurred, with the exception of certain software development costs which are eligible for capitalization. We expect that our research and development expense will increase in absolute dollars as our business grows, particularly as we incur additional costs related to continued investments in our platform.</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Sales and marketing expense consists primarily of personnel costs for our sales and marketing organization, costs of general marketing and promotional activities, including the free tier and free introductory trials of our products, travel-related expenses, amortization of acquired customer relationships, and allocated overhead costs. Sales commissions earned by our sales force are deferred and amortized on a straight-line basis over the expected period of benefit, which we have determined to be four years. We expect that our sales and marketing expense will increase in absolute dollars as we expand our sales and marketing efforts.</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 consists primarily of personnel costs for finance, legal, human resources, and other administrative functions. In addition, general and administrative expense includes non-personnel costs, such as legal, accounting and other professional fees, hardware and software costs, certain tax, license and insurance-related expenses and allocated overhead costs. We expect that our general and administrative expense will increase in absolute dollars as our business grows.</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Other income, (loss), net consists of interest income, primarily due to income earned on money market funds included in cash and cash equivalents and on marketable securities, partially offset by interest expense on the Notes and amortization of premiums on our marketable securities.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8" w:name="page29"/>
    <w:bookmarkEnd w:id="28"/>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Provision for income taxes consists of U.S. federal and state income taxes and income taxes in certain foreign jurisdictions in which we conduct business. We recorded a full valuation allowance on our federal and state deferred tax assets as we have concluded that it is not more likely than not that the deferred tax assets will be realized.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for the periods indicated:</w:t>
      </w:r>
    </w:p>
    <w:p>
      <w:pPr>
        <w:spacing w:after="0" w:line="130"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22225</wp:posOffset>
            </wp:positionV>
            <wp:extent cx="174879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17" w:lineRule="exact"/>
        <w:rPr>
          <w:sz w:val="20"/>
          <w:szCs w:val="20"/>
          <w:color w:val="auto"/>
        </w:rPr>
      </w:pPr>
    </w:p>
    <w:p>
      <w:pPr>
        <w:ind w:left="9000"/>
        <w:spacing w:after="0"/>
        <w:tabs>
          <w:tab w:leader="none" w:pos="1042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33655</wp:posOffset>
            </wp:positionV>
            <wp:extent cx="17487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9" w:lineRule="exact"/>
        <w:rPr>
          <w:sz w:val="20"/>
          <w:szCs w:val="20"/>
          <w:color w:val="auto"/>
        </w:rPr>
      </w:pPr>
    </w:p>
    <w:p>
      <w:pPr>
        <w:ind w:left="942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wp:posOffset>
            </wp:positionV>
            <wp:extent cx="71323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p>
      <w:pPr>
        <w:spacing w:after="0" w:line="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Cost of revenue </w:t>
      </w:r>
      <w:r>
        <w:rPr>
          <w:rFonts w:ascii="Times New Roman" w:cs="Times New Roman" w:eastAsia="Times New Roman" w:hAnsi="Times New Roman"/>
          <w:sz w:val="21"/>
          <w:szCs w:val="2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wp:posOffset>
            </wp:positionV>
            <wp:extent cx="71323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Gross profit</w:t>
      </w:r>
    </w:p>
    <w:p>
      <w:pPr>
        <w:spacing w:after="0" w:line="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21"/>
          <w:szCs w:val="21"/>
          <w:color w:val="auto"/>
          <w:vertAlign w:val="superscript"/>
        </w:rPr>
        <w:t>(1)(3)</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Sales and marketing </w:t>
      </w:r>
      <w:r>
        <w:rPr>
          <w:rFonts w:ascii="Times New Roman" w:cs="Times New Roman" w:eastAsia="Times New Roman" w:hAnsi="Times New Roman"/>
          <w:sz w:val="21"/>
          <w:szCs w:val="21"/>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1"/>
          <w:szCs w:val="21"/>
          <w:color w:val="auto"/>
          <w:vertAlign w:val="superscript"/>
        </w:rPr>
        <w:t>(1)(3)(4)</w:t>
      </w:r>
    </w:p>
    <w:p>
      <w:pPr>
        <w:spacing w:after="0" w:line="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 xml:space="preserve">Interest expense </w:t>
      </w:r>
      <w:r>
        <w:rPr>
          <w:rFonts w:ascii="Times New Roman" w:cs="Times New Roman" w:eastAsia="Times New Roman" w:hAnsi="Times New Roman"/>
          <w:sz w:val="21"/>
          <w:szCs w:val="21"/>
          <w:color w:val="auto"/>
          <w:vertAlign w:val="superscript"/>
        </w:rPr>
        <w:t>(5)</w:t>
      </w:r>
    </w:p>
    <w:p>
      <w:pPr>
        <w:spacing w:after="0" w:line="4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Interest income and other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Other income, net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ind w:left="320" w:hanging="312"/>
        <w:spacing w:after="0"/>
        <w:tabs>
          <w:tab w:leader="none" w:pos="3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stock-based compensation expense as follows:</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1,006,426</w:t>
            </w:r>
          </w:p>
        </w:tc>
        <w:tc>
          <w:tcPr>
            <w:tcW w:w="1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761,553</w:t>
            </w:r>
          </w:p>
        </w:tc>
      </w:tr>
      <w:tr>
        <w:trPr>
          <w:trHeight w:val="270"/>
        </w:trPr>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209,228</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157,628</w:t>
            </w:r>
          </w:p>
        </w:tc>
      </w:tr>
      <w:tr>
        <w:trPr>
          <w:trHeight w:val="250"/>
        </w:trPr>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797,198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603,925</w:t>
            </w:r>
          </w:p>
        </w:tc>
      </w:tr>
      <w:tr>
        <w:trPr>
          <w:trHeight w:val="540"/>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435,298</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341,061</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279,823</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214,291</w:t>
            </w:r>
          </w:p>
        </w:tc>
      </w:tr>
      <w:tr>
        <w:trPr>
          <w:trHeight w:val="270"/>
        </w:trPr>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74,750</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60,993</w:t>
            </w:r>
          </w:p>
        </w:tc>
      </w:tr>
      <w:tr>
        <w:trPr>
          <w:trHeight w:val="250"/>
        </w:trPr>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789,871</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616,345</w:t>
            </w:r>
          </w:p>
        </w:tc>
      </w:tr>
      <w:tr>
        <w:trPr>
          <w:trHeight w:val="250"/>
        </w:trPr>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(12,420)</w:t>
            </w:r>
          </w:p>
        </w:tc>
      </w:tr>
      <w:tr>
        <w:trPr>
          <w:trHeight w:val="540"/>
        </w:trPr>
        <w:tc>
          <w:tcPr>
            <w:tcW w:w="3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(3,119)</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(2,963)</w:t>
            </w:r>
          </w:p>
        </w:tc>
      </w:tr>
      <w:tr>
        <w:trPr>
          <w:trHeight w:val="270"/>
        </w:trPr>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54,722</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47,179</w:t>
            </w:r>
          </w:p>
        </w:tc>
      </w:tr>
      <w:tr>
        <w:trPr>
          <w:trHeight w:val="250"/>
        </w:trPr>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51,603</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44,216</w:t>
            </w:r>
          </w:p>
        </w:tc>
      </w:tr>
      <w:tr>
        <w:trPr>
          <w:trHeight w:val="250"/>
        </w:trPr>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58,930</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31,796</w:t>
            </w:r>
          </w:p>
        </w:tc>
      </w:tr>
      <w:tr>
        <w:trPr>
          <w:trHeight w:val="270"/>
        </w:trPr>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6,356</w:t>
            </w:r>
          </w:p>
        </w:tc>
        <w:tc>
          <w:tcPr>
            <w:tcW w:w="1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7,154</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52,574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24,642</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174879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7" w:lineRule="exact"/>
        <w:rPr>
          <w:sz w:val="20"/>
          <w:szCs w:val="20"/>
          <w:color w:val="auto"/>
        </w:rPr>
      </w:pPr>
    </w:p>
    <w:p>
      <w:pPr>
        <w:ind w:left="520"/>
        <w:spacing w:after="0"/>
        <w:tabs>
          <w:tab w:leader="none" w:pos="194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33655</wp:posOffset>
            </wp:positionV>
            <wp:extent cx="174879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66" w:lineRule="exact"/>
        <w:rPr>
          <w:sz w:val="20"/>
          <w:szCs w:val="20"/>
          <w:color w:val="auto"/>
        </w:rPr>
      </w:pPr>
    </w:p>
    <w:p>
      <w:pPr>
        <w:sectPr>
          <w:pgSz w:w="11900" w:h="16838" w:orient="portrait"/>
          <w:cols w:equalWidth="0" w:num="2">
            <w:col w:w="7760" w:space="720"/>
            <w:col w:w="2760"/>
          </w:cols>
          <w:pgMar w:left="320" w:top="1309" w:right="339" w:bottom="1440" w:gutter="0" w:footer="0" w:header="0"/>
          <w:type w:val="continuous"/>
        </w:sectPr>
      </w:pPr>
    </w:p>
    <w:tbl>
      <w:tblPr>
        <w:tblLayout w:type="fixed"/>
        <w:tblInd w:w="0" w:type="dxa"/>
        <w:tblCellMar>
          <w:top w:w="0" w:type="dxa"/>
          <w:left w:w="0" w:type="dxa"/>
          <w:bottom w:w="0" w:type="dxa"/>
          <w:right w:w="0" w:type="dxa"/>
        </w:tblCellMar>
      </w:tblPr>
      <w:tr>
        <w:trPr>
          <w:trHeight w:val="27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6,651</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123,671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34,125</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22,314</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17,754</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196,841</w:t>
            </w:r>
          </w:p>
        </w:tc>
        <w:tc>
          <w:tcPr>
            <w:tcW w:w="12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164,265</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80" w:type="dxa"/>
            <w:vAlign w:val="bottom"/>
            <w:vMerge w:val="continue"/>
          </w:tcPr>
          <w:p>
            <w:pPr>
              <w:spacing w:after="0"/>
              <w:rPr>
                <w:sz w:val="22"/>
                <w:szCs w:val="22"/>
                <w:color w:val="auto"/>
              </w:rPr>
            </w:pPr>
          </w:p>
        </w:tc>
        <w:tc>
          <w:tcPr>
            <w:tcW w:w="4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amortization of acquired intangibles expense as follows:</w:t>
      </w:r>
    </w:p>
    <w:p>
      <w:pPr>
        <w:spacing w:after="0" w:line="14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84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8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
        </w:trPr>
        <w:tc>
          <w:tcPr>
            <w:tcW w:w="8480" w:type="dxa"/>
            <w:vAlign w:val="bottom"/>
          </w:tcPr>
          <w:p>
            <w:pPr>
              <w:spacing w:after="0"/>
              <w:rPr>
                <w:sz w:val="4"/>
                <w:szCs w:val="4"/>
                <w:color w:val="auto"/>
              </w:rPr>
            </w:pPr>
          </w:p>
        </w:tc>
        <w:tc>
          <w:tcPr>
            <w:tcW w:w="8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0" w:type="dxa"/>
            <w:vAlign w:val="bottom"/>
          </w:tcPr>
          <w:p>
            <w:pPr>
              <w:spacing w:after="0"/>
              <w:rPr>
                <w:sz w:val="1"/>
                <w:szCs w:val="1"/>
                <w:color w:val="auto"/>
              </w:rPr>
            </w:pPr>
          </w:p>
        </w:tc>
      </w:tr>
      <w:tr>
        <w:trPr>
          <w:trHeight w:val="24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8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7"/>
        </w:trPr>
        <w:tc>
          <w:tcPr>
            <w:tcW w:w="848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84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1,640</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4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(3) Includes employer payroll taxes on employee stock transactions as follows:</w:t>
      </w:r>
    </w:p>
    <w:p>
      <w:pPr>
        <w:sectPr>
          <w:pgSz w:w="11900" w:h="16838" w:orient="portrait"/>
          <w:cols w:equalWidth="0" w:num="1">
            <w:col w:w="11240"/>
          </w:cols>
          <w:pgMar w:left="320" w:top="1309" w:right="339" w:bottom="1440"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29" w:name="page30"/>
    <w:bookmarkEnd w:id="29"/>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39370</wp:posOffset>
            </wp:positionV>
            <wp:extent cx="174879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Cost of revenue</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6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10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 Includes M&amp;A transaction costs as follows: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320" w:type="dxa"/>
            <w:vAlign w:val="bottom"/>
          </w:tcPr>
          <w:p>
            <w:pPr>
              <w:spacing w:after="0"/>
              <w:rPr>
                <w:sz w:val="16"/>
                <w:szCs w:val="16"/>
                <w:color w:val="auto"/>
              </w:rPr>
            </w:pPr>
          </w:p>
        </w:tc>
        <w:tc>
          <w:tcPr>
            <w:tcW w:w="1000" w:type="dxa"/>
            <w:vAlign w:val="bottom"/>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32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280"/>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20" w:type="dxa"/>
            <w:vAlign w:val="bottom"/>
          </w:tcPr>
          <w:p>
            <w:pPr>
              <w:spacing w:after="0"/>
              <w:rPr>
                <w:sz w:val="24"/>
                <w:szCs w:val="24"/>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11,276</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9,582</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70"/>
        </w:trPr>
        <w:tc>
          <w:tcPr>
            <w:tcW w:w="3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3,635</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2,225</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16,994</w:t>
            </w:r>
          </w:p>
        </w:tc>
        <w:tc>
          <w:tcPr>
            <w:tcW w:w="120" w:type="dxa"/>
            <w:vAlign w:val="bottom"/>
          </w:tcPr>
          <w:p>
            <w:pPr>
              <w:spacing w:after="0"/>
              <w:rPr>
                <w:sz w:val="20"/>
                <w:szCs w:val="20"/>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r>
      <w:tr>
        <w:trPr>
          <w:trHeight w:val="27"/>
        </w:trPr>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-5379085</wp:posOffset>
            </wp:positionH>
            <wp:positionV relativeFrom="paragraph">
              <wp:posOffset>-899795</wp:posOffset>
            </wp:positionV>
            <wp:extent cx="7132320" cy="1714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-556895</wp:posOffset>
            </wp:positionV>
            <wp:extent cx="71323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-5379085</wp:posOffset>
            </wp:positionH>
            <wp:positionV relativeFrom="paragraph">
              <wp:posOffset>-213995</wp:posOffset>
            </wp:positionV>
            <wp:extent cx="7132320" cy="1974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97485"/>
                    </a:xfrm>
                    <a:prstGeom prst="rect">
                      <a:avLst/>
                    </a:prstGeom>
                    <a:noFill/>
                  </pic:spPr>
                </pic:pic>
              </a:graphicData>
            </a:graphic>
          </wp:anchor>
        </w:drawing>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33020</wp:posOffset>
            </wp:positionV>
            <wp:extent cx="174879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7" w:lineRule="exact"/>
        <w:rPr>
          <w:sz w:val="20"/>
          <w:szCs w:val="20"/>
          <w:color w:val="auto"/>
        </w:rPr>
      </w:pPr>
    </w:p>
    <w:p>
      <w:pPr>
        <w:sectPr>
          <w:pgSz w:w="11900" w:h="16838" w:orient="portrait"/>
          <w:cols w:equalWidth="0" w:num="2">
            <w:col w:w="7760" w:space="720"/>
            <w:col w:w="2760"/>
          </w:cols>
          <w:pgMar w:left="320" w:top="1235" w:right="339" w:bottom="1440" w:gutter="0" w:footer="0" w:header="0"/>
          <w:type w:val="continuous"/>
        </w:sectPr>
      </w:pPr>
    </w:p>
    <w:tbl>
      <w:tblPr>
        <w:tblLayout w:type="fixed"/>
        <w:tblInd w:w="0" w:type="dxa"/>
        <w:tblCellMar>
          <w:top w:w="0" w:type="dxa"/>
          <w:left w:w="0" w:type="dxa"/>
          <w:bottom w:w="0" w:type="dxa"/>
          <w:right w:w="0" w:type="dxa"/>
        </w:tblCellMar>
      </w:tblPr>
      <w:tr>
        <w:trPr>
          <w:trHeight w:val="190"/>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6"/>
                <w:szCs w:val="16"/>
                <w:color w:val="auto"/>
              </w:rPr>
            </w:pPr>
          </w:p>
        </w:tc>
        <w:tc>
          <w:tcPr>
            <w:tcW w:w="880" w:type="dxa"/>
            <w:vAlign w:val="bottom"/>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48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2"/>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186"/>
        </w:trPr>
        <w:tc>
          <w:tcPr>
            <w:tcW w:w="8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6"/>
                <w:szCs w:val="16"/>
                <w:color w:val="auto"/>
              </w:rPr>
            </w:pPr>
          </w:p>
        </w:tc>
      </w:tr>
      <w:tr>
        <w:trPr>
          <w:trHeight w:val="37"/>
        </w:trPr>
        <w:tc>
          <w:tcPr>
            <w:tcW w:w="8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0"/>
        </w:trPr>
        <w:tc>
          <w:tcPr>
            <w:tcW w:w="8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rPr>
              <w:t>695</w:t>
            </w:r>
          </w:p>
        </w:tc>
        <w:tc>
          <w:tcPr>
            <w:tcW w:w="520" w:type="dxa"/>
            <w:vAlign w:val="bottom"/>
            <w:tcBorders>
              <w:bottom w:val="single" w:sz="8" w:color="CCEEFF"/>
            </w:tcBorders>
            <w:shd w:val="clear" w:color="auto" w:fill="CCEEFF"/>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90"/>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pacing w:after="0"/>
        <w:rPr>
          <w:sz w:val="20"/>
          <w:szCs w:val="20"/>
          <w:color w:val="auto"/>
        </w:rPr>
      </w:pPr>
      <w:r>
        <w:rPr>
          <w:rFonts w:ascii="Times New Roman" w:cs="Times New Roman" w:eastAsia="Times New Roman" w:hAnsi="Times New Roman"/>
          <w:sz w:val="14"/>
          <w:szCs w:val="14"/>
          <w:color w:val="auto"/>
        </w:rPr>
        <w:t>(5) Includes amortization of issuance costs as follows:</w:t>
      </w:r>
    </w:p>
    <w:p>
      <w:pPr>
        <w:spacing w:after="0" w:line="145"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9"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5388610</wp:posOffset>
            </wp:positionH>
            <wp:positionV relativeFrom="paragraph">
              <wp:posOffset>33020</wp:posOffset>
            </wp:positionV>
            <wp:extent cx="17487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37"/>
        </w:trPr>
        <w:tc>
          <w:tcPr>
            <w:tcW w:w="8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2"/>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8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20" w:type="dxa"/>
            <w:vAlign w:val="bottom"/>
          </w:tcPr>
          <w:p>
            <w:pPr>
              <w:spacing w:after="0"/>
              <w:rPr>
                <w:sz w:val="16"/>
                <w:szCs w:val="16"/>
                <w:color w:val="auto"/>
              </w:rPr>
            </w:pPr>
          </w:p>
        </w:tc>
      </w:tr>
      <w:tr>
        <w:trPr>
          <w:trHeight w:val="37"/>
        </w:trPr>
        <w:tc>
          <w:tcPr>
            <w:tcW w:w="8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1,047</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w:t>
            </w:r>
          </w:p>
        </w:tc>
      </w:tr>
      <w:tr>
        <w:trPr>
          <w:trHeight w:val="310"/>
        </w:trPr>
        <w:tc>
          <w:tcPr>
            <w:tcW w:w="11240" w:type="dxa"/>
            <w:vAlign w:val="bottom"/>
            <w:gridSpan w:val="8"/>
          </w:tcPr>
          <w:p>
            <w:pPr>
              <w:jc w:val="right"/>
              <w:ind w:right="432"/>
              <w:spacing w:after="0"/>
              <w:rPr>
                <w:sz w:val="20"/>
                <w:szCs w:val="20"/>
                <w:color w:val="auto"/>
              </w:rPr>
            </w:pPr>
            <w:r>
              <w:rPr>
                <w:rFonts w:ascii="Times New Roman" w:cs="Times New Roman" w:eastAsia="Times New Roman" w:hAnsi="Times New Roman"/>
                <w:sz w:val="18"/>
                <w:szCs w:val="18"/>
                <w:color w:val="auto"/>
              </w:rPr>
              <w:t>The following table sets forth our consolidated statements of operations data expressed as a percentage of revenue for the periods indicated:</w:t>
            </w:r>
          </w:p>
        </w:tc>
      </w:tr>
      <w:tr>
        <w:trPr>
          <w:trHeight w:val="286"/>
        </w:trPr>
        <w:tc>
          <w:tcPr>
            <w:tcW w:w="8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24"/>
                <w:szCs w:val="24"/>
                <w:color w:val="auto"/>
              </w:rPr>
            </w:pPr>
          </w:p>
        </w:tc>
      </w:tr>
      <w:tr>
        <w:trPr>
          <w:trHeight w:val="190"/>
        </w:trPr>
        <w:tc>
          <w:tcPr>
            <w:tcW w:w="8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gridSpan w:val="4"/>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r>
      <w:tr>
        <w:trPr>
          <w:trHeight w:val="37"/>
        </w:trPr>
        <w:tc>
          <w:tcPr>
            <w:tcW w:w="80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186"/>
        </w:trPr>
        <w:tc>
          <w:tcPr>
            <w:tcW w:w="80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37"/>
        </w:trPr>
        <w:tc>
          <w:tcPr>
            <w:tcW w:w="80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6"/>
          </w:tcPr>
          <w:p>
            <w:pPr>
              <w:spacing w:after="0"/>
              <w:rPr>
                <w:sz w:val="3"/>
                <w:szCs w:val="3"/>
                <w:color w:val="auto"/>
              </w:rPr>
            </w:pPr>
          </w:p>
        </w:tc>
      </w:tr>
      <w:tr>
        <w:trPr>
          <w:trHeight w:val="250"/>
        </w:trPr>
        <w:tc>
          <w:tcPr>
            <w:tcW w:w="8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760" w:type="dxa"/>
            <w:vAlign w:val="bottom"/>
            <w:gridSpan w:val="6"/>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(as a percentage of total revenue</w:t>
            </w:r>
            <w:r>
              <w:rPr>
                <w:rFonts w:ascii="Times New Roman" w:cs="Times New Roman" w:eastAsia="Times New Roman" w:hAnsi="Times New Roman"/>
                <w:sz w:val="21"/>
                <w:szCs w:val="21"/>
                <w:b w:val="1"/>
                <w:bCs w:val="1"/>
                <w:color w:val="auto"/>
                <w:vertAlign w:val="superscript"/>
              </w:rPr>
              <w:t>(1)</w:t>
            </w:r>
            <w:r>
              <w:rPr>
                <w:rFonts w:ascii="Times New Roman" w:cs="Times New Roman" w:eastAsia="Times New Roman" w:hAnsi="Times New Roman"/>
                <w:sz w:val="14"/>
                <w:szCs w:val="14"/>
                <w:b w:val="1"/>
                <w:bCs w:val="1"/>
                <w:color w:val="auto"/>
              </w:rPr>
              <w:t>)</w:t>
            </w:r>
          </w:p>
        </w:tc>
      </w:tr>
      <w:tr>
        <w:trPr>
          <w:trHeight w:val="250"/>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60" w:type="dxa"/>
            <w:vAlign w:val="bottom"/>
          </w:tcPr>
          <w:p>
            <w:pPr>
              <w:spacing w:after="0"/>
              <w:rPr>
                <w:sz w:val="21"/>
                <w:szCs w:val="21"/>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r>
      <w:tr>
        <w:trPr>
          <w:trHeight w:val="27"/>
        </w:trPr>
        <w:tc>
          <w:tcPr>
            <w:tcW w:w="8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79</w:t>
            </w: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r>
      <w:tr>
        <w:trPr>
          <w:trHeight w:val="243"/>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160" w:type="dxa"/>
            <w:vAlign w:val="bottom"/>
          </w:tcPr>
          <w:p>
            <w:pPr>
              <w:spacing w:after="0"/>
              <w:rPr>
                <w:sz w:val="21"/>
                <w:szCs w:val="21"/>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28</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w:t>
            </w:r>
          </w:p>
        </w:tc>
      </w:tr>
      <w:tr>
        <w:trPr>
          <w:trHeight w:val="237"/>
        </w:trPr>
        <w:tc>
          <w:tcPr>
            <w:tcW w:w="8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4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81</w:t>
            </w:r>
          </w:p>
        </w:tc>
      </w:tr>
      <w:tr>
        <w:trPr>
          <w:trHeight w:val="27"/>
        </w:trPr>
        <w:tc>
          <w:tcPr>
            <w:tcW w:w="8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4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w:t>
            </w:r>
          </w:p>
        </w:tc>
      </w:tr>
      <w:tr>
        <w:trPr>
          <w:trHeight w:val="243"/>
        </w:trPr>
        <w:tc>
          <w:tcPr>
            <w:tcW w:w="8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w:t>
            </w:r>
          </w:p>
        </w:tc>
      </w:tr>
      <w:tr>
        <w:trPr>
          <w:trHeight w:val="243"/>
        </w:trPr>
        <w:tc>
          <w:tcPr>
            <w:tcW w:w="8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Interest income and other income, net</w:t>
            </w:r>
          </w:p>
        </w:tc>
        <w:tc>
          <w:tcPr>
            <w:tcW w:w="160" w:type="dxa"/>
            <w:vAlign w:val="bottom"/>
          </w:tcPr>
          <w:p>
            <w:pPr>
              <w:spacing w:after="0"/>
              <w:rPr>
                <w:sz w:val="21"/>
                <w:szCs w:val="21"/>
                <w:color w:val="auto"/>
              </w:rPr>
            </w:pPr>
          </w:p>
        </w:tc>
        <w:tc>
          <w:tcPr>
            <w:tcW w:w="9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8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0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income, net</w:t>
            </w:r>
          </w:p>
        </w:tc>
        <w:tc>
          <w:tcPr>
            <w:tcW w:w="4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36"/>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64"/>
        </w:trPr>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2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48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0"/>
        </w:trPr>
        <w:tc>
          <w:tcPr>
            <w:tcW w:w="8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320" w:hanging="312"/>
        <w:spacing w:after="0"/>
        <w:tabs>
          <w:tab w:leader="none" w:pos="3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Certain items may not total due to rounding.</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Three Months Ended March 31, 2026 and 2025</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ectPr>
          <w:pgSz w:w="11900" w:h="16838" w:orient="portrait"/>
          <w:cols w:equalWidth="0" w:num="1">
            <w:col w:w="11240"/>
          </w:cols>
          <w:pgMar w:left="320" w:top="1235" w:right="339" w:bottom="1440"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162"/>
        </w:trPr>
        <w:tc>
          <w:tcPr>
            <w:tcW w:w="5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left="52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5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6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92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2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20" w:type="dxa"/>
            <w:vAlign w:val="bottom"/>
            <w:gridSpan w:val="4"/>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1,006,426</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761,553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244,873</w:t>
            </w: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0" w:type="dxa"/>
            <w:vAlign w:val="bottom"/>
          </w:tcPr>
          <w:p>
            <w:pPr>
              <w:spacing w:after="0"/>
              <w:rPr>
                <w:sz w:val="1"/>
                <w:szCs w:val="1"/>
                <w:color w:val="auto"/>
              </w:rPr>
            </w:pPr>
          </w:p>
        </w:tc>
      </w:tr>
      <w:tr>
        <w:trPr>
          <w:trHeight w:val="27"/>
        </w:trPr>
        <w:tc>
          <w:tcPr>
            <w:tcW w:w="55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Revenue increased by $244.9 million, or 32%, for the three months ended March 31, 2026 compared to the three months ended March 31, 2025. Approximately 75% of the increase in revenue was attributable to growth from existing customers, and the remaining 25% was attributable to growth from new customers.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Cost of Revenue and Gross Margin</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82"/>
              <w:spacing w:after="0"/>
              <w:rPr>
                <w:sz w:val="20"/>
                <w:szCs w:val="20"/>
                <w:color w:val="auto"/>
              </w:rPr>
            </w:pPr>
            <w:r>
              <w:rPr>
                <w:rFonts w:ascii="Times New Roman" w:cs="Times New Roman" w:eastAsia="Times New Roman" w:hAnsi="Times New Roman"/>
                <w:sz w:val="18"/>
                <w:szCs w:val="18"/>
                <w:color w:val="auto"/>
              </w:rPr>
              <w:t>209,228</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157,628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79 %</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Cost of revenue increased by $51.6 million, or 33%, for the three months ended March 31, 2026 compared to the three months ended March 31, 2025. This increase was primarily due to an increase of $41.8 million in third-party cloud infrastructure hosting and software costs and an increase of $4.3 million in personnel costs including allocated overhead costs as a result of increased headcount.</w:t>
      </w:r>
    </w:p>
    <w:p>
      <w:pPr>
        <w:spacing w:after="0" w:line="176"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Our gross margin remained flat for the three months ended March 31, 2026 compared to the three months ended March 31, 2025, primarily as a result of revenue growing in proportion to the growth of our third-party cloud infrastructure provider costs.</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90"/>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gridSpan w:val="2"/>
          </w:tcPr>
          <w:p>
            <w:pPr>
              <w:spacing w:after="0"/>
              <w:rPr>
                <w:sz w:val="3"/>
                <w:szCs w:val="3"/>
                <w:color w:val="auto"/>
              </w:rPr>
            </w:pPr>
          </w:p>
        </w:tc>
        <w:tc>
          <w:tcPr>
            <w:tcW w:w="1420" w:type="dxa"/>
            <w:vAlign w:val="bottom"/>
          </w:tcPr>
          <w:p>
            <w:pPr>
              <w:spacing w:after="0"/>
              <w:rPr>
                <w:sz w:val="3"/>
                <w:szCs w:val="3"/>
                <w:color w:val="auto"/>
              </w:rPr>
            </w:pPr>
          </w:p>
        </w:tc>
      </w:tr>
      <w:tr>
        <w:trPr>
          <w:trHeight w:val="200"/>
        </w:trPr>
        <w:tc>
          <w:tcPr>
            <w:tcW w:w="5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7"/>
                <w:szCs w:val="17"/>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gridSpan w:val="3"/>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86"/>
        </w:trPr>
        <w:tc>
          <w:tcPr>
            <w:tcW w:w="5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7"/>
        </w:trPr>
        <w:tc>
          <w:tcPr>
            <w:tcW w:w="5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50"/>
        </w:trPr>
        <w:tc>
          <w:tcPr>
            <w:tcW w:w="5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435,298</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341,061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94,237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28 %</w:t>
            </w:r>
          </w:p>
        </w:tc>
      </w:tr>
      <w:tr>
        <w:trPr>
          <w:trHeight w:val="243"/>
        </w:trPr>
        <w:tc>
          <w:tcPr>
            <w:tcW w:w="5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r>
    </w:tbl>
    <w:p>
      <w:pPr>
        <w:spacing w:after="0" w:line="319"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Research and development expense increased by $94.2 million, or 28%, for the three months ended March 31, 2026 compared to the three months ended March 31, 2025. This increase was primarily due to an increase of $70.3 million in personnel costs including allocated overhead costs for our engineering, product and design teams as a result of increased headcount and an increase of $13.4 million in cloud infrastructure-related investments.</w:t>
      </w:r>
    </w:p>
    <w:p>
      <w:pPr>
        <w:spacing w:after="0" w:line="1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20" w:type="dxa"/>
            <w:vAlign w:val="bottom"/>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6"/>
                <w:szCs w:val="16"/>
                <w:color w:val="auto"/>
              </w:rPr>
            </w:pPr>
          </w:p>
        </w:tc>
        <w:tc>
          <w:tcPr>
            <w:tcW w:w="10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64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8"/>
                <w:szCs w:val="18"/>
                <w:color w:val="auto"/>
              </w:rPr>
              <w:t>279,823</w:t>
            </w:r>
          </w:p>
        </w:tc>
        <w:tc>
          <w:tcPr>
            <w:tcW w:w="48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214,291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65,532</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0" w:type="dxa"/>
            <w:vAlign w:val="bottom"/>
          </w:tcPr>
          <w:p>
            <w:pPr>
              <w:spacing w:after="0"/>
              <w:rPr>
                <w:sz w:val="1"/>
                <w:szCs w:val="1"/>
                <w:color w:val="auto"/>
              </w:rPr>
            </w:pPr>
          </w:p>
        </w:tc>
      </w:tr>
      <w:tr>
        <w:trPr>
          <w:trHeight w:val="24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4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and marketing expense increased by $65.5 million, or 31%, for the three months ended March 31, 2026 compared to the three months ended March 31, 2025. This increase was primarily due to an increase of $53.7 million in personnel costs including allocated overhead costs for our sales and marketing organization as a result of increased headcount and increased variable compensation for our sales personnel and an increase of $8.4 million in advertising, sales, marketing and promotional activities.</w:t>
      </w:r>
    </w:p>
    <w:p>
      <w:pPr>
        <w:sectPr>
          <w:pgSz w:w="11900" w:h="16838" w:orient="portrait"/>
          <w:cols w:equalWidth="0" w:num="1">
            <w:col w:w="11240"/>
          </w:cols>
          <w:pgMar w:left="320" w:top="1235"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5" w:right="339" w:bottom="1440" w:gutter="0" w:footer="0" w:header="0"/>
          <w:type w:val="continuous"/>
        </w:sectPr>
      </w:pPr>
    </w:p>
    <w:bookmarkStart w:id="31" w:name="page32"/>
    <w:bookmarkEnd w:id="31"/>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360" w:type="dxa"/>
            <w:vAlign w:val="bottom"/>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2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ind w:left="4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74,750</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60,993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ind w:left="780"/>
              <w:spacing w:after="0"/>
              <w:rPr>
                <w:sz w:val="20"/>
                <w:szCs w:val="20"/>
                <w:color w:val="auto"/>
              </w:rPr>
            </w:pPr>
            <w:r>
              <w:rPr>
                <w:rFonts w:ascii="Times New Roman" w:cs="Times New Roman" w:eastAsia="Times New Roman" w:hAnsi="Times New Roman"/>
                <w:sz w:val="18"/>
                <w:szCs w:val="18"/>
                <w:color w:val="auto"/>
              </w:rPr>
              <w:t>7 %</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increased by $13.8 million, or 23%, for the three months ended March 31, 2026 compared to the three months ended March 31, 2025. This increase was primarily due to an increase of $11.5 million in personnel costs including allocated overhead costs as a result of increased headcount.</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Income, Net</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gridSpan w:val="2"/>
          </w:tcPr>
          <w:p>
            <w:pPr>
              <w:jc w:val="center"/>
              <w:ind w:left="60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vMerge w:val="restart"/>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6"/>
                <w:szCs w:val="16"/>
                <w:color w:val="auto"/>
              </w:rPr>
            </w:pPr>
          </w:p>
        </w:tc>
        <w:tc>
          <w:tcPr>
            <w:tcW w:w="1020" w:type="dxa"/>
            <w:vAlign w:val="bottom"/>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2620" w:type="dxa"/>
            <w:vAlign w:val="bottom"/>
            <w:tcBorders>
              <w:bottom w:val="single" w:sz="8" w:color="auto"/>
            </w:tcBorders>
            <w:gridSpan w:val="3"/>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740" w:type="dxa"/>
            <w:vAlign w:val="bottom"/>
            <w:gridSpan w:val="4"/>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53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ind w:right="202"/>
              <w:spacing w:after="0"/>
              <w:rPr>
                <w:sz w:val="20"/>
                <w:szCs w:val="20"/>
                <w:color w:val="auto"/>
              </w:rPr>
            </w:pPr>
            <w:r>
              <w:rPr>
                <w:rFonts w:ascii="Times New Roman" w:cs="Times New Roman" w:eastAsia="Times New Roman" w:hAnsi="Times New Roman"/>
                <w:sz w:val="18"/>
                <w:szCs w:val="18"/>
                <w:color w:val="auto"/>
              </w:rPr>
              <w:t>51,603</w:t>
            </w:r>
          </w:p>
        </w:tc>
        <w:tc>
          <w:tcPr>
            <w:tcW w:w="46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44,216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4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Percentage of revenue</w:t>
            </w:r>
          </w:p>
        </w:tc>
        <w:tc>
          <w:tcPr>
            <w:tcW w:w="3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8"/>
                <w:szCs w:val="18"/>
                <w:color w:val="auto"/>
              </w:rPr>
              <w:t>5 %</w:t>
            </w: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Other income, net increased by $7.4 million, or 17%, for the three months ended March 31, 2026 compared to the three months ended March 31, 2025. This increase was primarily driven by an increase of $9.0 million due to fluctuations related to foreign currency exchange rates, partially offset by a $1.5 million decrease in interest income, mainly due to income earned from investments in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largest source of operating cash is cash collection from sales of subscriptions to our customers. Our primary uses of cash from operating activities are for personnel expenses, hosting expenses, facility expenses, and marketing expenses. We generated positive cash flows from operations during the three months ended March 31, 2026 and 2025. When assessing sources of liquidity, we also include cash and cash equivalents of $426.4 million and marketable securities of $4.3 billion as of March 31, 2026. We believe that our existing cash and cash equivalents, marketable securities and cash flow from operations will be sufficient to support our cash requirements for the next 12 months and beyond.</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working capital requirements principally consist of workforce salaries, bonuses, commissions, and benefits and, to a lesser extent, cancellable and non-cancelable licenses and services arrangements that are integral to our business operations, and operating lease obligations. Our principal commitments consist of purchase commitments for business operations, operating lease obligations, and obligations to pay the Notes’ coupons and principal. Purchase commitments for business operations are primarily related to cloud hosting and other software-based services.</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have also issued long-term debt to finance our business. In December 2024, we issued $1.0 billion aggregate principal amount of the 2029 Notes in a private placement to qualified institutional buyers pursuant to Rule 144A under the Securities Act. The total net proceeds from the sale of the 2029 Notes, after deducting the initial purchasers’ discounts and debt issuance costs, were approximately $979.1 million. The principal and future interest payments related to our 2029 Notes are $1.0 billion. We may from time to time seek to retire or purchase the 2029 Notes, through cash purchases and/or exchanges for equity securities, in open market purchases, privately negotiated transactions or otherwise.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presented:</w:t>
      </w:r>
    </w:p>
    <w:p>
      <w:pPr>
        <w:spacing w:after="0" w:line="130"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334,622</w:t>
            </w:r>
          </w:p>
        </w:tc>
        <w:tc>
          <w:tcPr>
            <w:tcW w:w="50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271,541</w:t>
            </w:r>
          </w:p>
        </w:tc>
      </w:tr>
      <w:tr>
        <w:trPr>
          <w:trHeight w:val="229"/>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(314,798)</w:t>
            </w: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(443,408)</w:t>
            </w:r>
          </w:p>
        </w:tc>
      </w:tr>
      <w:tr>
        <w:trPr>
          <w:trHeight w:val="230"/>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financing activities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8"/>
                <w:szCs w:val="18"/>
                <w:color w:val="auto"/>
              </w:rPr>
              <w:t>9,711</w:t>
            </w: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w:t>
            </w:r>
          </w:p>
        </w:tc>
      </w:tr>
    </w:tbl>
    <w:p>
      <w:pPr>
        <w:spacing w:after="0" w:line="2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2026 increased by $63.1 million compared to the three months ended March 31, 2025, primarily driven by an increase in non-cash charges of $44.8 million, an increase in deferred revenue of $33.5 million, and an increase in accounts payable of $32.2 million. The increase in non-cash charges related primarily to an increase of $32.6 million in stock-based compensation as we continued to increase headcount to support the growth of the business. The increase in cash provided by operating activities was partially offset by a decrease in accounts receivable of $48.4 million and an increase in deferred contract costs of $14.0 million.</w:t>
      </w:r>
    </w:p>
    <w:p>
      <w:pPr>
        <w:spacing w:after="0" w:line="17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2026 decreased by $128.6 million compared to the three months ended March 31, 2025, primarily driven by an increase in proceeds from maturities of marketable securities of $490.5 million. This decrease in cash used in investing activities was partially offset by an increase in purchases of marketable securities of $334.7 million and an increase in capitalized software development costs of $15.8 million.</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Net cash (used in) provided by financing activities for the three months ended March 31, 2026 increased $8.1 million compared to the three months ended March 31, 2025, primarily due to proceeds from the exercise of stock options of $8.0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Free Cash Flow</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report our financial results in accordance with U.S. GAAP. To supplement our condensed consolidated financial statements, we provide investors with the amount of free cash flow, which is a non-GAAP financial measure. Free cash flow represents net cash provided by operating activities, reduced by capital expenditures and capitalized software development costs, if any. Free cash flow is a measure used by management to understand and evaluate the strength of our liquidity and future ability to generate cash that can be used for strategic opportunities or investing in our business. The reduction of capital expenditures and amounts capitalized for software development facilitates comparisons of our liquidity on a period-to-period basis and excludes items that we do not consider to be indicative of our liquidity. Nevertheless, our use of free cash flow has limitations as an analytical tool, and you should not consider it in isolation or as a substitute for analysis of our financial results as reported under GAAP. Further, our definition of free cash flow may differ from the definitions used by other companies and therefore comparability may be limited. You should consider free cash flow alongside our other GAAP-based financial performance measures, such as net cash used in operating activities, and our other GAAP financial results.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3" w:name="page34"/>
    <w:bookmarkEnd w:id="33"/>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free cash flow to net cash provided by operating activities, the most directly comparable financial measure calculated in accordance with GAAP, for each of the periods indicated:</w:t>
      </w:r>
    </w:p>
    <w:p>
      <w:pPr>
        <w:spacing w:after="0" w:line="66" w:lineRule="exact"/>
        <w:rPr>
          <w:sz w:val="20"/>
          <w:szCs w:val="20"/>
          <w:color w:val="auto"/>
        </w:rPr>
      </w:pP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4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80" w:type="dxa"/>
            <w:vAlign w:val="bottom"/>
          </w:tcPr>
          <w:p>
            <w:pPr>
              <w:spacing w:after="0"/>
              <w:rPr>
                <w:sz w:val="17"/>
                <w:szCs w:val="17"/>
                <w:color w:val="auto"/>
              </w:rPr>
            </w:pPr>
          </w:p>
        </w:tc>
      </w:tr>
      <w:tr>
        <w:trPr>
          <w:trHeight w:val="236"/>
        </w:trPr>
        <w:tc>
          <w:tcPr>
            <w:tcW w:w="8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334,622</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271,541</w:t>
            </w:r>
          </w:p>
        </w:tc>
      </w:tr>
      <w:tr>
        <w:trPr>
          <w:trHeight w:val="230"/>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320" w:type="dxa"/>
            <w:vAlign w:val="bottom"/>
          </w:tcPr>
          <w:p>
            <w:pPr>
              <w:spacing w:after="0"/>
              <w:rPr>
                <w:sz w:val="19"/>
                <w:szCs w:val="19"/>
                <w:color w:val="auto"/>
              </w:rPr>
            </w:pPr>
          </w:p>
        </w:tc>
        <w:tc>
          <w:tcPr>
            <w:tcW w:w="10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7"/>
              </w:rPr>
              <w:t>(11,358)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(8,748)</w:t>
            </w:r>
          </w:p>
        </w:tc>
      </w:tr>
      <w:tr>
        <w:trPr>
          <w:trHeight w:val="229"/>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Capitalized software development costs</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(34,173)</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(18,402)</w:t>
            </w:r>
          </w:p>
        </w:tc>
      </w:tr>
      <w:tr>
        <w:trPr>
          <w:trHeight w:val="223"/>
        </w:trPr>
        <w:tc>
          <w:tcPr>
            <w:tcW w:w="8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color w:val="auto"/>
              </w:rPr>
              <w:t>289,091</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244,391</w:t>
            </w:r>
          </w:p>
        </w:tc>
      </w:tr>
      <w:tr>
        <w:trPr>
          <w:trHeight w:val="20"/>
        </w:trPr>
        <w:tc>
          <w:tcPr>
            <w:tcW w:w="8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GAAP. The preparation of these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Part II, Item 7, “Management’s Discussion and Analysis of Financial Condition and Results of Operations” of the Annual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7"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color w:val="auto"/>
        </w:rPr>
        <w:t xml:space="preserve">See Note 2, </w:t>
      </w:r>
      <w:r>
        <w:rPr>
          <w:rFonts w:ascii="Times New Roman" w:cs="Times New Roman" w:eastAsia="Times New Roman" w:hAnsi="Times New Roman"/>
          <w:sz w:val="18"/>
          <w:szCs w:val="18"/>
          <w:i w:val="1"/>
          <w:iCs w:val="1"/>
          <w:color w:val="auto"/>
        </w:rPr>
        <w:t>Basis of Presentation and Summary of Significant Accounting Policies</w:t>
      </w:r>
      <w:r>
        <w:rPr>
          <w:rFonts w:ascii="Times New Roman" w:cs="Times New Roman" w:eastAsia="Times New Roman" w:hAnsi="Times New Roman"/>
          <w:sz w:val="18"/>
          <w:szCs w:val="18"/>
          <w:color w:val="auto"/>
        </w:rPr>
        <w:t>, in our Notes to Unaudited Condensed Consolidated Financial Statements included in Part I, Item 1 of this Quarterly Report on Form 10-Q for a discussion of recent accounting pronouncements.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 and foreign currency exchange rates.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of March 31, 2026, we had $389.3 million in cash equivalents and $4.3 billion in marketable securities, </w:t>
      </w:r>
      <w:r>
        <w:rPr>
          <w:rFonts w:ascii="Times New Roman" w:cs="Times New Roman" w:eastAsia="Times New Roman" w:hAnsi="Times New Roman"/>
          <w:sz w:val="18"/>
          <w:szCs w:val="18"/>
          <w:color w:val="333333"/>
        </w:rPr>
        <w:t>which consisted</w:t>
      </w:r>
      <w:r>
        <w:rPr>
          <w:rFonts w:ascii="Times New Roman" w:cs="Times New Roman" w:eastAsia="Times New Roman" w:hAnsi="Times New Roman"/>
          <w:sz w:val="18"/>
          <w:szCs w:val="18"/>
          <w:color w:val="auto"/>
        </w:rPr>
        <w:t xml:space="preserve"> of corporate debt securities, commercial paper, certificates of deposit, U.S. government treasury securities, and U.S. government agency securities</w:t>
      </w:r>
      <w:r>
        <w:rPr>
          <w:rFonts w:ascii="Times New Roman" w:cs="Times New Roman" w:eastAsia="Times New Roman" w:hAnsi="Times New Roman"/>
          <w:sz w:val="18"/>
          <w:szCs w:val="18"/>
          <w:color w:val="333333"/>
        </w:rPr>
        <w:t>.</w:t>
      </w:r>
      <w:r>
        <w:rPr>
          <w:rFonts w:ascii="Times New Roman" w:cs="Times New Roman" w:eastAsia="Times New Roman" w:hAnsi="Times New Roman"/>
          <w:sz w:val="18"/>
          <w:szCs w:val="18"/>
          <w:color w:val="auto"/>
        </w:rPr>
        <w:t xml:space="preserve"> Our cash and cash equivalents are held for working capital purposes. We do not enter into investments for trading or speculative purposes. </w:t>
      </w:r>
      <w:r>
        <w:rPr>
          <w:rFonts w:ascii="Times New Roman" w:cs="Times New Roman" w:eastAsia="Times New Roman" w:hAnsi="Times New Roman"/>
          <w:sz w:val="18"/>
          <w:szCs w:val="18"/>
          <w:color w:val="333333"/>
        </w:rPr>
        <w:t>Our investments are exposed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333333"/>
        </w:rPr>
        <w:t xml:space="preserve">market risk due to a fluctuation in interest rates, which may affect our interest income and the fair market value of our investments. </w:t>
      </w:r>
      <w:r>
        <w:rPr>
          <w:rFonts w:ascii="Times New Roman" w:cs="Times New Roman" w:eastAsia="Times New Roman" w:hAnsi="Times New Roman"/>
          <w:sz w:val="18"/>
          <w:szCs w:val="18"/>
          <w:color w:val="000000"/>
        </w:rPr>
        <w:t>As of March 31, 2026,</w:t>
      </w:r>
      <w:r>
        <w:rPr>
          <w:rFonts w:ascii="Times New Roman" w:cs="Times New Roman" w:eastAsia="Times New Roman" w:hAnsi="Times New Roman"/>
          <w:sz w:val="18"/>
          <w:szCs w:val="18"/>
          <w:color w:val="333333"/>
        </w:rPr>
        <w:t xml:space="preserve"> </w:t>
      </w:r>
      <w:r>
        <w:rPr>
          <w:rFonts w:ascii="Times New Roman" w:cs="Times New Roman" w:eastAsia="Times New Roman" w:hAnsi="Times New Roman"/>
          <w:sz w:val="18"/>
          <w:szCs w:val="18"/>
          <w:color w:val="000000"/>
        </w:rPr>
        <w:t>a hypothetical 10% relative change in interest rates would not have a material impact on our condensed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reporting currency and the functional currency of our wholly-owned foreign subsidiaries is the U.S. dollar. All of our sales are denominated in U.S. dollars, and therefore our revenue is not currently subject to significant foreign currency risk. Our operating expenses are denominated in the currencies of the countries in which our operations are located, which are primarily in the United States, France, and Ireland. Our consolidated results of operations and cash flows are, therefore, subject to fluctuations due to changes in foreign currency exchange rates and may be adversely affected in the future due to changes in foreign exchange rates.</w:t>
      </w:r>
    </w:p>
    <w:p>
      <w:pPr>
        <w:spacing w:after="0" w:line="183"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mitigate a portion of our exposure to foreign currency exchange rate fluctuations, we enter into foreign currency forward contracts to hedge certain forecasted cash flows denominated in foreign currencies. These contracts are designated as cash flow hedges and are intended to reduce the variability in operating expenses associated with changes in foreign exchange rates. We do not enter into foreign currency forward contracts for trading or speculative purposes.</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34" w:name="page35"/>
    <w:bookmarkEnd w:id="34"/>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 hypothetical 10% increase or decrease in the relative value of the U.S. dollar to other currencies would not have a material effect on our operating results.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as of March 31, 2026. Based on the evaluation of our disclosure controls and procedures as of March 31, 2026, our Chief Executive Officer and Chief Financial Officer concluded that, as of such date, our disclosure controls and procedures were effective at the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identified in connection with the evaluation required by Rule 13a-15(d) and 15d-15(d) of the Exchange Act that occurred during the period covered by this Quarterly Report on Form 10-Q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Effectiveness of Controls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From time to time we may become involved in legal proceedings or be subject to claims arising in the ordinary course of our business. We are not presently a party to any legal proceedings that, if determined adversely to us, would individually or taken together have a material adverse effect on our business, operating results, cash flows or financial condition. Defending such proceedings is costly and can impose a significant burden on management and employees.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Our operations and financial results are subject to various risks and uncertainties including those described below. You should consider carefully the risks and uncertainties described below, in addition to other information contained in this Quarterly Report on Form 10-Q, including our condensed consolidated financial statements and related notes. The risks and uncertainties described below are not the only ones we face. Additional risks and uncertainties that we are unaware of, or that we currently believe are not material, may also become important factors that adversely affect our business. If any of the following risks or others not specified below materialize, our business, financial condition and results of operations could be materially and adversely affected. In that case, the trading price of our Class A common stock could decline.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summary of the principal risks associated with an investment in our Class A common stock:</w:t>
      </w:r>
    </w:p>
    <w:p>
      <w:pPr>
        <w:spacing w:after="0" w:line="117" w:lineRule="exact"/>
        <w:rPr>
          <w:sz w:val="20"/>
          <w:szCs w:val="20"/>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our industry or the global economy, or reductions in information technology spending, could limit our ability to grow our business and negatively affect our results of operations.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recent rapid growth may not be indicative of our future growth. Our rapid growth also makes it difficult to evaluate our future prospects and may increase the risk that we will not be successful.</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operating losses and may not achieve or sustain profitability in the future.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which makes it difficult to forecast our future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require additional capital to support the growth of our business, and this capital might not be available on acceptable terms, if at all.</w:t>
      </w:r>
    </w:p>
    <w:p>
      <w:pPr>
        <w:spacing w:after="0" w:line="11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6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customers, our business, financial condition and results of operations will be adversely affected.</w:t>
      </w:r>
    </w:p>
    <w:p>
      <w:pPr>
        <w:spacing w:after="0" w:line="11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our sales and marketing capabilities could harm our ability to increase our customer base and achieve broader market acceptance of our products.</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1"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third-party service providers experience, or are unable to protect against cyber-attacks, ransomware, security incidents, or security breaches, or if unauthorized parties otherwise obtain access to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71"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Interruptions or performance problems associated with our products and platform capabilities may adversely affect our business, financial condition and results of operations.</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successfully manage our growth, and if we are not able to grow efficiently,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6" w:name="page37"/>
    <w:bookmarkEnd w:id="36"/>
    <w:p>
      <w:pPr>
        <w:ind w:left="980" w:hanging="486"/>
        <w:spacing w:after="0" w:line="282"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in which we participate are competitive, and if we do not compete effectively, our business, financial condition and results of operations could be harmed.</w:t>
      </w:r>
    </w:p>
    <w:p>
      <w:pPr>
        <w:spacing w:after="0" w:line="53"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and our third-party service providers are subject to stringent and changing laws, regulations standards, and contractual obligations related to data privacy and security. Actual or perceived failure by us or our third-party service providers to comply with such laws, regulations, standards, or contractual obligations could harm our business.</w:t>
      </w:r>
    </w:p>
    <w:p>
      <w:pPr>
        <w:spacing w:after="0" w:line="67" w:lineRule="exact"/>
        <w:rPr>
          <w:rFonts w:ascii="Times New Roman" w:cs="Times New Roman" w:eastAsia="Times New Roman" w:hAnsi="Times New Roman"/>
          <w:sz w:val="18"/>
          <w:szCs w:val="18"/>
          <w:color w:val="auto"/>
        </w:rPr>
      </w:pPr>
    </w:p>
    <w:p>
      <w:pPr>
        <w:jc w:val="both"/>
        <w:ind w:left="980" w:hanging="486"/>
        <w:spacing w:after="0" w:line="266" w:lineRule="auto"/>
        <w:tabs>
          <w:tab w:leader="none" w:pos="97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Growth</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our industry or the global economy, or reductions in information technology spending, could limit our ability to grow our business and negatively affect our results of operations.</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results of operations may vary based on the impact of unfavorable changes in our industry or the global economy on us or our customers and potential customers. Unfavorable conditions in the economy both in the United States and abroad, including conditions resulting from changes in gross domestic product growth in the United States or abroad, changes in trade policies, such as trade wars, tariffs or other trade restrictions or the threat of such actions, financial and credit market fluctuations, fluctuating inflation and interest rates, international trade relations, political turmoil, natural catastrophes, outbreaks of contagious diseases, warfare and terrorist attacks on the United States, Europe, the Asia Pacific region or elsewhere, such as the conflicts in Ukraine and the Middle East, could cause a decrease in business investments, including spending on information technology, disrupt the timing and cadence of key industry events, and negatively affect the growth of our business and our results of operations. Such catastrophic and disruptive events have and may adversely affect workforces, economies and financial markets globally, leading to a reduction in the ability of, or the inability of, customers, partners, suppliers, vendors or other parties to meet their contractual obligations, and for a period of time, a reduction in customer spending on technology, and such conditions have and may reoccur in the future. For instance, there is currently significant uncertainty about trade policies, treaties, tariffs and taxes. Even in the absence of tariffs or other trade restrictions, the related uncertainty with respect to international trade may lead to continuing volatility in U.S. and global financial and economic conditions and commodity markets, declining consumer confidence, significant inflation and diminished expectations for the economy, and ultimately reduced usage and demand for our products. The war in Ukraine, conflicts in the Middle East and related political and economic responses such as sanctions imposed on Russia and Iran, may also exacerbate these issues and trends especially in these regions. In addition interest rates remain elevated, which may dampen economic growth and cause companies to moderate spending on information technology. These types of unfavorable conditions could disrupt the timing of and attendance at key industry events, which we rely upon in part to generate sales of our products. If those events are disrupted, our marketing investments, sales pipeline and ability to generate new customers and sales of our products could be negatively and adversely affected. Our competitors, many of which are larger and have greater financial resources than we do, may respond to challenging market conditions by lowering prices in an attempt to attract our customers and may be less dependent on key industry events to generate sales for their products. The increased pace of consolidation in certain industries may result in reduced overall spending on our products and solutions. We cannot predict the timing, strength, or duration of any economic slowdown, instability, or recovery, generally or how any such event may impact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 rapid growth may not be indicative of our future growth. Our rapid growth also makes it difficult to evaluate our future prospects and may increase the risk that we will not be successful.</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revenue was $1,006.4 million and $761.6 million for the three months ended March 31, 2026 and 2025, respectively. You should not rely on the revenue growth of any prior quarterly or annual period as an indication of our future performance. Even if our revenue continues to increase, we expect that our revenue growth rate will decline in the future as a result of a variety of factors, including the maturation of our business. Overall growth of our revenue depends on a number of factors, including our ability to:</w:t>
      </w:r>
    </w:p>
    <w:p>
      <w:pPr>
        <w:spacing w:after="0" w:line="72" w:lineRule="exact"/>
        <w:rPr>
          <w:sz w:val="20"/>
          <w:szCs w:val="20"/>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our products effectively so that we are able to attract new customers and expand sales to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the functionality and use cases for the products we offer on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and expand the rates at which customers purchase and renew subscriptions to our platform;</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our customers with support that meets their needs;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introduce our products to new markets outside of the United States;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successfully identify and acquire or invest in businesses, products or technologies that we believe could complement or expand our platform;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awareness of our brand on a global basis and successfully compete with other companies.</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may not successfully accomplish any of these objectives, and as a result, it is difficult for us to forecast our future results of operations. If the assumptions that we use to plan our business are incorrect or change in reaction to changes in our market, or if we are unable to maintain consistent revenue or revenue growth, our stock price could be volatile, and it may be difficult to achieve and maintain profitability. You should not rely on our revenue for any prior quarterly or annual periods as any indication of our future revenue or revenue growth.</w:t>
      </w:r>
    </w:p>
    <w:p>
      <w:pPr>
        <w:spacing w:after="0" w:line="18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117" w:lineRule="exact"/>
        <w:rPr>
          <w:sz w:val="20"/>
          <w:szCs w:val="20"/>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sales and marketing organization to engage our existing and prospective customers, increase brand awareness and drive adoption of our products;</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development, including investments in our product development team and the development of new products and new functionality for our platform as well as investments in further optimizing our existing products and infrastructure;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or strategic investments;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expansion;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administration.</w:t>
      </w:r>
    </w:p>
    <w:p>
      <w:pPr>
        <w:spacing w:after="0" w:line="22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Additionally, we may encounter unforeseen operating expenses, difficulties, complications, delays, and other unknown factors that may result in losses in future periods. In future periods if our revenue growth does not meet our expectations or increase at a rate sufficient to offset the expected increase in our costs, our business, financial position and results of operations may be harmed, and we may not maintain profitability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Prior to the year ended December 31, 2023, we incurred net losses in each fiscal year since our inception, including a net loss of $(50.2) million in the year ended December 31, 2022. While we have experienced significant revenue growth in recent periods and periods of profitability, we are not certain whether or when we will obtain a high enough volume of sales to sustain or increase our growth or maintain profitability in the future. We also expect our costs and expenses to increase in future periods, which could negatively affect our future results of operations if our revenue does not increase. In particular, we intend to continue to expend significant funds to further develop our platform, including by introducing new products and functionality, and to expand our inside and field sales teams and customer success team to drive new customer adoption, expand use cases and integrations, and support international expansion. We will also face increased compliance costs associated with growth and the expansion of our customer base. Our efforts to grow our business may be costlier than we expect, or the rate of our growth in revenue may be slower than we expect, and we may not be able to increase our revenue enough to offset our increased operating expenses. We may incur significant losses in the future for a number of reasons, including the other risks described herein, and unforeseen expenses, difficulties, complications or delays, and other unknown events. If we are unable to sustain profitability, the value of our business and Class A common stock may significantly decrease.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at our current scale, which makes it difficult to forecast our future results of operations.</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our limited operating history at our current scale and the introduction of several new products in recent years,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our revenue could decline for a number of reasons, including slowing demand for our products, increasing competition, changes to technology, a decrease in the growth of our overall market, or our failure, for any reason, to continue to take advantage of growth opportunities. We have also encountered, and will continue to encounter, risks and uncertainties frequently experienced by growing companies in rapidly changing industries, such as the risks and uncertainties described herein. If our assumptions regarding these risks and</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8" w:name="page39"/>
    <w:bookmarkEnd w:id="38"/>
    <w:p>
      <w:pPr>
        <w:jc w:val="both"/>
        <w:spacing w:after="0" w:line="282" w:lineRule="auto"/>
        <w:rPr>
          <w:sz w:val="20"/>
          <w:szCs w:val="20"/>
          <w:color w:val="auto"/>
        </w:rPr>
      </w:pPr>
      <w:r>
        <w:rPr>
          <w:rFonts w:ascii="Times New Roman" w:cs="Times New Roman" w:eastAsia="Times New Roman" w:hAnsi="Times New Roman"/>
          <w:sz w:val="18"/>
          <w:szCs w:val="18"/>
          <w:color w:val="auto"/>
        </w:rPr>
        <w:t>uncertainties and our future revenue growth are incorrect or change, or if we do not address these risks successfully, our operating and financial results could differ materially from our expectations, and our business could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require additional capital to support the growth of our business, and this capital might not be available on acceptable terms, if at all.</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funded our operations since inception primarily through equity and debt financings and sales of our products. We cannot be certain if our operations will continue to generate sufficient cash to fully fund our ongoing operations or the growth of our business. We intend to continue to make investments to support our business, which may require us to engage in equity or debt financings to secure additional funds. Additional financing may not be available on terms favorable to us, if at all. If adequate funds are not available on acceptable terms, we may be unable to invest in future growth opportunities, which could harm our business, operating results, and financial condition. If we incur additional debt, the debt holders would have rights senior to holders of common stock to make claims on our assets, and the terms of any debt could restrict our operations, including our ability to pay dividends on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 See also "Risks Related to Our Outstanding Notes."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Strategic and Operational Risks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existing customers purchasing additional subscriptions and products from us and renewing their subscriptions. If our customers do not renew or expand their subscriptions with us, or decrease their spend on our products, our future operating results would be harmed.</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future success depends in part on our ability to sell additional subscriptions and products to our existing customers, and our customers renewing their subscriptions when the contract term expires. The terms of our subscription agreements are primarily monthly or annual, with some quarterly, semiannual and multi-year. Our customers have no obligation to renew their subscriptions for our products after the expiration of their subscription period. In order for us to maintain or improve our results of operations, it is important that our customers renew or expand their subscriptions with us. Whether our customers renew or expand their subscriptions with us may be impacted by a number of factors, including business strength or weakness of our customers, customer usage, customer satisfaction with our products and platform capabilities and customer support, our prices, the capabilities and prices of competing products, mergers and acquisitions affecting our customer base, consolidation of affiliates’ multiple paid business accounts into a single paid business account, or reductions in our customers’ spending on IT solutions or their spending levels generally. These factors may be exacerbated by unfavorable conditions in the economy, see “Risks Associated with our Growth—Unfavorable conditions in our industry or the global economy, or reductions in information technology spending, could limit our ability to grow our business and negatively affect our results of operations” above. These factors may also be exacerbated if, consistent with our growth strategy, our customer base continues to grow to encompass larger enterprises, which may also require more sophisticated and costly sales efforts. Certain customers and cohorts of customers in specific industries have or in the future may increase usage of our product and then seek to optimize their usage, renew their subscriptions on terms less favorable to us, or not renew their subscriptions, which may result in revenue volatility. For example, in prior periods customers in our cloud-native cohort, and more recently larger customers in our AI-native cohort, which cohort includes our largest customer and represented year-over-year revenue growth of high single digits for the quarter ended March 31, 2026, have rapidly increased their usage of our product and then optimized or may in the future optimize their usage or fail to renew their subscriptions. If our customers do not purchase additional subscriptions and products from us, reduce their usage, fail to renew their subscriptions or renew on different terms, our revenue and dollar-based net retention may decline and our business, financial condition and results of operations may be harmed.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customers, our business, financial condition and results of operations will be adversely affected.</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To increase our revenue, we must continue to attract new customers. Our success will depend to a substantial extent on the widespread adoption of our platform and products as an alternative to existing solutions. Many enterprises have invested substantial personnel and financial resources to integrate traditional on-premise architectures into their businesses and, therefore, may be reluctant or unwilling to migrate to cloud computing. Further, the adoption of SaaS business software may be slower in industries with heightened data security interests or business practices requiring highly-customizable application software. In addition, as our market matures, our products evolve, and competitors introduce lower cost or differentiated products that are perceived to compete with our platform and products, our ability to sell subscriptions for our products could be impaired. Similarly, our subscription sales could be adversely affected if customers or users within these organizations</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perceive that features incorporated into competitive products reduce the need for our products or if they prefer to purchase other products that are bundled with solutions offered by other companies that operate in adjacent markets and compete with our products. As a result of these and other factors, we may be unable to attract new customers, which may have an adverse effect on our business, financial condition and results of operations.</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sales and marketing capabilities could harm our ability to increase our customer base and achieve broader market acceptance of our products.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ability to increase our customer base and achieve broader market acceptance of our products and platform capabilities will depend to a significant extent on our ability to expand our sales and marketing organization. We plan to continue expanding our direct sales force, both domestically and internationally. We also plan to dedicate significant resources to sales and marketing programs. All of these efforts will require us to invest significant financial and other resources, including in channels in which we have limited or no experience to date. Our business and results of operations will be harmed if our sales and marketing efforts do not generate significant increases in revenue or increases in revenue that are smaller than anticipated. We may not achieve anticipated revenue growth from expanding our sales force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or the third-parties with whom we work experience, or are unable to protect against cyber-attacks, ransomware, security incidents, or security breaches, or if unauthorized parties otherwise obtain access to or otherwise compromise our customers’ data, our data, or our platform and information technology systems, then our solution may be perceived as not being secure, our reputation may be harmed, demand for our platform and products may be reduced, and we may incur significant liabilities or additional expenses.</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collect, receive, store, process, generate, use, transfer, disclose, make accessible, protect, secure, dispose of and share personal, confidential and proprietary information and other information (collectively, sensitive information) necessary to provide our services, to operate our business, for legal and marketing purposes, and for other business-related purposes.</w:t>
      </w:r>
    </w:p>
    <w:p>
      <w:pPr>
        <w:spacing w:after="0" w:line="176"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platform and products involve the storage and transmission of data, including personal information, and security breaches or unauthorized access to our platform and products, or those of the third-parties with whom we work, could result in the unauthorized, unlawful, or accidental acquisition, modification, destruction, loss, alteration, encryption, disclosure of, or access to sensitive information including our customers’ data. Consequently, we may be subject to significant litigation, indemnity obligations, fines, penalties, disputes, investigations and other liabilities. We have previously and may in the future become the target of cyber-attacks by third parties, including without limitation nation-state actors, seeking to gain unauthorized access to and exfiltrate our or our customers’ data, including confidential and personal information, or to disrupt our ability to provide our services. Cyber-attacks, computer malware, viruses, employee mistakes or malfeasance, social engineering (including through deep fakes and spear phishing), malicious code, denial-of-service attacks, credential harvesting and general hacking have become more prevalent in our industry, particularly against cloud services, and have become enhanced or facilitated by artificial intelligence. Ransomware attacks, including those from organized criminal threat actors, nation-states and nation-state supported actors, are prevalent and can lead to significant interruptions, delays, or outages in our operations, loss of data (including customer data), loss of income, significant extra expenses to restore data or systems, reputational loss and the diversion of funds. To alleviate the financial, operational and reputational impact of a ransomware attack it may be preferable to make extortion payments, but we may be unwilling or unable to do so (including, for example, if applicable laws or regulations prohibit such payments). In addition, many of our employees work remotely and utilize network connections, computers and devices outside our premises or network, which may pose additional data security risks (including, for example, the increasing number of phishing and malicious emails we continue to receive). The reliability and continuous availability of our platform is critical to our success.</w:t>
      </w:r>
    </w:p>
    <w:p>
      <w:pPr>
        <w:spacing w:after="0" w:line="196"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use third-parties, including sub-processors, to help us deliver services to our customers. These vendors, such as cloud infrastructure providers, store or process personal and confidential information for us or our customers. We use third-party technology, systems and services in a variety of contexts, including, without limitation, cloud infrastructure, encryption and authentication technology, employee email, content delivery to customers, back-office support, credit card processing and other functions. While we have taken steps designed to protect the confidential and personal information that we have access to, our security measures or those of the third-parties with whom we work that store or otherwise process certain of our and our customers’ data on our behalf could be breached or we could suffer a loss of our or our customers’ data. Our ability to monitor these third-parties’ data security is limited, and they may not have adequate information security measures in place. Similarly, supply chain attacks have increased in frequency and severity, and we cannot guarantee that third parties and infrastructure in our supply chain have not been compromised or that they do not contain exploitable defects or bugs that could result in a breach</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0" w:name="page41"/>
    <w:bookmarkEnd w:id="40"/>
    <w:p>
      <w:pPr>
        <w:jc w:val="both"/>
        <w:spacing w:after="0" w:line="282" w:lineRule="auto"/>
        <w:rPr>
          <w:sz w:val="20"/>
          <w:szCs w:val="20"/>
          <w:color w:val="auto"/>
        </w:rPr>
      </w:pPr>
      <w:r>
        <w:rPr>
          <w:rFonts w:ascii="Times New Roman" w:cs="Times New Roman" w:eastAsia="Times New Roman" w:hAnsi="Times New Roman"/>
          <w:sz w:val="18"/>
          <w:szCs w:val="18"/>
          <w:color w:val="auto"/>
        </w:rPr>
        <w:t>of or disruption to our platform, systems and networks or the systems and networks of third parties that support us and our services. Despite the security controls we have in place, such attacks are very difficult to avoid.</w:t>
      </w:r>
    </w:p>
    <w:p>
      <w:pPr>
        <w:spacing w:after="0" w:line="16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There can be no assurance that any security measures that we or the third-parties with whom we work have implemented will be effective against current or future security threats. While we have developed systems and processes designed to protect the integrity, confidentiality, and security of our and our customers’ data, our security measures or those of the third-parties with whom we work could fail and result in unauthorized access to or disclosure, modification, misuse, loss or destruction of such data.</w:t>
      </w:r>
    </w:p>
    <w:p>
      <w:pPr>
        <w:spacing w:after="0" w:line="180"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Third parties may also conduct attacks designed to temporarily deny customers access to our cloud services. Any security breach or other security incident, or the perception that one has occurred, could result in a loss of customer confidence in the security of our platform and damage to our brand, reduce the demand for our products, disrupt normal business operations, require us to spend material resources to investigate or correct the breach and to prevent future security breaches and incidents, expose us to legal liabilities, including litigation, regulatory enforcement, and indemnity obligations, and adversely affect our business, financial condition and results of operations. These risks are likely to increase as we continue to grow and process, store, and transmit increasingly large amounts of data.</w:t>
      </w:r>
    </w:p>
    <w:p>
      <w:pPr>
        <w:spacing w:after="0" w:line="18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In addition, we do not directly control content that our customers store in our products. If our customers use our products for the collection, transmission or storage of personal information and our security measures are or are believed to have been breached as a result of third-party action, employee error, malfeasance or otherwise, our reputation could be damaged, our business may suffer, and we could incur significant liability. Our remediation efforts may not be successful. We employ a shared responsibility model where our customers are responsible for using, configuring, and otherwise implementing security measures related to our platform, services, and products. As part of this shared responsibility security model, we make certain security features available to our customers that can be implemented at our customers’ discretion, or identify security areas or measures for which our customers are responsible. In certain cases our customers may choose not to implement, or may incorrectly implement, those features or measures, misuse our services, or otherwise experience their own vulnerabilities, policy violations, credential exposure, or security incidents. Even if we are not the cause of a resulting customer security issue or incident, our customer relationships, reputation, and business may be adversely impacted. Some of our customers may be subject to the EU’s Digital Operational Resilience Act (DORA) and similar regulatory requirements in the United Kingdom related to operational resilience, which has led and will lead certain of our customers to negotiate additional specific provisions with us, including certain mandatory risk management, transparency and continuity provisions. If we fail to materially comply with these contractual requirements, we may be subject to investigations, audits or other adverse consequences.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also process, store and transmit our own data as part of our business and operations. This data includes personal, confidential or proprietary information. We may expend significant resources, fundamentally change our business activities and practices, or modify our operations or information technology in an effort to protect against security incidents and to mitigate, detect, and remediate actual and potential vulnerabilities.</w:t>
      </w:r>
    </w:p>
    <w:p>
      <w:pPr>
        <w:spacing w:after="0" w:line="176"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take steps designed to detect, mitigate, and remediate vulnerabilities in our information systems (such as our hardware and/or software, including that of third parties with whom we work). We may not, however, detect and remediate all such vulnerabilities on a timely basis. Among other things, our applications, systems, networks, software, other computer assets and physical facilities have been and in the future could be breached or could otherwise malfunction or fail, or the sensitive information that we store could be otherwise compromised due to employee error or malfeasance, if, for example, third parties fraudulently induce our employees or our members to disclose information or user names and/or passwords, or otherwise compromise the security of our networks, systems and/or physical facilities. For example, in April 2025, we notified customers of access by an unauthorized third party to a number of Datadog source code repositories arising from compromised employee account credentials. After discovering the access, we revoked the credentials and terminated the unauthorized access. However, such unauthorized access may increase our vulnerability to certain attacks at a later date through exploitation of our source code, including the exploitation of potential vulnerabilities in the Datadog platform or products, or information stored within the source code. Additionally, from time to time employees or service providers may inadvertently misconfigure resources or misdirect certain communications, leading to security vulnerabilities or incidents that we must then expend effort and incur expenses to correct.</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may have contractual and other legal obligations, or we may voluntarily choose, to notify relevant stakeholders of security incidents. For instance, most jurisdictions have enacted laws, such as the U.S. Health Insurance Portability and Accountability Act of 1996, or HIPAA, requiring companies to notify individuals, regulatory authorities, and others of security breaches involving certain types of data. Such mandatory contractual and legal disclosures are costly, could lead to negative publicity, may cause our customers to lose confidence in the effectiveness of our security measures and require us to expend significant capital and other resources to respond to and/or alleviate problems caused by the actual or perceived security breach,</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1" w:name="page42"/>
    <w:bookmarkEnd w:id="41"/>
    <w:p>
      <w:pPr>
        <w:jc w:val="both"/>
        <w:spacing w:after="0" w:line="256" w:lineRule="auto"/>
        <w:rPr>
          <w:sz w:val="20"/>
          <w:szCs w:val="20"/>
          <w:color w:val="auto"/>
        </w:rPr>
      </w:pPr>
      <w:r>
        <w:rPr>
          <w:rFonts w:ascii="Times New Roman" w:cs="Times New Roman" w:eastAsia="Times New Roman" w:hAnsi="Times New Roman"/>
          <w:sz w:val="18"/>
          <w:szCs w:val="18"/>
          <w:color w:val="auto"/>
        </w:rPr>
        <w:t>and any failure to provide appropriate notice may violate the terms of our customer contracts. Applicable laws, our contracts and our representations require us to implement and maintain industry-standard or reasonable measures to safeguard personal information or confidential information. A security breach could lead to claims by our customers, or other relevant stakeholders, that we have failed to comply with such legal or contractual obligations. As a result, we could be subject to legal action or our customers could end their relationships with us. Further, our contracts may not contain limitations of liability, and even where they do, there can be no assurance that any limitations of liability would be enforceable or adequate or would otherwise protect us from liabilities or damages.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costs to respond to a security breach and/or mitigate any security vulnerabilities that may be identified could be significant, our efforts to address these problems may not be successful, and these problems could result in unexpected interruptions, delays, cessation of service, negative publicity, and other harm to our business and our competitive position. We could be required to fundamentally change our business activities and practices in response to a security breach or related regulatory actions or litigation, which could have an adverse effect on our business.</w:t>
      </w:r>
    </w:p>
    <w:p>
      <w:pPr>
        <w:spacing w:after="0" w:line="18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Additionally, we cannot be certain that our insurance coverage will be adequate or sufficient for fines, judgments, settlements, penalties, costs, attorney fees and other impacts that arise out of privacy or security incidents or breaches. If the impacts of a privacy or security incident or breach, or the successful assertion of one or more large claims against us that exceeds our available insurance coverage, or results in changes to our insurance policies (including premium increases or the imposition of large deductible or co-insurance requirements), it could have an adverse effect on our business. In addition, we cannot be sure that our existing insurance coverage, cyber coverage and coverage for errors and omissions will continue to be available on acceptable terms or that our insurers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business, financial condition and results of operations. Our risks are likely to increase as we continue to expand, grow our customer base, and process, store, and transmit increasingly large amounts of sensitive information.</w:t>
      </w:r>
    </w:p>
    <w:p>
      <w:pPr>
        <w:spacing w:after="0" w:line="18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Real or perceived errors, failures or bugs in our software could adversely affect our business, results of operations, financial condition and growth prospects.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software is complex and therefore, undetected errors, failures or bugs have occurred in the past and may occur in the future. Our software is used in IT environments with different operating systems, system management software, applications, devices, databases, servers, storage, middleware, custom and third-party applications and equipment and networking configurations, which may cause errors or failures in the IT environment into which our software is deployed. This diversity increases the likelihood of errors or failures in those IT environments. Despite testing by us, real or perceived errors, failures or bugs may not be found until our customers use our software. Our systems could also be negatively affected by vulnerabilities present in acquired or integrated entities’ systems and technologies, and such vulnerabilities may not be discovered during our due diligence. Real or perceived errors, failures or bugs in our products could result in negative publicity, security breaches or other security incidents, loss of or delay in market acceptance of our software, regulatory investigations and enforcement actions, harm to our brand, weakening of our competitive position, or claims by customers for losses sustained by them or failure to meet the stated service level commitments in our customer agreements. In such an event, we may be required, or may choose, for customer relations or other reasons, to expend significant additional resources in order to help correct the problem. Any real or perceived errors, failures or bugs in our software could also impair our ability to attract new customers, retain existing customers or expand their use of our software, which would adversely affect our business, results of operations and financial condition.</w:t>
      </w:r>
    </w:p>
    <w:p>
      <w:pPr>
        <w:spacing w:after="0" w:line="18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Interruptions or performance problems associated with our products and platform capabilities may adversely affect our business, financial condition and results of operations.</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Our continued growth depends in part on the ability of our existing and potential customers to access our products and platform capabilities at any time and within an acceptable amount of time. We have experienced, and may in the future experience, disruptions, outages, and other performance problems due to a variety of factors, including infrastructure changes, introductions of new functionality, human or software errors, capacity constraints due to an overwhelming number of users accessing our products and platform capabilities simultaneously, denial of service attacks, or other security-related incidents. For example, in March 2023, our platform experienced widespread outages across multiple products and regions, which was substantially resolved in approximately a day.</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It may become increasingly difficult to maintain and improve our performance, especially during peak usage times and as our products and platform capabilities become more complex and our user traffic increases. If our products and platform capabilities are unavailable or if our users are unable to access our products and platform capabilities within a reasonable</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2" w:name="page43"/>
    <w:bookmarkEnd w:id="42"/>
    <w:p>
      <w:pPr>
        <w:jc w:val="both"/>
        <w:spacing w:after="0" w:line="261" w:lineRule="auto"/>
        <w:rPr>
          <w:sz w:val="20"/>
          <w:szCs w:val="20"/>
          <w:color w:val="auto"/>
        </w:rPr>
      </w:pPr>
      <w:r>
        <w:rPr>
          <w:rFonts w:ascii="Times New Roman" w:cs="Times New Roman" w:eastAsia="Times New Roman" w:hAnsi="Times New Roman"/>
          <w:sz w:val="18"/>
          <w:szCs w:val="18"/>
          <w:color w:val="auto"/>
        </w:rPr>
        <w:t>amount of time or at all, we may experience a loss of customers, lost or delayed market acceptance of our platform and products, delays in payment to us by customers, injury to our reputation and brand, legal claims against us, and the diversion of our resources. In addition,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adversely affected.</w:t>
      </w:r>
    </w:p>
    <w:p>
      <w:pPr>
        <w:spacing w:after="0" w:line="203" w:lineRule="exact"/>
        <w:rPr>
          <w:sz w:val="20"/>
          <w:szCs w:val="20"/>
          <w:color w:val="auto"/>
        </w:rPr>
      </w:pPr>
    </w:p>
    <w:p>
      <w:pPr>
        <w:ind w:right="5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usage of our platform capabilities grow, we will need to devote additional resources to improving and maintaining our infrastructure and integrating with third-party applications. In addition, we will need to appropriately scale our internal business systems and our services organization, including customer support and professional services, to serve our growing customer base. Any failure of or delay in these efforts could result in impaired system performance and reduced customer satisfaction, resulting in decreased sales to new customers, lower dollar-based net retention rates or, the issuance of service credits or requested refunds, which would hurt our revenue growth and our reputation. Further, any failure in optimizing our spend on third-party cloud services as we scale could negatively impact our gross margins. Even if we are successful in our expansion efforts, they will be expensive and complex, and require the dedication of significant management time and attention. We could also face inefficiencies or service disruptions as a result of our efforts to scale our internal infrastructure. We cannot be sure that the expansion of and improvements to our internal infrastructure will be effectively implemented on a timely basis, if at all, and such failures could harm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upon third-party providers of cloud-based infrastructure to host our products. Any disruption in the operations of these third-party providers, limitations on capacity or interference with our use could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outsource substantially all of the infrastructure relating to our cloud solution to third-party hosting services. Customers of our cloud-based products need to be able to access our platform at any time, without interruption or degradation of performance, and we provide them with service-level commitments with respect to uptime. Our cloud-based products depend on protecting the virtual cloud infrastructure hosted by third-party hosting services by maintaining its configuration, architecture, features and interconnection specifications, as well as the information stored in these virtual data centers, which is transmitted by third-party internet service providers. Any limitation on the capacity of our third-party hosting services could impede our ability to onboard new customers or expand the usage of our existing customers, which could adversely affect our business, financial condition and results of operations. In addition, any incident affecting our third-party hosting services’ infrastructure that may be caused by cyber-attacks, natural disasters, fire, flood, severe storm, earthquake, power loss, telecommunications failures, outbreaks of contagious diseases, terrorist or other attacks, and other similar events beyond our control could negatively affect our cloud-based products. A prolonged service disruption affecting our cloud-based solution for any of the foregoing reasons would negatively impact our ability to serve our customers and could damage our reputation with current and potential customers, expose us to liability, cause us to lose customers or otherwise harm our business. We may also incur significant costs for using alternative equipment or taking other actions in preparation for, or in reaction to, events that damage the third-party hosting services we use.</w:t>
      </w:r>
    </w:p>
    <w:p>
      <w:pPr>
        <w:spacing w:after="0" w:line="19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that our service agreements with our third-party hosting services are terminated, or there is a lapse of service, elimination of services or features that we utilize, interruption of internet service provider connectivity or damage to such facilities, we could experience interruptions in access to our platform as well as significant delays and additional expense in arranging or creating new facilities and services and/or re-architecting our cloud solution for deployment on a different cloud infrastructure service provider, which could adversely affect our business, financial condition and results of operations.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offer free trials and a free tier of our platform to drive developer awareness of our products, and encourage usage and adoption. If these marketing strategies fail to lead to customers purchasing paid subscriptions, our ability to grow our revenue will be adversely affected.</w:t>
      </w:r>
    </w:p>
    <w:p>
      <w:pPr>
        <w:spacing w:after="0" w:line="18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To encourage awareness, usage, familiarity and adoption of our platform and products, we offer free trials and a free tier of our platform. These strategies may not be successful in leading customers to purchase our products, as users of our free tier may not lead to them or others within their organization purchasing and deploying our platform. To the extent that users do not become, or we are unable to successfully attract paying customers, we will not realize the intended benefits of these marketing strategies and our ability to grow our revenue will be adversely affected.</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3" w:name="page44"/>
    <w:bookmarkEnd w:id="43"/>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could decline.</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results of operations have fluctuated in the past and are expected to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68" w:lineRule="exact"/>
        <w:rPr>
          <w:sz w:val="20"/>
          <w:szCs w:val="20"/>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or pricing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usage of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new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existing customers;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expansion rates and the pricing and quantity of subscriptions renewed;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of subscriptions from customers in our cloud-provider marketplaces;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amount of our investments to expand the capacity of our third-party cloud infrastructure providers;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driven by industry conferences;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in new products and features relative to investments in our existing infrastructure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our customer purchases;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or delays in purchasing decisions in anticipation of new products or enhancements by us or our competitors;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customers’ budgets and in the timing of their budget cycles and purchasing decisions;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costs, including our operating expenses;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payment for operating expenses, particularly research and development and sales and marketing expenses, including commissions;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non-cash expenses, including stock-based compensation, goodwill impairments and other non-cash charges;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acquisitions and their integration;</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both domestically and internationally, as well as economic conditions specifically affecting regions and industries in which our customers participate, including those impacted by the war in Ukraine and conflicts in the Middle East;</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trade policies, such as trade wars, tariffs or other trade restrictions or the threat of such actions;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other economic factors, including inflation, pricing and currency fluctuations;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new accounting pronouncements;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regulatory or legal environments that may cause us to incur, among other elements, expenses associated with compliance;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dynamics of our market, including consolidation among competitors or customers;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security breaches of, technical difficulties with, or interruptions to, the delivery and use of our products and platform capabilities.</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global economy, including credit and financial markets, has experienced periods of volatility and disruptions, including periods of diminished liquidity and credit availability, changes in consumer confidence, fluctuations in economic growth, volatility in unemployment rates, fluctuating inflation and interest rates, and uncertainty about economic stability. For a discussion of certain of these economic, political, regulatory, and market risks, see “Risks Associated with our Growth—Unfavorable conditions in our industry or the global economy, or reductions in information technology spending, could limit our ability to grow our business and negatively affect our results of operations”. Any such volatility and disruptions may have adverse consequences on us or the third parties on whom we rely. If the equity and credit markets deteriorate, or do not improve, including as a result of political unrest or war, it may make any necessary debt or equity financing more difficult to</w:t>
      </w:r>
    </w:p>
    <w:p>
      <w:pPr>
        <w:sectPr>
          <w:pgSz w:w="11900" w:h="16838" w:orient="portrait"/>
          <w:cols w:equalWidth="0" w:num="1">
            <w:col w:w="11240"/>
          </w:cols>
          <w:pgMar w:left="320" w:top="1305"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type w:val="continuous"/>
        </w:sectPr>
      </w:pPr>
    </w:p>
    <w:bookmarkStart w:id="44" w:name="page45"/>
    <w:bookmarkEnd w:id="44"/>
    <w:p>
      <w:pPr>
        <w:jc w:val="both"/>
        <w:spacing w:after="0" w:line="282" w:lineRule="auto"/>
        <w:rPr>
          <w:sz w:val="20"/>
          <w:szCs w:val="20"/>
          <w:color w:val="auto"/>
        </w:rPr>
      </w:pPr>
      <w:r>
        <w:rPr>
          <w:rFonts w:ascii="Times New Roman" w:cs="Times New Roman" w:eastAsia="Times New Roman" w:hAnsi="Times New Roman"/>
          <w:sz w:val="18"/>
          <w:szCs w:val="18"/>
          <w:color w:val="auto"/>
        </w:rPr>
        <w:t>obtain in a timely manner or on favorable terms, more costly or more dilutive. Increased inflation rates can adversely affect us by increasing our costs, including personnel costs.</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Class A common stock could decline substantially, and we could face costly lawsuits, including securities class action suits.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may cause fluctuations in our sales and results of operations.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Historically, we have experienced seasonality in new customer bookings, as we typically enter into a higher percentage of subscription agreements with new customers and renewals with existing customers in the fourth quarter of the year. We believe that this results from the procurement, budgeting, and deployment cycles of many of our customers, particularly our enterprise customers. We expect that this seasonality will continue to affect our bookings and our results of operations in the future, and might become more pronounced as we continue to target larger enterprise customers.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Downturns or upturns in our sales may not be immediately reflected in our financial position and results of operations.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Because we recognize a large portion of our revenue ratably over the term of the subscription agreement, any decreases in new subscriptions or renewals in any one period may not be immediately reflected as a decrease in revenue for that period, but could negatively affect our revenue in future quarters. This also makes it difficult for us to rapidly increase our revenue through the sale of additional subscriptions in any period, as revenue is recognized over the term of the subscription agreement. In addition, fluctuations in monthly subscriptions based on usage could affect our revenue on a period-over-period basis. If our quarterly results of operations fall below the expectations of investors and securities analysts who follow our stock, the price of our Class A common stock would decline substantially, and we could face costly lawsuits, including securities class actions.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target enterprise customers, and sales to these customers involve risks that may not be present or that are present to a lesser extent with sales to smaller entities.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a field sales team that targets enterprise customers. Sales to large customers involve risks that may not be present or that are present to a lesser extent with sales to smaller entities, such as longer sales cycles, more complex customer requirements, substantial upfront sales costs, and less predictability in completing some of our sales. For example, enterprise customers may require considerable time to evaluate and test our solutions and those of our competitors prior to making a purchase decision and placing an order. A number of factors influence the length and variability of our sales cycle, including the need to educate potential customers about the uses and benefits of our solutions,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large enterprises typically taking longer to complete. Moreover, large enterprise customers often begin to deploy our products on a limited basis, but nevertheless demand configuration, integration services and pricing negotiations, which increase our upfront investment in the sales effort with no guarantee that these customers will deploy our products widely enough across their organization to justify our substantial upfront investment.</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and motivate members of our management team or other key employees, or fail to attract additional qualified personnel to support our operations, our business and future growth prospects would be harmed.</w:t>
      </w:r>
    </w:p>
    <w:p>
      <w:pPr>
        <w:spacing w:after="0" w:line="15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success and future growth depend largely upon the continued services of our executive officers, particularly Olivier Pomel, our co-founder and Chief Executive Officer, Alexis Lê-Quôc, our co-founder and Chief Technology Officer, and David Obstler, our Chief Financial Officer, as well as our other key employees in the areas of research and development and sales and marketing functions.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 We also are dependent on the continued service of our existing software engineers because of the complexity of our products and platform capabilities.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execute our growth plan, we must attract and retain highly qualified personnel. Competition for these personnel is intense, especially for engineers experienced in designing and developing SaaS applications, those experienced with artificial intelligence and machine learning, and experienced sales professionals. If we are unable to attract such personnel in cities where we are located, we may need to hire in other locations which may add to the complexity and costs of our</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5" w:name="page46"/>
    <w:bookmarkEnd w:id="45"/>
    <w:p>
      <w:pPr>
        <w:jc w:val="both"/>
        <w:spacing w:after="0" w:line="253" w:lineRule="auto"/>
        <w:rPr>
          <w:sz w:val="20"/>
          <w:szCs w:val="20"/>
          <w:color w:val="auto"/>
        </w:rPr>
      </w:pPr>
      <w:r>
        <w:rPr>
          <w:rFonts w:ascii="Times New Roman" w:cs="Times New Roman" w:eastAsia="Times New Roman" w:hAnsi="Times New Roman"/>
          <w:sz w:val="18"/>
          <w:szCs w:val="18"/>
          <w:color w:val="auto"/>
        </w:rPr>
        <w:t>business operations. We have experienced, and we expect to continue to experience, difficulty in hiring and retaining employees with appropriate qualifications. These difficulties may be amplified by evolving restrictions on immigration, travel, or availability of visas for skilled technology workers. Current and future restrictions on the availability of visas, increased costs of visas, or delays in the issuance of visas could impair our ability to employ skilled professionals.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value or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would be harmed.</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customer base will be impaired and our business, financial condition and results of operations may suffer.</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believe that maintaining and enhancing the Datadog brand is important to support the marketing and sale of our existing and future products to new customers and expand sales of our platform and products to existing customers. We also believe that the importance of brand recognition will increase as competition in our market increases. Successfully maintaining and enhancing our brand will depend largely on the effectiveness of our marketing efforts, our ability to provide reliable products that continue to meet the needs of our customers at competitive prices, our ability to maintain our customers’ trust, our ability to continue to develop new functionality and use cases, and our ability to successfully differentiate our products and platform capabilities from competitive products. Our brand promotion activities may not generate customer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cannot maintain our company culture as we grow, our success and our business and competitive position may be harmed.</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believe our culture has been a key contributor to our success to date and that the critical nature of the platform that we provide promotes a sense of greater purpose and fulfillment in our employees. Any failure to preserve our culture could negatively affect our ability to retain and recruit personnel, which is critical to our growth, and to effectively focus on and pursue our corporate objectives. As we continue to grow and expand globally, we may find it difficult to maintain these important aspects of our culture particularly given remote or hybrid work arrangements. If we fail to maintain our company culture, our business and competitive position may be harmed.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customers rely on our customer support personnel to resolve issues and realize the full benefits that our platform provides. High-quality support is also important for the renewal and expansion of our subscriptions with existing customers. The importance of our support function will increase as we expand our business and pursue new customers. If we do not help our customers quickly resolve issues and provide effective ongoing support, our ability to maintain and expand our subscriptions to existing and new customers could suffer, and our reputation with existing or potential customers could suffer.</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in the past and may in the future seek to acquire or invest in businesses, joint ventures, products and platform capabilities, or technologies that we believe could complement or expand our services and platform capabilities,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platform capabilities, personnel, internal controls or operations of any acquired companies, particularly if the key personnel of an acquired company choose not to work for us, their software is not easily adapted to work with our platform, or we have difficulty retaining the customers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6" w:name="page47"/>
    <w:bookmarkEnd w:id="46"/>
    <w:p>
      <w:pPr>
        <w:jc w:val="both"/>
        <w:spacing w:after="0" w:line="261" w:lineRule="auto"/>
        <w:rPr>
          <w:sz w:val="20"/>
          <w:szCs w:val="20"/>
          <w:color w:val="auto"/>
        </w:rPr>
      </w:pPr>
      <w:r>
        <w:rPr>
          <w:rFonts w:ascii="Times New Roman" w:cs="Times New Roman" w:eastAsia="Times New Roman" w:hAnsi="Times New Roman"/>
          <w:sz w:val="18"/>
          <w:szCs w:val="18"/>
          <w:color w:val="auto"/>
        </w:rPr>
        <w:t>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our business, financial condition and results of operations may be adversely affected or we may be exposed to unknown risks or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and Competitive Risks</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rapidly changing technology, evolving industry standards, changing regulations, or to changing customer needs, requirements or preferences, our platform and products may become less competitive.</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ability to attract new users and customers and increase revenue from existing customers depends in large part on our ability to enhance and improve our existing products, increase adoption and usage of our products, and introduce new products and capabilities. The market in which we compete is relatively new and subject to rapid technological change, evolving industry standards, and changing regulations, as well as changing customer needs, requirements and preferences. The success of our business will depend, in part, on our ability to adapt and respond effectively to these changes on a timely basis. For example, some of our products use artificial intelligence, or AI, and machine learning, and we are making investments in expanding our artificial intelligence capabilities, which will require significant investment in infrastructure and personnel. However, AI technologies are complex and rapidly evolving in a changing competitive market and market acceptance of AI technologies remains uncertain, see “Industry and Competitive Risks—We use artificial intelligence in our products and services which may result in operational challenges, legal liability, reputational harm, competitive risks and regulatory concerns that could adversely affect our business and results of operations.” below. If we were unable to enhance our products and platform capabilities to keep pace with rapid technological and regulatory change, or if new technologies emerge that are able to deliver competitive products at lower prices, more efficiently, more conveniently, or more securely than our products, our business, financial condition and results of operations could be adversely affected.</w:t>
      </w:r>
    </w:p>
    <w:p>
      <w:pPr>
        <w:spacing w:after="0" w:line="190"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success of our platform depends, in part, on its ability to be deployed in a self-service installation process. We currently offer more than 1,000 out-of-the-box integrations to assist customers in deploying Datadog, and we need to continuously modify and enhance our products to adapt to changes and innovation in existing and new technologies to maintain and grow our integrations. We expect that the number of integrations we will need to support will continue to expand as developers adopt new software platforms, and we will have to develop new versions of our products to work with those new platforms. This development effort may require significant engineering, sales and marketing resources, all of which would adversely affect our business. Any failure of our products to operate effectively with future infrastructure platforms and technologies could reduce the demand for our products. If we are unable to respond to these changes in a cost-effective manner, our products may become less marketable and less competitive or obsolete, and our business, financial condition and results of operations could be adversely affected.</w:t>
      </w:r>
    </w:p>
    <w:p>
      <w:pPr>
        <w:spacing w:after="0" w:line="18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markets in which we participate are competitive, and if we do not compete effectively, our business, financial condition and results of operations could be harmed.</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unified platform combines functionality from numerous traditional product categories, and hence we compete in each of these categories with home-grown and open-source technologies, as well as a number of different vendors. With respect to on-premise infrastructure monitoring, we compete with diversified technology companies and systems management vendors including IBM, Microsoft Corporation, and SolarWinds Corporation. With respect to APM, we compete with companies including Cisco Systems, Inc., New Relic, Inc. and Dynatrace Software Inc. With respect to log management, we compete with companies including Cisco Systems, Inc. and Elastic N.V. With respect to cloud monitoring, we compete with native solutions from cloud providers such as AWS, GCP and Microsoft Azure. In addition, we may increasingly choose to allow these third-party hosting providers to offer our solutions directly through their customer marketplaces. An increasing number of sales through cloud provider marketplaces could reduce both the number of customers with whom we have direct commercial relationships as well as our profit margins on sales made through such marketplaces.</w:t>
      </w:r>
    </w:p>
    <w:p>
      <w:pPr>
        <w:spacing w:after="0" w:line="19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With the introduction of new technologies and market entrants, we expect that the competitive environment will remain intense going forward. Some of our actual and potential competitors have been acquired by other larger enterprises and have made or may make acquisitions or may enter into partnerships or other strategic relationships that may provide more comprehensive offerings than they individually had offered or achieve greater economies of scale than us. In addition, new entrants not currently considered to be competitors may enter the market through acquisitions, partnerships or strategic relationships. As we look to market and sell our products and platform capabilities to potential customers with existing internal</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color w:val="auto"/>
        </w:rPr>
        <w:t>solutions, we must convince their internal stakeholders that our products and platform capabilities are superior to their current solutions.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 compete on the basis of a number of factors, including:</w:t>
      </w:r>
    </w:p>
    <w:p>
      <w:pPr>
        <w:spacing w:after="0" w:line="117" w:lineRule="exact"/>
        <w:rPr>
          <w:sz w:val="20"/>
          <w:szCs w:val="20"/>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unified, real-time observability of IT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in dynamic and elastic environments;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extensibility across the enterprise, including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propensity to enable collaboration between development, operations and business users;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monitor any combination of public clouds, private clouds, on-premise and multi-cloud hybrids;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provide advanced analytics and machine learning;</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 of deployment, implementation and use;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operate across a broad range of geographies in compliance with local regulations;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of offering and key technology integrations;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security, scalability and reliability;</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of service and customer satisfaction;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cost of ownership;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competitors vary in size and in the breadth and scope of the products offered. Many of our competitors and potential competitors have greater name recognition, longer operating histories, more established customer relationships and installed customer bases, larger marketing budgets and greater resources than we do. Further, other potential competitors not currently offering competitive solutions may expand their product or service offerings to compete with our products and platform capabilities, or our current and potential competitors may establish cooperative relationships among themselves or with third parties that may further enhance their resources and product offerings in our addressable market. Our competitors may be able to respond more quickly and effectively than we can to new or changing opportunities, technologies, standards, and customer requirements. An existing competitor or new entrant could introduce new technology that reduces demand for our products and platform capabilities. In addition to product and technology competition, we face pricing competition. Some of our competitors offer their solutions at a lower price, which has resulted in, and may continue to result in, pricing pressures.</w:t>
      </w:r>
    </w:p>
    <w:p>
      <w:pPr>
        <w:spacing w:after="0" w:line="18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For all of these reasons, we may not be able to compete successfully against our current or future competitors, and this competition could result in the failure of our platform to continue to achieve or maintain market acceptance, any of which would harm our business, results of operations, and financial condition.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for our solutions may develop more slowly or differently than we expect.</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It is difficult to predict customer adoption rates and demand for our products, the entry of competitive products or the future growth rate and size of the cloud-based software and SaaS business software markets. The expansion of these markets depends on a number of factors, including: the cost, performance, and perceived value associated with cloud-based and SaaS business software as an alternative to legacy systems, as well as the ability of cloud-based software and SaaS providers to address heightened data security and privacy concerns. If we have a security incident or other cloud-based software and SaaS providers experience security incidents, loss of customer data, disruptions in delivery or other similar problems, which is an increasing focus of the public and investors in recent years, the market for these applications as a whole, including our platform and products, may be negatively affected. If cloud-based and SaaS business software does not continue to achieve market acceptance, or there is a reduction in demand caused by a lack of customer acceptance, technological challenges, weakening economic conditions, data security or privacy concerns, governmental regulation, competing technologies and products, or decreases in information technology spending or otherwise, the market for our platform and products might not continue to develop or might develop more slowly than we expect, which would adversely affect our business, financial condition and results of operations.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use artificial intelligence in our products and services which may result in operational challenges, legal liability, reputational harm, competitive risks and regulatory concerns that could adversely affect our business and results of operations.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8" w:name="page49"/>
    <w:bookmarkEnd w:id="48"/>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incorporate AI, including generative AI, into our products. These technologies are complex and rapidly evolving and building them requires significant investment in infrastructure and personnel with no assurance that we will realize the desired or anticipated benefits. Our competitors may more successfully incorporate AI into their products and achieve higher market acceptance of their AI solutions, which could impair our ability to compete effectively and adversely affect our results of operations.</w:t>
      </w:r>
    </w:p>
    <w:p>
      <w:pPr>
        <w:spacing w:after="0" w:line="180"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may also encounter new risks, challenges, and unintended consequences as a result of our use of AI. For example, the issue of intellectual property ownership and license rights surrounding AI technologies has not been fully addressed by U.S. courts or federal or state laws and regulations, and the incorporation of AI technologies into our products and services could expose us to intellectual property claims or mandatory compliance with open source software or other license terms. Our use of AI may also lead to novel cybersecurity or privacy risks which may adversely affect our operations and reputation. Several jurisdictions around the globe, including Europe and certain U.S. states, have proposed, enacted, or are considering laws governing the development and use of AI and machine learning technologies. For example, the European Union's Artificial Intelligence Act, which would apply beyond the European Union’s borders, came into effect in August 2024. It contains numerous requirements regarding the development and use of AI and imposes significant monetary fines. Further, countries and states are applying their data and consumer protection laws to AI technologies, and particularly generative AI and interactive chatbots. In addition, the Federal Trade Commission has required other companies to disgorge valuable insights or trainings generated through the use of AI or machine learning technologies where they allege the company has violated privacy and consumer protection laws. Compliance with regulations as well as social and ethical standards relating to AI may require significant research and development costs as well as management and employee attention. Any actual or perceived failure to comply with these laws, regulations or ethical standards could include severe penalties, reputational harm, and slow adoption of AI in our products and services. In addition, our business may be disrupted if any of the third-party AI services we use become unavailable due to extended outages or commercially unreasonable terms of service.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and Regulatory Risks</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typically provide service-level commitments under our subscription agreements. If we fail to meet these contractual commitments, we could be obligated to provide credits for future service or face subscription termination with refunds of prepaid amounts, which would lower our revenue and harm our business, financial condition and results of operations.</w:t>
      </w:r>
    </w:p>
    <w:p>
      <w:pPr>
        <w:spacing w:after="0" w:line="17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subscription agreements typically contain service-level commitments. If we are unable to meet the stated service-level commitments, including failure to meet the uptime and response time requirements under our customer subscription agreements, we may be contractually obligated to provide these customers with service credits which could significantly affect our revenue in the periods in which the failure occurs and the credits are applied. We could also face subscription terminations and a reduction in renewals, which could significantly affect both our current and future revenue. Any service-level failures could also damage our reputation, which could also adversely affect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Indemnity provisions in various agreements to which we are party potentially expose us to substantial liability for infringement, misappropriation or other violation of intellectual property rights, data protection and other losses.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Our agreements with our customers and other third parties may include indemnification provisions under which we agree to indemnify or otherwise be liable to them for losses suffered or incurred as a result of claims of infringement, misappropriation or other violation of intellectual property rights, data protection, damages caused by us to property or persons, or other liabilities relating to or arising from our software, services, platform, our acts or omissions under such agreements or other contractual obligations. Some of these indemnity agreements provide for uncapped liability and some indemnity provisions survive termination or expiration of the applicable agreement. Large indemnity payments could harm our business, financial condition and results of operations. Although we attempt to contractually limit our liability with respect to such indemnity obligations, we are not always successful and may still incur substantial liability related to them, and we may be required to cease use of certain functions of our platform or products as a result of any such claims. Any dispute with a customer or other third party with respect to such obligations could have adverse effects on our relationship with such customer or other third party and other existing or prospective customers, reduce demand for our products and services and adversely affect our business, financial conditions and results of operations. In addition, although we carry general liability insurance, our insurance may not be adequate to indemnify us for all liability that may be imposed or otherwise protect us from liabilities or damages with respect to claims alleging compromises of customer data, and any such coverage may not continue to be available to us on acceptable terms or at all.</w:t>
      </w:r>
    </w:p>
    <w:p>
      <w:pPr>
        <w:spacing w:after="0" w:line="18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and the third-parties with whom we work are subject to stringent and changing laws, regulations, standards, and contractual obligations related to data privacy and security. Actual or perceived failure by us or the third-parties with whom we work to comply with such laws, regulations, standards, or contractual obligations could harm our business.</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49" w:name="page50"/>
    <w:bookmarkEnd w:id="49"/>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have legal, contractual and other applicable obligations regarding the protection and appropriate use of sensitive information that we and the third-parties with whom we work process. We are subject to a variety of federal, state, local and foreign laws, directives, regulations, and industry standards, relating to the collection, use, retention, security, disclosure, transfer and other processing of personal information. The regulatory framework for and users' expectations around privacy and security issues worldwide is rapidly evolving and as a result, implementation standards and enforcement practices are likely to remain uncertain for the foreseeable future resulting in possible significant operational costs for compliance and risk to our business. In addition, new technologies we use in our products or in our business, like AI and machine learning, may also subject us to new or enhanced governmental or regulatory scrutiny, litigation, ethical concerns, or other complications that could adversely affect our business, reputation, or financial results.</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Internationally, nearly every jurisdiction in which we operate has established its own data security and privacy legal framework with which we, the third-parties with whom we work, or our customers must comply. For example, the European Union's General Data Protection Regulation, or EU GDPR, and the United Kingdom's General Data Protection Regulation, or UK GDPR, contain numerous requirements and changes from previously existing law, including more robust obligations on data processors and heavier documentation requirements for data protection compliance programs by companies and data protection authorities. Under both the EU GDPR and UK GDPR, companies may face temporary or definitive bans on data processing and other corrective actions, significant monetary fines, and private litigation related to processing of personal data brought by classes of data subjects or consumer protection organizations authorized at law to represent their interests.</w:t>
      </w:r>
    </w:p>
    <w:p>
      <w:pPr>
        <w:spacing w:after="0" w:line="189" w:lineRule="exact"/>
        <w:rPr>
          <w:sz w:val="20"/>
          <w:szCs w:val="20"/>
          <w:color w:val="auto"/>
        </w:rPr>
      </w:pPr>
    </w:p>
    <w:p>
      <w:pPr>
        <w:jc w:val="both"/>
        <w:ind w:firstLine="486"/>
        <w:spacing w:after="0" w:line="250" w:lineRule="auto"/>
        <w:rPr>
          <w:sz w:val="20"/>
          <w:szCs w:val="20"/>
          <w:color w:val="auto"/>
        </w:rPr>
      </w:pPr>
      <w:r>
        <w:rPr>
          <w:rFonts w:ascii="Times New Roman" w:cs="Times New Roman" w:eastAsia="Times New Roman" w:hAnsi="Times New Roman"/>
          <w:sz w:val="18"/>
          <w:szCs w:val="18"/>
          <w:color w:val="auto"/>
        </w:rPr>
        <w:t>Certain jurisdictions impose regulatory obligations focused on cybersecurity resilience, system availability, and incident response. For example, in the European Union, the Network and Information Security Directive (EU) 2022/2555 (“NIS2”), and in the United Kingdom, the Network and Information Systems Regulations 2018, establish requirements related to risk management, security incident reporting, and business continuity for certain entities. Failure to comply with these frameworks may result in significant administrative fines, enforcement actions, and operational restrictions.</w:t>
      </w:r>
    </w:p>
    <w:p>
      <w:pPr>
        <w:spacing w:after="0" w:line="17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Europe and other jurisdictions have enacted laws related to data storage location, cross-border personal data transfers, and data portability. For example, the European Economic Area (EEA) and the United Kingdom have significantly restricted the transfer of personal data to the United States and other countries whose privacy laws it generally believes are inadequate. Although there are currently various mechanisms that may be used to transfer personal data from the EEA and United Kingdom to the United States in compliance with law, such as the EEA standard contractual clauses, the United Kingdom’s International Data Transfer Agreement/Addendum, and the EU-U.S. Data Privacy Framework and the United Kingdom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Additionally, the EU Data Act introduces new obligations related to data portability and services switching, which introduces operational complexities and infrastructure, and may increase our compliance and operational costs.</w:t>
      </w:r>
    </w:p>
    <w:p>
      <w:pPr>
        <w:spacing w:after="0" w:line="188"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other countries outside of Europe have enacted or are considering enacting similar cross-border data transfer restrictions and laws requiring local data residency, and strict limitations to the processing of personal information, which could increase the cost and complexity of delivering our services and operating our business. For example, Brazil enacted the General Data Protection Law, New Zealand enacted the New Zealand Privacy Act, Australia enacted the Australia Privacy Act, China enacted its Personal Information Protection Law, Canada has enacted the Personal Information Protection and Electronic Documents Act, and various related provincial laws and India enacted the Information Technology Act.</w:t>
      </w:r>
    </w:p>
    <w:p>
      <w:pPr>
        <w:spacing w:after="0" w:line="183"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If we are unable to implement a valid compliance mechanism for cross-border personal information transfers, we may face increased exposure to regulatory actions, substantial fines and injunctions against processing or transferring personal information from Europe or elsewhere. Inability to import personal information from other jurisdictions to the United States may significantly and negatively impact our business operations, including by lowering sales on our platform due to the difficulty of establishing a lawful mechanism for personal information transfers out of Europe or other jurisdictions, or requiring us to increase our data processing capabilities in Europe or elsewhere at significant expense. Some European regulators have ordered certain companies to suspend or permanently cease certain transfers out of Europe for allegedly violating the GDPR’s cross-border data transfer limitations.</w:t>
      </w:r>
    </w:p>
    <w:p>
      <w:pPr>
        <w:spacing w:after="0" w:line="18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Additionally, European legislative proposals and present laws and regulations apply to cookies and similar tracking technologies, electronic communications, and marketing. In the EU and the United Kingdom, regulators are increasingly focusing on compliance with requirements related to the online behavioral advertising ecosystem and requirements around consent and have issued significant fines when consent was not obtained. It is anticipated that the ePrivacy Regulation will replace the current national laws that implement the ePrivacy Directive that governs electronic communications. Outside of Europe, other laws and regulations, including legislative proposals, individual behavior and industry practices are increasingly</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0" w:name="page51"/>
    <w:bookmarkEnd w:id="50"/>
    <w:p>
      <w:pPr>
        <w:jc w:val="both"/>
        <w:spacing w:after="0" w:line="258" w:lineRule="auto"/>
        <w:rPr>
          <w:sz w:val="20"/>
          <w:szCs w:val="20"/>
          <w:color w:val="auto"/>
        </w:rPr>
      </w:pPr>
      <w:r>
        <w:rPr>
          <w:rFonts w:ascii="Times New Roman" w:cs="Times New Roman" w:eastAsia="Times New Roman" w:hAnsi="Times New Roman"/>
          <w:sz w:val="18"/>
          <w:szCs w:val="18"/>
          <w:color w:val="auto"/>
        </w:rPr>
        <w:t>resistant to the use of personal information to deliver targeted advertising, making certain online advertising activities more difficult and subject to additional scrutiny. For example, the California Consumer Privacy Act, or CCPA, grants California residents the right to opt-out of a company’s sharing of personal information for cross-context behavioral advertising purposes. Other comprehensive U.S. state privacy laws extend similar rights to residents. As a result of these developments, we may be required to change the way we market our products, which would impair our ability to reach new or existing customers.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Complying with these and other applicable laws may cause us to incur substantial operational costs or require us to change our business practices. Despite our efforts to bring practices into compliance with all applicable laws, we may not be successful in our efforts to achieve compliance either due to internal or external factors such as resource allocation limitations or a lack of vendor cooperation. Non-compliance could result in proceedings against us by governmental entities, customers, data subjects or others. We may also experience difficulty retaining or obtaining new European or multi-national customers due to the legal requirements, compliance cost, potential risk exposure, and uncertainty for these entities, and we may experience significantly increased liability with respect to these customers pursuant to the terms set forth in our engagements with them. While we utilize a data center in the EEA to maintain certain customer data (which may include personal information) originating from the EEA, we may find it necessary to establish additional systems and processes to maintain such data in the EEA, which may involve substantial expense and distraction from other aspects of our business.</w:t>
      </w:r>
    </w:p>
    <w:p>
      <w:pPr>
        <w:spacing w:after="0" w:line="19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Domestic laws in this area are also complex and developing rapidly, and we are, or may become, subject to numerous U.S. data privacy and security laws. In the United States, laws governing data privacy and security include those promulgated under the authority of the Federal Trade Commission Act, the Electronic Communications Privacy Act, the Computer Fraud and Abuse Act, the CCPA, HIPAA, and numerous other state and federal laws relating to privacy and data security. Many state legislatures have adopted legislation that regulates how businesses operate online, including measures relating to privacy, data security and data breaches. Laws in all 50 states require businesses to provide notice to customers whose personal information has been disclosed as a result of certain data breaches. The laws are not consistent, and compliance in the event of a widespread data breach is costly. States are also constantly amending existing laws, requiring attention to frequently changing legal requirements.</w:t>
      </w:r>
    </w:p>
    <w:p>
      <w:pPr>
        <w:spacing w:after="0" w:line="18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The CCPA, which became effective on January 1, 2020, gives California residents (including consumers, employees, job applicants and business representatives) expanded rights to access and delete their personal information, opt out of the sale of personal information, and receive detailed information about how their personal information is used. The CCPA provides a private right of action and statutory damages for certain data breaches and may increase our compliance costs and potential liability with respect to other personal information we collect about California residents. In addition, the amendments to the CCPA made by the California Privacy Rights Act, or the CPRA, went into effect on January 1, 2023. The CPRA amended the CCPA to give California residents the ability to limit the use of their sensitive personal information, provide additional penalties for CPRA violations concerning California residents under the age of 16, and established a new California Privacy Protection Agency to implement and enforce the law. These changes to the CCPA could impact our business activities depending on how they are interpreted. Many other states have enacted or proposed comprehensive privacy laws, which either have gone into effect or are expected to go into effect over the next several years. These laws exemplify the vulnerability of our business to the evolving regulatory environment related to the protection of personal information.</w:t>
      </w:r>
    </w:p>
    <w:p>
      <w:pPr>
        <w:spacing w:after="0" w:line="194"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Because the interpretation and application of many privacy and data protection laws and regulations, along with contractually imposed industry standards are uncertain, it is possible that they may be interpreted and applied in a manner that is inconsistent with our existing data management practices or the features of our products and platform capabilities. If so, in addition to the possibility of fines, lawsuits, mass arbitration demands, regulatory investigations and imprisonment of company officials, other claims and penalties, significant costs for remediation and damage to our reputation, we could be required to fundamentally change our business activities and practices or modify our products and platform capabilities, any of which could have an adverse effect on our business.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inability to adequately address privacy and security concerns, even if unfounded, or comply with applicable privacy and data security laws, regulations, or contractual obligations, could result in additional cost and liability to us, damage our reputation, inhibit sales, and adversely affect our business. Furthermore, the costs of compliance with, and other burdens imposed by, the laws, regulations, and contractual obligations that are applicable to the businesses of our customers may limit the use and adoption of, and reduce the overall demand for, our products. Privacy and data security concerns, whether valid or not valid, may inhibit market adoption of our products, particularly in certain industries and foreign countries. If we are not able to adjust to these changing laws, regulations, and contractual obligations, our business may be harmed.</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1" w:name="page52"/>
    <w:bookmarkEnd w:id="51"/>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publicly post our policies and other documentation regarding our practices concerning the collection, processing, use, transfer, and disclosure of data. Although we endeavor to comply with our published policies and documentation, we may at times fail to do so or be alleged to have failed to do so. The publication of our policies and other documentation that provide promises and assurances about privacy and security can subject us to potential state and federal action if they are found to be deceptive, unfair, or misrepresentative of our actual practices. Any failure by us, our third-party service providers or other parties with whom we do business to comply with our policies or other documentation could result in proceedings against us by governmental entities, private parties or others. We are or may also be subject to the terms of our external and internal privacy and security policies, codes, representations, certifications, industry standards, publications and frameworks and contractual obligations to third parties related to privacy, information security, including contractual obligations to indemnify and hold harmless third parties from the costs or consequences of non-compliance with data protection laws or other obligations.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are subject to the U.S. Foreign Corrupt Practices Act, or FCPA, U.S. domestic bribery laws, the UK Bribery Act,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As we increase our international sales and business and sales to the public sector, we may engage with business partners and third-party intermediaries to market our products and to obtain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9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While we have policies and procedures to address compliance with such laws, we cannot assure you that all of our employees and agents will not take actions in violation of our policies and applicable law, for which we may be ultimately held responsible. As we increase our international sales and business, our risks under these laws may increase.</w:t>
      </w:r>
    </w:p>
    <w:p>
      <w:pPr>
        <w:spacing w:after="0" w:line="17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sanctions, settlements, prosecution, enforcement actions,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 management’s attention and resources and significant defense costs and other professional fees.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to government entities and highly regulated organizations are subject to a number of challenges and risks.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 portion of our sales are to U.S. federal, state, and local, as well as foreign, governmental agency customers, as well as to customers in highly regulated industries such as financial services, telecommunications and healthcare.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which may restrict our ability to sell into the government sector until we are able to comply with the revised contracting requirements. Government demand and payment for our products are affected by public sector budgetary cycles and funding authorizations, with funding reductions or delays adversely affecting public sector demand for our products.</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and are less favorable than terms agreed with private sector customers. Such entities may have statutory, contractual, or other legal rights to terminate contracts with us or our partners for convenience or for other reasons. Any such termination may adversely affect our ability to contract with other government customers as well as our reputation, business, financial condition and results of operations.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2" w:name="page53"/>
    <w:bookmarkEnd w:id="52"/>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governmental export and import controls that could impair our ability to compete in international markets or subject us to liability if we violate the controls.</w:t>
      </w:r>
    </w:p>
    <w:p>
      <w:pPr>
        <w:spacing w:after="0" w:line="15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Our platform and products are subject to U.S. export controls, including the Export Administration Regulations, and we incorporate encryption technology into certain of our products. These encryption products and the underlying technology may be exported outside of the United States only with the required export authorizations, including by license, a license exception, or other appropriate government authorizations, including the filing of an encryption classification request or self-classification report.</w:t>
      </w:r>
    </w:p>
    <w:p>
      <w:pPr>
        <w:spacing w:after="0" w:line="18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Furthermore, our activities are subject to U.S. economic sanctions laws and regulations administered by the Office of Foreign Assets Control that prohibit the shipment of most products and services to embargoed jurisdictions or sanctioned parties without the required export authorizations. Obtaining the necessary export license or other authorization for a particular sale may be time-consuming and may result in the delay or loss of sales opportunities. Violations of U.S. sanctions or export control regulations can result in significant fines or penalties and possible incarceration for responsible employees and managers.</w:t>
      </w:r>
    </w:p>
    <w:p>
      <w:pPr>
        <w:spacing w:after="0" w:line="183"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If our channel partners fail to obtain appropriate import, export, or re-export licenses or permits, we may also be adversely affected through reputational harm, as well as other negative consequences, including government investigations and penalties.</w:t>
      </w:r>
    </w:p>
    <w:p>
      <w:pPr>
        <w:spacing w:after="0" w:line="162"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Also, various countries, in addition to the United States, regulate the import and export of certain encryption and other technology, including import and export licensing requirements, and have enacted laws that could limit our ability to distribute our products or could limit our end-customers’ ability to implement our products in those countries. Changes in our products or future changes in export and import regulations may create delays in the introduction of our platform in international markets, prevent our end-customers with international operations from deploying our platform globally or, in some cases, prevent the export or import of our products to certain countries, governments, or persons altogether. From time to time, various governmental agencies have proposed additional regulation of encryption technology. Any change in export or import regulations, economic sanctions or related legislation, increased export and import controls, or change in the countries, governments, persons, or technologies targeted by such regulations, could result in decreased use of our platform by, or in our decreased ability to export or sell our products to, existing or potential end-customers with international operations. Any decreased use of our platform or limitation on our ability to export or sell our products would adversely affect our business, results of operations, and growth prospects.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future litigation against us could be costly and time-consuming to defend.</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are and in the future may become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seriously harm our business, financial condition and results of operations.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position and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risks related to our environmental, social, and governance practices and disclosures.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There continues to be a focus from certain regulators, investors and other stakeholders concerning environmental, social, and governance, or ESG, matters, both in the United States and internationally. In response, we are in the process of evaluating and developing our ESG practices. Any of our current or future ESG practices and initiatives, if any, could be difficult to achieve and costly to implement. Furthermore, if these practices are not perceived to be adequate, or if the initiatives and positions we take (or choose not to take) on ESG issues are unpopular with some of our employees, customers or potential customers, our reputation could be harmed, which could negatively impact our ability to attract or retain employees or customers.</w:t>
      </w:r>
    </w:p>
    <w:p>
      <w:pPr>
        <w:spacing w:after="0" w:line="183"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Standards for tracking and reporting ESG matters continue to evolve. Our interpretation or application of frameworks and standards may change from time to time or differ from those of others. This may result in a lack of consistent or meaningful comparative data from period to period or between us and other companies in the same industry. In addition, our processes and controls may not comply with evolving standards for identifying, measuring and reporting ESG metrics, including ESG-related disclosures that may be required by various regulators, and such standards may change over time, which could result in significant revisions to our ESG metrics. New legal and regulatory ESG requirements and disclosures in the United States,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3" w:name="page54"/>
    <w:bookmarkEnd w:id="53"/>
    <w:p>
      <w:pPr>
        <w:jc w:val="both"/>
        <w:spacing w:after="0" w:line="282" w:lineRule="auto"/>
        <w:rPr>
          <w:sz w:val="20"/>
          <w:szCs w:val="20"/>
          <w:color w:val="auto"/>
        </w:rPr>
      </w:pPr>
      <w:r>
        <w:rPr>
          <w:rFonts w:ascii="Times New Roman" w:cs="Times New Roman" w:eastAsia="Times New Roman" w:hAnsi="Times New Roman"/>
          <w:sz w:val="18"/>
          <w:szCs w:val="18"/>
          <w:color w:val="auto"/>
        </w:rPr>
        <w:t>Europe and elsewhere may lead to significant compliance costs, may heighten scrutiny of our ESG practices and may require us to change our current practices.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 required to collect additional sales taxes or be subject to other tax liabilities that may increase the costs our clients would have to pay for our products and adversely affect our results of operations.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8"/>
          <w:szCs w:val="18"/>
          <w:i w:val="1"/>
          <w:iCs w:val="1"/>
          <w:color w:val="auto"/>
        </w:rPr>
        <w:t>South Dakota v. Wayfair, Inc. et al</w:t>
      </w:r>
      <w:r>
        <w:rPr>
          <w:rFonts w:ascii="Times New Roman" w:cs="Times New Roman" w:eastAsia="Times New Roman" w:hAnsi="Times New Roman"/>
          <w:sz w:val="18"/>
          <w:szCs w:val="18"/>
          <w:color w:val="auto"/>
        </w:rPr>
        <w:t>, or Wayfair, that online sellers can be required to collect sales and use tax despite not having a physical presence in the buyer’s state. In response to Wayfair,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losses to offset future taxable income may be subject to certain limitations.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As of December 31, 2025, we have approximately $340.2 million and $474.2 million of net operating loss carryforwards, or NOLs, for federal and state income tax purposes, respectively, which begin to expire in 2028 for state purposes if not utilized. Certain of these NOLs are attributable to entities that we have acquired which are subject to annual limitation under Section 382 of the Internal Revenue Code of 1986, as amended, or the Code, as discussed below. We are evaluating the impact of any Section 382 limitation on our utilization of our NOLs. Unused U.S. federal NOLs for taxable years beginning before January 1, 2018, may be carried forward to offset future taxable income, if any, until such unused NOLs expire. Under current law, U.S. federal NOLs incurred in taxable years after December 31, 2017, can be carried forward indefinitely, but the deductibility of such U.S. federal NOLs in a particular taxable year is limited to 80% of taxable income in such year. A lack of future taxable income would adversely affect our ability to utilize portions of these NOLs before they expire.</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general, under Sections 382 and 383 of the Code, a corporation that undergoes an “ownership change” (as defined under Section 382 of the Code and applicable Treasury Regulations) is subject to limitations on its ability to utilize its pre-change NOLs and tax credits to offset post-change taxable income or taxes. Our ability to utilize NOLs and tax credits of companies that we have acquired or may acquire in the future may be subject to limitations. Furthermore, if we generate NOLs in the future, and we experience a future ownership change under Section 382 of the Code, our ability to utilize our NOLs and tax credits to offset our income may be subject to limitation. There is also a risk that due to regulatory changes, such as suspensions on the use of NOLs or other unforeseen reasons, our future NOLs or the NOLs of companies that we have acquired or may acquire in the future could expire or otherwise be unavailable to reduce future income tax liabilities, including for state tax purposes. For these reasons, we may not be able to utilize NOLs and tax credits that are or may in the future be reflected on our balance sheets, even if we attain profitability, which could potentially result in increased future tax liability to us and could adversely affect our operating results and financial condition.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liability may have an adverse effect on our results of operations.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effective tax rate or tax liability could change due to several factors, including:</w:t>
      </w:r>
    </w:p>
    <w:p>
      <w:pPr>
        <w:spacing w:after="0" w:line="117" w:lineRule="exact"/>
        <w:rPr>
          <w:sz w:val="20"/>
          <w:szCs w:val="20"/>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tax treaties, and regulations or the interpretation of them, including changes under the U.S. Tax Cuts Jobs Act, the Inflation Reduction Act, and the One Big Beautiful Bill Act (OBBBA);</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substantiate and utilize research and development tax credits to offset our future tax liabilities, taking into account any limitations under Section 382 of the Code;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further implementation of the Organization for Economic Co-operation and Development’s (OECD) international tax framework, including the Pillar Two minimum tax regime;</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current and future tax audits, examinations, or administrative appeals; and</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54" w:name="page55"/>
    <w:bookmarkEnd w:id="54"/>
    <w:p>
      <w:pPr>
        <w:ind w:left="980" w:hanging="486"/>
        <w:spacing w:after="0"/>
        <w:tabs>
          <w:tab w:leader="none" w:pos="9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or adverse findings regarding our ability to do business in some jurisdictions.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OECD's Pillar Two model rules introduced a global minimum tax of 15%. These model rules have been adopted by various governments around the world, some of which are effective for tax periods beginning on or after December 31, 2024. On January 5, 2026, the OECD released new administrative guidance outlining a “side-by-side” arrangement that may exempt our U.S. operations from certain global minimum tax rules effective for fiscal years beginning on or after January 1, 2026. While this arrangement may provide relief for our U.S. operations, the broader adoption of Pillar Two rules globally could adversely affect our results of operations. There is no material impact on our financial statements for the tax period ending March 31, 2026.</w:t>
      </w:r>
    </w:p>
    <w:p>
      <w:pPr>
        <w:spacing w:after="0" w:line="18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We will continue to monitor these developments and pending legislation, and evaluate any potential impact on our results of operations. Any of these developments could adversely affect our results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GAAP is subject to interpretation by the Financial Accounting Standards Board, the SEC and various bodies formed to promulgate and interpret applicable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amounts reported in our unaudited condensed consolidated financial statements and accompanying notes. We base our estimates on historical experience and on various other assumptions that we believe to be reasonable under the circumstances, as described in Note 2 in the Notes to Consolidated Financial Statements included in “Part II, Item 8. Financial Statements and Supplementary Data” of our Annual Report on Form 10-K. The results of these estimates form the basis for making judgments about the carrying values of assets, liabilities and equity, and the amount of revenue and expenses that are not readily apparent from other sources. Significant estimates and judgments involve revenue recognition, business combinations, and internal-use software development costs.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Class A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failure to obtain, maintain, protect or enforce our intellectual property and proprietary rights could impair our ability to protect our proprietary technology and our brand.</w:t>
      </w:r>
    </w:p>
    <w:p>
      <w:pPr>
        <w:spacing w:after="0" w:line="15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Our success depends to a significant degree on our ability to obtain, maintain, protect and enforce our intellectual property rights, including our proprietary technology, know-how and our brand. We rely on a combination of trademarks, trade secrets, patents, copyrights, contractual restrictions, and other intellectual property laws and confidentiality procedures to establish and protect our proprietary rights. However, the steps we take to obtain, maintain, protect and enforce our intellectual property rights may be inadequate. We will not be able to protect our intellectual property rights if we are unable to enforce our rights or if we do not detect unauthorized use of our intellectual property rights. If we fail to protect our intellectual property rights adequately, our competitors may develop and commercialize substantially identical products, services or technologies, our business, financial condition, results of operations or prospects may be harmed. In addition, defending our intellectual property rights might entail significant expense. Any patents, trademarks, or other intellectual property rights that we have or may obtain may be challenged or circumvented by others or invalidated or held unenforceable through administrative processes, including re-examination, inter partes review, interference and derivation proceedings and equivalent proceedings in foreign jurisdictions (e.g., opposition proceedings) or litigation. Despite our pending patent applications, there can be no assurance that our patent applications will result in issued patents. Even if we continue to seek patent protection in the future, we may be unable to obtain or maintain patent protection for our technology. In addition, any patents issued from pending or future patent applications or licensed to us in the future may not provide us with competitive advantages, or may be successfully challenged by third parties. There may be issued patents of which we are not aware, held by third parties that, if found to be valid and enforceable, could be alleged to be infringed by our current or future technologies or products. There also may be pending patent applications of which we are not aware that may result in issued patents, which could be alleged to be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5" w:name="page56"/>
    <w:bookmarkEnd w:id="55"/>
    <w:p>
      <w:pPr>
        <w:jc w:val="both"/>
        <w:spacing w:after="0" w:line="252" w:lineRule="auto"/>
        <w:rPr>
          <w:sz w:val="20"/>
          <w:szCs w:val="20"/>
          <w:color w:val="auto"/>
        </w:rPr>
      </w:pPr>
      <w:r>
        <w:rPr>
          <w:rFonts w:ascii="Times New Roman" w:cs="Times New Roman" w:eastAsia="Times New Roman" w:hAnsi="Times New Roman"/>
          <w:sz w:val="18"/>
          <w:szCs w:val="18"/>
          <w:color w:val="auto"/>
        </w:rPr>
        <w:t>infringed by our current or future technologies or products. Furthermore, legal standards relating to the validity, enforceability, and scope of protection of intellectual property rights are uncertain. Despite our precautions, it may be possible for unauthorized third parties to copy our products and platform capabilities and use information that we regard as proprietary to create products that compete with ours. Patent, trademark, copyright, and trade secret protections may not be available to us in every country in which our products are available. For example, as we have expanded internationally, we have been unable to register and obtain the exclusive right to use the Datadog trademark in certain jurisdictions, including certain European countries outside of the EU, and as we continue to expand, we may face similar issues in other jurisdictions. The value of our intellectual property could diminish if others assert rights in or ownership of our trademarks and other intellectual property rights, or trademarks that are similar to our trademarks. We may be unable to successfully resolve these types of conflicts to our satisfaction. In some cases, litigation or other actions may be necessary to protect or enforce our trademarks and other intellectual property rights. Furthermore, third parties may assert intellectual property claims against us, and we may be subject to liability, required to enter into costly license agreements, or required to rebrand our products and/or prevented from selling some of our products if third parties successfully claim that we infringe, misappropriate or otherwise violate their trademarks or other intellectual property rights. In addition, the laws of some foreign countries may not be as protective of intellectual property rights as those in the United States, and mechanisms for enforcement of intellectual property rights may be inadequate. As we expand our international activities, our exposure to unauthorized copying and use of our products and platform capabilities and proprietary information will likely increase. Moreover, policing unauthorized use of our technologies, trade secrets, and intellectual property may be difficult, expensive, and time-consuming, particularly in foreign countries where the laws may not be as protective of intellectual property rights as those in the United States and where mechanisms for enforcement of intellectual property rights may be weak. Accordingly, despite our efforts, we may be unable to prevent third parties from infringing upon, misappropriating or otherwise violating our intellectual property rights.</w:t>
      </w:r>
    </w:p>
    <w:p>
      <w:pPr>
        <w:spacing w:after="0" w:line="19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enter into confidentiality and invention assignment agreements with our employees and consultants and enter into confidentiality agreements with other third parties, including suppliers and other partners. However, we cannot guarantee that we have entered into such agreements with each party that has or may have had access to our proprietary information, know-how and trade secrets. Moreover, no assurance can be given that these agreements will be effective in controlling access to, distribution, use, misuse, misappropriation, reverse engineering or disclosure of our proprietary information, know-how and trade secrets. Further, these agreements may not prevent our competitors from independently developing technologies that are substantially equivalent or superior to our products and platform capabilities. These agreements may be breached, and we may not have adequate remedies for any such breach.</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order to protect our intellectual property rights, we may be required to spend significant resources to monitor and protect our intellectual property rights. Litigation may be necessary in the future to enforce our intellectual property rights and to protect our trade secrets. Litigation brought to protect and enforce our intellectual property rights could be costly, time-consuming, and distracting to management, and could result in the impairment or loss of portions of our intellectual property. Further, our efforts to enforce our intellectual property rights may be met with defenses, counterclaims, and countersuits attacking the validity and enforceability of our intellectual property rights, and if such defenses, counterclaims or countersuits are successful, we could lose valuable intellectual property rights. Our inability to protect our proprietary technology against unauthorized copying or use, as well as any costly litigation or diversion of our management’s attention and resources, could delay further sales or the implementation of our products and platform capabilities, impair the functionality of our products and platform capabilities, delay introductions of new solutions, result in our substituting inferior or more costly technologies into our products, or injure our reputation.</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become subject to intellectual property disputes, which are costly and may subject us to significant liability and increased costs of doing business.</w:t>
      </w:r>
    </w:p>
    <w:p>
      <w:pPr>
        <w:spacing w:after="0" w:line="15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have been and may continue to be subject to intellectual property disputes. Our success depends, in part, on our ability to develop and commercialize our products and services without infringing, misappropriating or otherwise violating the intellectual property rights of third parties. However, we may not be aware that our products or services are infringing, misappropriating or otherwise violating third-party intellectual property rights and such third parties may bring claims alleging such infringement, misappropriation or violation. Lawsuits are time-consuming and expensive to resolve and they divert management’s time and attention. The software industry is characterized by the existence of a large number of patents, copyrights, trademarks, trade secrets, and other intellectual and proprietary rights. Companies in the software industry are often required to defend against litigation claims based on allegations of infringement, misappropriation or other violations of intellectual property rights. Our technologies may not be able to withstand any third-party claims against their use. In addition, many companies have the capability to dedicate substantially greater resources to enforce their intellectual property rights and to defend claims that may be brought against them. We do not currently have a large patent portfolio, which could prevent us from deterring patent infringement claims through our own patent portfolio, and our competitors and others may now and in the future have significantly larger and more mature patent portfolios than we have. Any litigation may also involve patent holding</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6" w:name="page57"/>
    <w:bookmarkEnd w:id="56"/>
    <w:p>
      <w:pPr>
        <w:jc w:val="both"/>
        <w:spacing w:after="0" w:line="254" w:lineRule="auto"/>
        <w:rPr>
          <w:sz w:val="20"/>
          <w:szCs w:val="20"/>
          <w:color w:val="auto"/>
        </w:rPr>
      </w:pPr>
      <w:r>
        <w:rPr>
          <w:rFonts w:ascii="Times New Roman" w:cs="Times New Roman" w:eastAsia="Times New Roman" w:hAnsi="Times New Roman"/>
          <w:sz w:val="18"/>
          <w:szCs w:val="18"/>
          <w:color w:val="auto"/>
        </w:rPr>
        <w:t>companies or other adverse patent owners that have no relevant product revenue, and therefore, our patent portfolio may provide little or no deterrence as we would not be able to assert them against such entities or individuals. If a third party is able to obtain an injunction preventing us from accessing such third-party intellectual property rights, or if we cannot license or develop alternative technology for any infringing aspect of our business, we would be forced to limit or stop sales of our products and platform capabilities or cease business activities related to such intellectual property. Although we carry general liability insurance, our insurance may not cover potential claims of this type or may not be adequate to indemnify us for all liability that may be imposed. We cannot predict the outcome of lawsuits and cannot ensure that the results of any such actions will not have an adverse effect on our business, financial condition or results of operations. Any intellectual property litigation to which we might become a party, or for which we have been or may continue to be required to provide indemnification, may require us to do one or more of the following:</w:t>
      </w:r>
    </w:p>
    <w:p>
      <w:pPr>
        <w:spacing w:after="0" w:line="192" w:lineRule="exact"/>
        <w:rPr>
          <w:sz w:val="20"/>
          <w:szCs w:val="20"/>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selling or using products or services that incorporate the intellectual property rights that we allegedly infringe, misappropriate or violate;</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substantial payments for legal fees, settlement payments or other costs or damages;</w:t>
      </w:r>
    </w:p>
    <w:p>
      <w:pPr>
        <w:spacing w:after="0" w:line="225" w:lineRule="exact"/>
        <w:rPr>
          <w:rFonts w:ascii="Times New Roman" w:cs="Times New Roman" w:eastAsia="Times New Roman" w:hAnsi="Times New Roman"/>
          <w:sz w:val="18"/>
          <w:szCs w:val="18"/>
          <w:color w:val="auto"/>
        </w:rPr>
      </w:pPr>
    </w:p>
    <w:p>
      <w:pPr>
        <w:ind w:left="660" w:hanging="166"/>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which may not be available on reasonable terms or at all, to sell or use the relevant technology; or</w:t>
      </w:r>
    </w:p>
    <w:p>
      <w:pPr>
        <w:spacing w:after="0" w:line="225" w:lineRule="exact"/>
        <w:rPr>
          <w:rFonts w:ascii="Times New Roman" w:cs="Times New Roman" w:eastAsia="Times New Roman" w:hAnsi="Times New Roman"/>
          <w:sz w:val="18"/>
          <w:szCs w:val="18"/>
          <w:color w:val="auto"/>
        </w:rPr>
      </w:pPr>
    </w:p>
    <w:p>
      <w:pPr>
        <w:ind w:firstLine="494"/>
        <w:spacing w:after="0" w:line="282" w:lineRule="auto"/>
        <w:tabs>
          <w:tab w:leader="none" w:pos="64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the allegedly infringing products to avoid infringement, misappropriation or violation, which could be costly, time-consuming or impossible.</w:t>
      </w:r>
    </w:p>
    <w:p>
      <w:pPr>
        <w:spacing w:after="0" w:line="162"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Even if the claims do not result in litigation or are resolved in our favor, these claims, and the time and resources necessary to resolve them, could divert the resources of our management and harm our business and operating results.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 We expect that the occurrence of infringement claims is likely to grow as the market for our platform and products grows. Accordingly, our exposure to damages resulting from infringement claims could increase and this could further exhaust our financial and management resources.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use open source software in our products, which could negatively affect our ability to sell our services or subject us to litigation or other actions.</w:t>
      </w:r>
    </w:p>
    <w:p>
      <w:pPr>
        <w:spacing w:after="0" w:line="229"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We use open source software in our products and we expect to continue to incorporate open source software in our services in the future. Few of the licenses applicable to open source software have been interpreted by courts, and there is a risk that these licenses could be construed in a manner that could impose unanticipated conditions or restrictions on our ability to commercialize our products. Moreover, we cannot ensure that we have not incorporated additional open source software in our software in a manner that is inconsistent with the terms of the applicable license or our current policies and procedures. If we fail to comply with these licenses, we may be subject to certain requirements, including requirements that we offer our solutions that incorporate the open source software for no cost, that we make available source code for modifications or derivative works we create based upon, incorporating or using the open source software and that we license such modifications or derivative works under the terms of applicable open source licenses. If an author or other third party that distributes such open source software were to allege that we had not complied with the conditions of one or more of these licenses, we could be required to incur significant legal expenses defending against such allegations and could be subject to significant damages, enjoined from the sale of our products that contained the open source software and required to comply with onerous conditions or restrictions on these products, which could disrupt the distribution and sale of these products. From time to time, there have been claims challenging the ownership rights in open source software against companies that incorporate it into their products and the licensors of such open source software provide no warranties or indemnities with respect to such claims. As a result, we and our customers could be subject to lawsuits by parties claiming ownership of what we believe to be open source software. Litigation could be costly for us to defend, have a negative effect on our business, financial condition and results of operations, or require us to devote additional research and development resources to change our products. In addition, although we employ open source software license screening measures, if we were to combine our proprietary software products with open source software in a certain manner we could, under certain open source licenses, be required to release the source code of our proprietary software products. Some open source projects have known vulnerabilities and architectural instabilities and are provided on an “as-is” basis which, if not properly addressed, could negatively affect the performance of our product.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Associated with our International Operations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i w:val="1"/>
          <w:iCs w:val="1"/>
          <w:color w:val="auto"/>
        </w:rPr>
        <w:t>Our current operations are international in scope, and we plan further geographic expansion, creating a variety of operational challenges.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A component of our growth strategy involves the further expansion of our operations and customer base internationally. Revenue, as determined based on the billing address of our customers, from regions outside of North America was 28% and 30% for the three months ended March 31, 2026 and 2025, respectively. Beyond North America, we now have sales presence internationally, including in Amsterdam, Dublin, London, Paris, Seoul, Singapore, Sydney, and Tokyo. We are continuing to adapt to and develop strategies to address international markets, but there is no guarantee that such efforts will have the desired effect. For example, we anticipate that we will need to establish relationships with new partners in order to expand into certain countries, and if we fail to identify, establish and maintain such relationships, we may be unable to execute on our expansion plans. As of March 31, 2026, approximately 44% of our full-time employees were located outside of the United States, 34% of whom were located in France. We expect that our international activities will continue to grow for the foreseeable future as we continue to pursue opportunities in existing and new international markets, which will require significant dedication of management attention and financial resources.</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Our current and future international business and operations involve a variety of risks, including:</w:t>
      </w:r>
    </w:p>
    <w:p>
      <w:pPr>
        <w:spacing w:after="0" w:line="117" w:lineRule="exact"/>
        <w:rPr>
          <w:sz w:val="20"/>
          <w:szCs w:val="20"/>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anticipated availability and adoption of cloud and hybrid IT infrastructures by international businesses;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 specific country’s or region’s political or economic conditions;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adapt and localize our products for specific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collecting accounts receivable and longer payment cycles;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changes in trade relations, sanctions, regulations, or laws including changes in trade policies, such as trade wars, tariffs or other trade restrictions or the threat of such actions;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laws, regulatory requirements, or tax laws;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stringent regulations relating to privacy and data security and the unauthorized use of, or access to, commercial and personal information, particularly in Europe and the United Kingdom;</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3" w:lineRule="exact"/>
        <w:rPr>
          <w:rFonts w:ascii="Times New Roman" w:cs="Times New Roman" w:eastAsia="Times New Roman" w:hAnsi="Times New Roman"/>
          <w:sz w:val="18"/>
          <w:szCs w:val="18"/>
          <w:color w:val="auto"/>
        </w:rPr>
      </w:pPr>
    </w:p>
    <w:p>
      <w:pPr>
        <w:ind w:left="980" w:right="60" w:hanging="486"/>
        <w:spacing w:after="0" w:line="266"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67"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a business in new markets with diverse cultures, languages, customs, legal systems, alternative dispute systems, and regulatory systems;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travel, real estate, infrastructure, and legal compliance costs associated with international operations;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 fluctuations and the resulting effect on our revenue and expenses, and the cost and risk of entering into hedging transactions if we chose to do so in the future;</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our ability to reinvest earnings from operations in one country to fund the capital needs of our operations in other countries;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and business practices favoring local competitors or general market preferences for local vendors;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or insufficient intellectual property protection or difficulties obtaining, maintaining, protecting or enforcing our intellectual property rights, including our trademarks and patents;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terrorist activities and military conflict, including the war in Ukraine and conflicts in the Middle East;</w:t>
      </w:r>
    </w:p>
    <w:p>
      <w:pPr>
        <w:spacing w:after="0" w:line="117" w:lineRule="exact"/>
        <w:rPr>
          <w:rFonts w:ascii="Times New Roman" w:cs="Times New Roman" w:eastAsia="Times New Roman" w:hAnsi="Times New Roman"/>
          <w:sz w:val="18"/>
          <w:szCs w:val="18"/>
          <w:color w:val="auto"/>
        </w:rPr>
      </w:pPr>
    </w:p>
    <w:p>
      <w:pPr>
        <w:ind w:left="980" w:right="34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outbreak of a contagious disease, which may cause us or our third-party providers and/or customers to temporarily suspend our or their respective operations in the affected city or country;</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liabilities under anti-corruption and anti-money laundering laws, including the FCPA, U.S. bribery laws, the UK Bribery Act, and similar laws and regulations in other jurisdictions; and</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tax burdens and foreign exchange controls that could make it difficult to repatriate earnings and cash.</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8" w:name="page59"/>
    <w:bookmarkEnd w:id="58"/>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If we invest substantial time and resources to further expand our international operations and are unable to do so successfully and in a timely manner, our business and results of operations will suffer.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currency exchange rates, which could negatively affect our results of operations.</w:t>
      </w:r>
    </w:p>
    <w:p>
      <w:pPr>
        <w:spacing w:after="0" w:line="31" w:lineRule="exact"/>
        <w:rPr>
          <w:sz w:val="20"/>
          <w:szCs w:val="20"/>
          <w:color w:val="auto"/>
        </w:rPr>
      </w:pPr>
    </w:p>
    <w:p>
      <w:pPr>
        <w:ind w:right="140" w:firstLine="486"/>
        <w:spacing w:after="0" w:line="241" w:lineRule="auto"/>
        <w:rPr>
          <w:sz w:val="20"/>
          <w:szCs w:val="20"/>
          <w:color w:val="auto"/>
        </w:rPr>
      </w:pPr>
      <w:r>
        <w:rPr>
          <w:rFonts w:ascii="Times New Roman" w:cs="Times New Roman" w:eastAsia="Times New Roman" w:hAnsi="Times New Roman"/>
          <w:sz w:val="18"/>
          <w:szCs w:val="18"/>
          <w:color w:val="auto"/>
        </w:rPr>
        <w:t>Our sales contracts are denominated in U.S. dollars, and therefore, our revenue is not directly subject to foreign currency risk. However, a strengthening of the U.S. dollar could increase the real cost of our products and platform capabilities to our customers outside of the United States, which could adversely affect our results of operations. In addition, an increasing amount of our operating expenses are incurred outside the United States. These operating expenses are denominated in foreign currencies and are subject to fluctuations due to changes in foreign currency exchange rates. Although we have entered into and may in the future enter into hedging arrangements to manage foreign currency exchange rate fluctuations, such activity may not completely eliminate fluctuations in our operating results due to currency exchange rate changes. Hedging arrangements are inherently risky, and we have limited experience establishing hedging programs, which could expose us to additional risks that could adversely affect our results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may subject us to potential adverse tax consequences.</w:t>
      </w:r>
    </w:p>
    <w:p>
      <w:pPr>
        <w:spacing w:after="0" w:line="229"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We are expanding our international operations to better support our growth into international markets. Our corporate structure and associated transfer pricing policies contemplate future growth in international markets, and consider the functions, risks, and assets of the various entities involved in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Class A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the value of our Class A common stock may decline.</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market price of our Class A common stock may be highly volatile and may fluctuate or decline substantially as a result of a variety of factors, some of which are beyond our control, including:</w:t>
      </w:r>
    </w:p>
    <w:p>
      <w:pPr>
        <w:spacing w:after="0" w:line="54" w:lineRule="exact"/>
        <w:rPr>
          <w:sz w:val="20"/>
          <w:szCs w:val="20"/>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 in our financial performance from expectations of securities analysts or the financial guidance we provide to the public;</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pricing of subscriptions to our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projected operating and financial results;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platform and products;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data breaches, disruptions to or other incidents involving our software;</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involvement in litigation;</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sales of our Class A common stock by us or our stockholders;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senior management or key personnel;</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trading volume of our Class A common stock;</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anticipated future size and growth rate of our market; and</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market conditions.</w:t>
      </w:r>
    </w:p>
    <w:p>
      <w:pPr>
        <w:spacing w:after="0" w:line="22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Broad market and industry fluctuations, as well as general economic, political, regulatory, and market conditions may also negatively impact the market price of our Class A common stock. Additional risks are described in “Risks Associated with</w:t>
      </w:r>
    </w:p>
    <w:p>
      <w:pPr>
        <w:sectPr>
          <w:pgSz w:w="11900" w:h="16838" w:orient="portrait"/>
          <w:cols w:equalWidth="0" w:num="1">
            <w:col w:w="11240"/>
          </w:cols>
          <w:pgMar w:left="320" w:top="1309" w:right="339" w:bottom="1440" w:gutter="0" w:footer="0" w:header="0"/>
        </w:sect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type w:val="continuous"/>
        </w:sectPr>
      </w:pPr>
    </w:p>
    <w:bookmarkStart w:id="59" w:name="page60"/>
    <w:bookmarkEnd w:id="59"/>
    <w:p>
      <w:pPr>
        <w:jc w:val="both"/>
        <w:spacing w:after="0" w:line="261" w:lineRule="auto"/>
        <w:rPr>
          <w:sz w:val="20"/>
          <w:szCs w:val="20"/>
          <w:color w:val="auto"/>
        </w:rPr>
      </w:pPr>
      <w:r>
        <w:rPr>
          <w:rFonts w:ascii="Times New Roman" w:cs="Times New Roman" w:eastAsia="Times New Roman" w:hAnsi="Times New Roman"/>
          <w:sz w:val="18"/>
          <w:szCs w:val="18"/>
          <w:color w:val="auto"/>
        </w:rPr>
        <w:t>our Growth—Unfavorable conditions in our industry or the global economy, or reductions in information technology spending, could limit our ability to grow our business and negatively affect our results of operations”. In addition, technology stocks have historically experienced high levels of volatility.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17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dual class structure of our common stock has the effect of concentrating voting control with holders of our Class B common stock, including our executive officers, directors and their affiliates, which will limit the ability of holders of our Class A common stock to influence the outcome of important transactions.</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Our Class B common stock has ten votes per share and our Class A common stock has one vote per share. As of March 31, 2026, our outstanding shares of Class B common stock represented approximately 43% of the voting power of our outstanding capital stock. As a result, the holders of our Class B common stock, which includes certain of our directors, executive officers and their affiliates,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This concentration of ownership limits the ability of other stockholders to influence corporate matters and may cause us to make strategic decisions that could involve risks to holders of our Class A common stock or that may not be aligned with the interests of holders of our Class A common stock. This control may adversely affect the market price of our Class A common stock.</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Further, future transfers by holders of our Class B common stock will generally result in those shares converting into shares of our Class A common stock, subject to limited exceptions, such as certain transfers effected for tax or estate planning purposes. The conversion of shares of our Class B common stock into shares of our Class A common stock has had and will continue to have the effect, over time, of increasing the relative voting power of those holders of Class B common stock who retain their Class B shares.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certain index providers have in the past imposed restrictions on including companies with multiple class share structures in certain of their indexes.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market price of our Class A common stock could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in the public market could cause the market price of our Class A common stock to decline.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Sales of a substantial number of shares of our Class A common stock in the public market, particularly sales by our directors, executive officers, and significant stockholders, or the perception that these sales might occur, could depress the market price of our Class A common stock and could impair our ability to raise capital through the sale of additional equity securities. We are unable to predict the timing of or the effect that such sales may have on the prevailing market price of our Class A common stock.</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We have registered all of the shares of Class A common stock and Class B common stock issuable upon exercise of outstanding options or other equity incentives we may grant in the future, for public resale under the Securities Act. The shares of Class A common stock and Class B common stock will become eligible for sale in the public market to the extent such options are exercised, subject to compliance with applicable securities laws.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capital stock in connection with financings, acquisitions, investments, our equity incentive plans or otherwise will dilute all other stockholders.</w:t>
      </w:r>
    </w:p>
    <w:p>
      <w:pPr>
        <w:spacing w:after="0" w:line="15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stockholders. We expect to continue to grant equity awards to employees, directors and consultants under our equity incentive plans. We may also raise capital through equity financings in the future. As part of our business strategy, we have and may continue to acquire or make investments in companies, products or technologies and issue equity securities to pay for any such acquisition or investment. Any such issuances of additional capital stock may cause stockholders to experience significant dilution of their ownership interests and the per share value of our Class A common stock to decline. Furthermore, if we issue additional equity or convertible debt securities, the new equity securities could have rights senior to those of our Class A common stock. For example, if we elect to settle our conversion obligation under our 0.00% Convertible Senior Notes due 2029, or the 2029 Notes, in shares of our Class A common stock or a combination of cash and shares of our Class A common stock, the issuance of such</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0" w:name="page61"/>
    <w:bookmarkEnd w:id="60"/>
    <w:p>
      <w:pPr>
        <w:jc w:val="both"/>
        <w:spacing w:after="0" w:line="282" w:lineRule="auto"/>
        <w:rPr>
          <w:sz w:val="20"/>
          <w:szCs w:val="20"/>
          <w:color w:val="auto"/>
        </w:rPr>
      </w:pPr>
      <w:r>
        <w:rPr>
          <w:rFonts w:ascii="Times New Roman" w:cs="Times New Roman" w:eastAsia="Times New Roman" w:hAnsi="Times New Roman"/>
          <w:sz w:val="18"/>
          <w:szCs w:val="18"/>
          <w:color w:val="auto"/>
        </w:rPr>
        <w:t>Class A common stock may dilute the ownership interests of our stockholders and sales in the public market could adversely affect prevailing market prices.</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cease publishing research or publish unfavorable or inaccurate research about our business, or if we fail to meet or significantly exceed our publicly announced financial guidance or the expectations of analysts or public investors, the market price and trading volume of our Class A common stock could decline.</w:t>
      </w:r>
    </w:p>
    <w:p>
      <w:pPr>
        <w:spacing w:after="0" w:line="175"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market price and trading volume of our Class A common stock will be heavily influenced by the way analysts interpret our financial information and other disclosures. We do not have control over these analysts. If securities or industry analysts cease coverage of us, downgrade our Class A common stock, or publish negative reports about our business, our stock price would likely decline. In addition, the stock prices of many companies in the technology industry have declined significantly after those companies have failed to meet, or significantly exceed, the financial guidance publicly announced by those companies or the expectations of analysts. If our financial results fail to meet, or significantly exceed, our announced guidance or the expectations or analysts or public investors, analysts could downgrade our Class A common stock or publish unfavorable research on us. As a result, demand for our Class A common stock could decrease, which might cause our stock price to decline and could decrease the trading volume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holders of our Class A common stock may need to rely on sales of their holdings of Class A common stock after price appreciation, which may never occur, as the only way to realize any future gains on their investment.</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obligated to develop and maintain proper and effective internal controls over financial reporting, and any failure to maintain the adequacy of these internal controls may adversely affect investor confidence in our company and, as a result, the value of our Class A common stock.</w:t>
      </w:r>
    </w:p>
    <w:p>
      <w:pPr>
        <w:spacing w:after="0" w:line="15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w:t>
      </w:r>
    </w:p>
    <w:p>
      <w:pPr>
        <w:spacing w:after="0" w:line="183"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controls in future years, if we identify one or more material weaknesses in our internal control over financial reporting, we will be unable to certify that our internal control over financial reporting is effective. We cannot assure you that there will not be material weaknesses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in our internal control over financial reporting, we could lose investor confidence in the accuracy and completeness of our financial reports, the market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Nevada law could make an acquisition of our company more difficult, limit attempts by our stockholders to replace or remove our current management and limit the market price of our Class A common stock.</w:t>
      </w:r>
    </w:p>
    <w:p>
      <w:pPr>
        <w:spacing w:after="0" w:line="15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Provisions in our articles of incorporation and bylaws may have the effect of delaying or preventing a change of control or changes in our management. Our articles of incorporation and bylaws include provisions that:</w:t>
      </w:r>
    </w:p>
    <w:p>
      <w:pPr>
        <w:spacing w:after="0" w:line="54" w:lineRule="exact"/>
        <w:rPr>
          <w:sz w:val="20"/>
          <w:szCs w:val="20"/>
          <w:color w:val="auto"/>
        </w:rPr>
      </w:pPr>
    </w:p>
    <w:p>
      <w:pPr>
        <w:ind w:left="980" w:hanging="486"/>
        <w:spacing w:after="0" w:line="282" w:lineRule="auto"/>
        <w:tabs>
          <w:tab w:leader="none" w:pos="97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1" w:name="page62"/>
    <w:bookmarkEnd w:id="61"/>
    <w:p>
      <w:pPr>
        <w:ind w:left="980" w:right="2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53" w:lineRule="exact"/>
        <w:rPr>
          <w:rFonts w:ascii="Times New Roman" w:cs="Times New Roman" w:eastAsia="Times New Roman" w:hAnsi="Times New Roman"/>
          <w:sz w:val="18"/>
          <w:szCs w:val="18"/>
          <w:color w:val="auto"/>
        </w:rPr>
      </w:pPr>
    </w:p>
    <w:p>
      <w:pPr>
        <w:ind w:left="980" w:right="2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53"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117" w:lineRule="exact"/>
        <w:rPr>
          <w:rFonts w:ascii="Times New Roman" w:cs="Times New Roman" w:eastAsia="Times New Roman" w:hAnsi="Times New Roman"/>
          <w:sz w:val="18"/>
          <w:szCs w:val="18"/>
          <w:color w:val="auto"/>
        </w:rPr>
      </w:pPr>
    </w:p>
    <w:p>
      <w:pPr>
        <w:ind w:left="980" w:hanging="486"/>
        <w:spacing w:after="0"/>
        <w:tabs>
          <w:tab w:leader="none" w:pos="9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cumulative voting in the election of directors;</w:t>
      </w:r>
    </w:p>
    <w:p>
      <w:pPr>
        <w:spacing w:after="0" w:line="117"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may be removed with or without cause upon the vote of at least 66 2/3% of our outstanding shares of voting stock entitled to vote thereon;</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53" w:lineRule="exact"/>
        <w:rPr>
          <w:rFonts w:ascii="Times New Roman" w:cs="Times New Roman" w:eastAsia="Times New Roman" w:hAnsi="Times New Roman"/>
          <w:sz w:val="18"/>
          <w:szCs w:val="18"/>
          <w:color w:val="auto"/>
        </w:rPr>
      </w:pPr>
    </w:p>
    <w:p>
      <w:pPr>
        <w:ind w:left="980" w:hanging="486"/>
        <w:spacing w:after="0" w:line="282" w:lineRule="auto"/>
        <w:tabs>
          <w:tab w:leader="none" w:pos="9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the approval of our board of directors or the holders of at least 66 2/3% of our outstanding shares of voting stock entitled to vote thereon to amend our bylaws and certain provisions of our articles of incorporation.</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Any of the foregoing provisions could also limit the price that investors might be willing to pay in the future for shares of our Class A common stock, and such provisions could also deter potential acquirers of our company, thereby reducing the likelihood that holders of our Class A common stock would receive a premium for their shares of our Class A common stock in an acquisition.</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designates the Eighth Judicial Court of the State of Nevada in Clark County, Nevada and the federal district courts of the United States of America as the exclusive forums for substantially all disputes between us and our stockholders, which could restrict our stockholders’ ability to choose the judicial forum for disputes with us or our directors, officers, or employees.</w:t>
      </w:r>
    </w:p>
    <w:p>
      <w:pPr>
        <w:spacing w:after="0" w:line="17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Our articles of incorporation provides that the Eighth Judicial District Court of the State of Nevada in Clark County, Nevada is the exclusive forum for the following types of actions or proceedings under Nevada statutory or common law, unless the Company consents in writing to the selection of an alternative forum: any derivative action or proceeding brought on our behalf; any action asserting a breach of a fiduciary duty; any action asserting a claim against us arising pursuant to the Nevada Revised Statutes ("NRS"), our articles of incorporation, or our bylaws; or any action asserting a claim against us that is governed by the internal affairs doctrine. The provisions would not apply to suits brought to enforce a duty or liability created by the Exchange Act. In addition, our articles of incorporation provide that the federal district courts of the United States of America will be the exclusive forum for resolving any complaint asserting a cause of action arising under the Securities Act.</w:t>
      </w:r>
    </w:p>
    <w:p>
      <w:pPr>
        <w:spacing w:after="0" w:line="18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These choice of forum provisions may limit a stockholder’s ability to bring a claim in a judicial forum that it finds favorable for disputes with us or our directors, officers, or other employees. Although NRS 78.046 permits the articles of incorporation or bylaws of a Nevada corporation to require, to the extent not inconsistent with any applicable jurisdictional requirements and the laws of the United States, that all or certain actions must be brought solely or exclusively in a specified court, a stockholder may nevertheless seek to bring a claim in a venue other than those designated in the exclusive forum provisions. In such instance, we would expect to vigorously assert the validity and enforceability of the exclusive forum provisions of our articles of incorporation. This may require significant additional costs associated with resolving such action in other jurisdictions, and there can be no assurance that the provisions will be enforced by a court in those other jurisdictions.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Outstanding Notes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have sufficient cash flow from our business to make payments on our significant debt when due, and we may incur additional indebtedness in the future.</w:t>
      </w:r>
    </w:p>
    <w:p>
      <w:pPr>
        <w:spacing w:after="0" w:line="15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We issued the 2029 Notes in a private placement in December 2024. We may be required to use a substantial portion of our cash flows from operations to pay principal on our indebtedness. Our ability to make scheduled payments of the principal of or to refinance our indebtedness, including the 2029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the capital markets and our financial condition at such time. We may not be able to engage in any of these activities or engage in these activities on desirable terms, which could result in a default on our debt obligations.</w:t>
      </w:r>
    </w:p>
    <w:p>
      <w:pPr>
        <w:spacing w:after="0" w:line="162"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In addition, we may incur substantial additional debt in the future, subject to the restrictions contained in our future debt agreements, some of which may be secured debt. We are not restricted under the terms of the indenture governing the 2029 Notes, from incurring additional debt, securing existing or future debt, recapitalizing our debt, repurchasing our stock, pledging our assets, making investments, paying dividends, guaranteeing debt or taking a number of other actions that are not limited by the terms of the indenture governing the 2029 Notes that could have the effect of diminishing our ability to make payments on the 2029 Notes when due.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 of the 2029 Notes may adversely affect our financial condition and operating results.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 2029 Notes are convertible at the option of their holders prior to their scheduled maturity in the event one or more of the conditional conversion features of the 2029 Notes are triggered. If one or more holders elect to convert their 2029 Notes, unless we elect to satisfy our conversion obligation by delivering solely shares of our Class A common stock (other than paying cash in lieu of delivering any fractional share), we would be required to settle a portion or all of our conversion obligation through the payment of cash, which could adversely affect our liquidity. In addition, even if holders do not elect to convert their 2029 Notes, we could be required under applicable accounting rules to reclassify the outstanding principal of the 2029 Notes as a current rather than long-term liability, which would result in a material reduction of our net working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capped call transactions may affect the value of the 2029 Notes and the market price of our Class A common stock.</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connection with the pricing of the 2029 Notes, we entered into capped call transactions with the option counterparties. The capped call transactions cover, subject to customary adjustments substantially similar to those applicable to the 2029 Notes, the number of shares of our Class A common stock that initially underlie the 2029 Notes. The capped call transactions are generally expected to reduce the potential dilution to our Class A common stock upon any conversion of the 2029 Notes and/or offset any cash payments we are required to make in excess of the principal amount of converted 2029 Notes, as the case may be, with such reduction and/or offset subject to a cap. In connection with establishing their initial hedges of the capped call transactions, the option counterparties or their respective affiliates entered into various derivative transactions with respect to our Class A common stock and/or purchased shares of our Class A common stock concurrently with or shortly after the pricing of the 2029 Notes, including with certain investors in the 2029 Notes.</w:t>
      </w:r>
    </w:p>
    <w:p>
      <w:pPr>
        <w:spacing w:after="0" w:line="192"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In addition, the option counterparties or their respective affiliates may modify their hedge positions by entering into or unwinding various derivatives with respect to our Class A common stock and/or purchasing or selling our Class A common stock or other securities of ours in secondary market transactions following the pricing of the 2029 Notes and prior to the maturity of the 2029 Notes. They are likely to do so during any observation period related to a conversion of the 2029 Notes, or, to the extent we exercise the relevant election under the capped call transactions following any repurchase or redemption of the 2029 Notes. This activity could also cause or avoid an increase or decrease in the market price of our Class A common stock or the trading price of the Notes. The potential effect, if any, of these transactions and activities on the market price of our Class A common stock or the trading price of the Notes will depend in part on market conditions and cannot be ascertained at this time. Any of these activities could adversely affect the value of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counterparty risk with respect to the capped call transactions.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option counterparties to the capped call transactions are financial institutions, and we will be subject to the risk that any or all of them might default under the capped call transactions. Our exposure to the credit risk of the option counterparties will not be secured by any collateral. Past global economic conditions have resulted in the actual or perceived failure or financial difficulties of many financial institutions and could adversely affect the option counterparties’ performance under the capped call transactions. If an option counterparty becomes subject to insolvency proceedings, we will become an unsecured creditor in those proceedings with a claim equal to our exposure at that time under the capped call transactions with such option counterparty. Our exposure will depend on many factors but, generally, an increase in our exposure will be correlated with an increase in the market price and in the volatility of our Class A common stock. In addition, upon a default by an option counterparty, we may suffer more dilution, the effect of which would not be compensated for, than we currently anticipate with respect to our Class A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(a) Recent Sales of Unregistered Equity Securities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issued 134,236 shares of Class A common stock as consideration in acquisitions. The issuance was deemed exempt from registration under the Securities Act pursuant to the exemption provided by Section 4(a)(2) of the Securities Act as a transaction by an issuer not involving a public offering.</w:t>
      </w:r>
    </w:p>
    <w:p>
      <w:pPr>
        <w:spacing w:after="0" w:line="172" w:lineRule="exact"/>
        <w:rPr>
          <w:sz w:val="20"/>
          <w:szCs w:val="20"/>
          <w:color w:val="auto"/>
        </w:rPr>
      </w:pPr>
    </w:p>
    <w:p>
      <w:pPr>
        <w:ind w:left="500" w:right="8120" w:hanging="492"/>
        <w:spacing w:after="0" w:line="500" w:lineRule="auto"/>
        <w:tabs>
          <w:tab w:leader="none" w:pos="279"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Issuer Purchases of Equity Securities </w:t>
      </w:r>
      <w:r>
        <w:rPr>
          <w:rFonts w:ascii="Times New Roman" w:cs="Times New Roman" w:eastAsia="Times New Roman" w:hAnsi="Times New Roman"/>
          <w:sz w:val="18"/>
          <w:szCs w:val="18"/>
          <w:color w:val="auto"/>
        </w:rPr>
        <w:t>None.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 Company’s directors and officers (as defined in Rule 16a-1(f) under the Exchange Act) adopted, materially modified or terminated written plans intended to satisfy the affirmative defense conditions of Securities Exchange Act Rule 10b5-1(c) for the sale of the Company’s securities as set forth in the table below.</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8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1480" w:type="dxa"/>
            <w:vAlign w:val="bottom"/>
            <w:vMerge w:val="restart"/>
          </w:tcPr>
          <w:p>
            <w:pPr>
              <w:jc w:val="center"/>
              <w:ind w:left="81"/>
              <w:spacing w:after="0"/>
              <w:rPr>
                <w:sz w:val="20"/>
                <w:szCs w:val="20"/>
                <w:color w:val="auto"/>
              </w:rPr>
            </w:pPr>
            <w:r>
              <w:rPr>
                <w:rFonts w:ascii="Times New Roman" w:cs="Times New Roman" w:eastAsia="Times New Roman" w:hAnsi="Times New Roman"/>
                <w:sz w:val="14"/>
                <w:szCs w:val="14"/>
                <w:b w:val="1"/>
                <w:bCs w:val="1"/>
                <w:color w:val="auto"/>
              </w:rPr>
              <w:t>Action</w:t>
            </w:r>
          </w:p>
        </w:tc>
        <w:tc>
          <w:tcPr>
            <w:tcW w:w="1380" w:type="dxa"/>
            <w:vAlign w:val="bottom"/>
            <w:vMerge w:val="restart"/>
          </w:tcPr>
          <w:p>
            <w:pPr>
              <w:jc w:val="center"/>
              <w:ind w:left="41"/>
              <w:spacing w:after="0"/>
              <w:rPr>
                <w:sz w:val="20"/>
                <w:szCs w:val="20"/>
                <w:color w:val="auto"/>
              </w:rPr>
            </w:pPr>
            <w:r>
              <w:rPr>
                <w:rFonts w:ascii="Times New Roman" w:cs="Times New Roman" w:eastAsia="Times New Roman" w:hAnsi="Times New Roman"/>
                <w:sz w:val="14"/>
                <w:szCs w:val="14"/>
                <w:b w:val="1"/>
                <w:bCs w:val="1"/>
                <w:color w:val="auto"/>
              </w:rPr>
              <w:t>Date</w:t>
            </w:r>
          </w:p>
        </w:tc>
        <w:tc>
          <w:tcPr>
            <w:tcW w:w="24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Total Shares of Class A Common</w:t>
            </w:r>
          </w:p>
        </w:tc>
        <w:tc>
          <w:tcPr>
            <w:tcW w:w="1760" w:type="dxa"/>
            <w:vAlign w:val="bottom"/>
            <w:vMerge w:val="restart"/>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0" w:type="dxa"/>
            <w:vAlign w:val="bottom"/>
          </w:tcPr>
          <w:p>
            <w:pPr>
              <w:spacing w:after="0"/>
              <w:rPr>
                <w:sz w:val="1"/>
                <w:szCs w:val="1"/>
                <w:color w:val="auto"/>
              </w:rPr>
            </w:pPr>
          </w:p>
        </w:tc>
      </w:tr>
      <w:tr>
        <w:trPr>
          <w:trHeight w:val="109"/>
        </w:trPr>
        <w:tc>
          <w:tcPr>
            <w:tcW w:w="1880" w:type="dxa"/>
            <w:vAlign w:val="bottom"/>
            <w:vMerge w:val="continue"/>
          </w:tcPr>
          <w:p>
            <w:pPr>
              <w:spacing w:after="0"/>
              <w:rPr>
                <w:sz w:val="9"/>
                <w:szCs w:val="9"/>
                <w:color w:val="auto"/>
              </w:rPr>
            </w:pPr>
          </w:p>
        </w:tc>
        <w:tc>
          <w:tcPr>
            <w:tcW w:w="228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1380" w:type="dxa"/>
            <w:vAlign w:val="bottom"/>
            <w:vMerge w:val="continue"/>
          </w:tcPr>
          <w:p>
            <w:pPr>
              <w:spacing w:after="0"/>
              <w:rPr>
                <w:sz w:val="9"/>
                <w:szCs w:val="9"/>
                <w:color w:val="auto"/>
              </w:rPr>
            </w:pPr>
          </w:p>
        </w:tc>
        <w:tc>
          <w:tcPr>
            <w:tcW w:w="2460" w:type="dxa"/>
            <w:vAlign w:val="bottom"/>
            <w:vMerge w:val="restart"/>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Stock to be Sold</w:t>
            </w:r>
          </w:p>
        </w:tc>
        <w:tc>
          <w:tcPr>
            <w:tcW w:w="1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188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480" w:type="dxa"/>
            <w:vAlign w:val="bottom"/>
          </w:tcPr>
          <w:p>
            <w:pPr>
              <w:spacing w:after="0"/>
              <w:rPr>
                <w:sz w:val="7"/>
                <w:szCs w:val="7"/>
                <w:color w:val="auto"/>
              </w:rPr>
            </w:pPr>
          </w:p>
        </w:tc>
        <w:tc>
          <w:tcPr>
            <w:tcW w:w="1380" w:type="dxa"/>
            <w:vAlign w:val="bottom"/>
          </w:tcPr>
          <w:p>
            <w:pPr>
              <w:spacing w:after="0"/>
              <w:rPr>
                <w:sz w:val="7"/>
                <w:szCs w:val="7"/>
                <w:color w:val="auto"/>
              </w:rPr>
            </w:pPr>
          </w:p>
        </w:tc>
        <w:tc>
          <w:tcPr>
            <w:tcW w:w="2460" w:type="dxa"/>
            <w:vAlign w:val="bottom"/>
            <w:vMerge w:val="continue"/>
          </w:tcPr>
          <w:p>
            <w:pPr>
              <w:spacing w:after="0"/>
              <w:rPr>
                <w:sz w:val="7"/>
                <w:szCs w:val="7"/>
                <w:color w:val="auto"/>
              </w:rPr>
            </w:pPr>
          </w:p>
        </w:tc>
        <w:tc>
          <w:tcPr>
            <w:tcW w:w="1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
        </w:trPr>
        <w:tc>
          <w:tcPr>
            <w:tcW w:w="18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1880" w:type="dxa"/>
            <w:vAlign w:val="bottom"/>
            <w:shd w:val="clear" w:color="auto" w:fill="CCEEFF"/>
          </w:tcPr>
          <w:p>
            <w:pPr>
              <w:jc w:val="center"/>
              <w:ind w:right="41"/>
              <w:spacing w:after="0"/>
              <w:rPr>
                <w:sz w:val="20"/>
                <w:szCs w:val="20"/>
                <w:color w:val="auto"/>
              </w:rPr>
            </w:pPr>
            <w:r>
              <w:rPr>
                <w:rFonts w:ascii="Times New Roman" w:cs="Times New Roman" w:eastAsia="Times New Roman" w:hAnsi="Times New Roman"/>
                <w:sz w:val="16"/>
                <w:szCs w:val="16"/>
                <w:color w:val="auto"/>
              </w:rPr>
              <w:t>David Galloreese</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Chief People Officer</w:t>
            </w:r>
          </w:p>
        </w:tc>
        <w:tc>
          <w:tcPr>
            <w:tcW w:w="1480" w:type="dxa"/>
            <w:vAlign w:val="bottom"/>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w w:val="99"/>
              </w:rPr>
              <w:t>Adoption</w:t>
            </w:r>
          </w:p>
        </w:tc>
        <w:tc>
          <w:tcPr>
            <w:tcW w:w="138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rPr>
              <w:t>March 6, 2026</w:t>
            </w:r>
          </w:p>
        </w:tc>
        <w:tc>
          <w:tcPr>
            <w:tcW w:w="246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6"/>
                <w:szCs w:val="16"/>
                <w:color w:val="auto"/>
              </w:rPr>
              <w:t>10,210</w:t>
            </w:r>
          </w:p>
        </w:tc>
        <w:tc>
          <w:tcPr>
            <w:tcW w:w="176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6"/>
                <w:szCs w:val="16"/>
                <w:color w:val="auto"/>
              </w:rPr>
              <w:t>May 28, 2027</w:t>
            </w:r>
          </w:p>
        </w:tc>
        <w:tc>
          <w:tcPr>
            <w:tcW w:w="0" w:type="dxa"/>
            <w:vAlign w:val="bottom"/>
          </w:tcPr>
          <w:p>
            <w:pPr>
              <w:spacing w:after="0"/>
              <w:rPr>
                <w:sz w:val="1"/>
                <w:szCs w:val="1"/>
                <w:color w:val="auto"/>
              </w:rPr>
            </w:pPr>
          </w:p>
        </w:tc>
      </w:tr>
      <w:tr>
        <w:trPr>
          <w:trHeight w:val="230"/>
        </w:trPr>
        <w:tc>
          <w:tcPr>
            <w:tcW w:w="1880" w:type="dxa"/>
            <w:vAlign w:val="bottom"/>
          </w:tcPr>
          <w:p>
            <w:pPr>
              <w:jc w:val="center"/>
              <w:ind w:right="41"/>
              <w:spacing w:after="0" w:line="230" w:lineRule="exact"/>
              <w:rPr>
                <w:sz w:val="20"/>
                <w:szCs w:val="20"/>
                <w:color w:val="auto"/>
              </w:rPr>
            </w:pPr>
            <w:r>
              <w:rPr>
                <w:rFonts w:ascii="Times New Roman" w:cs="Times New Roman" w:eastAsia="Times New Roman" w:hAnsi="Times New Roman"/>
                <w:sz w:val="16"/>
                <w:szCs w:val="16"/>
                <w:color w:val="auto"/>
                <w:w w:val="97"/>
              </w:rPr>
              <w:t>David Obstler</w:t>
            </w:r>
            <w:r>
              <w:rPr>
                <w:rFonts w:ascii="Times New Roman" w:cs="Times New Roman" w:eastAsia="Times New Roman" w:hAnsi="Times New Roman"/>
                <w:sz w:val="21"/>
                <w:szCs w:val="21"/>
                <w:color w:val="auto"/>
                <w:w w:val="97"/>
                <w:vertAlign w:val="superscript"/>
              </w:rPr>
              <w:t>(1)</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Chief Financial Officer</w:t>
            </w:r>
          </w:p>
        </w:tc>
        <w:tc>
          <w:tcPr>
            <w:tcW w:w="1480" w:type="dxa"/>
            <w:vAlign w:val="bottom"/>
          </w:tcPr>
          <w:p>
            <w:pPr>
              <w:jc w:val="center"/>
              <w:ind w:left="81"/>
              <w:spacing w:after="0"/>
              <w:rPr>
                <w:sz w:val="20"/>
                <w:szCs w:val="20"/>
                <w:color w:val="auto"/>
              </w:rPr>
            </w:pPr>
            <w:r>
              <w:rPr>
                <w:rFonts w:ascii="Times New Roman" w:cs="Times New Roman" w:eastAsia="Times New Roman" w:hAnsi="Times New Roman"/>
                <w:sz w:val="16"/>
                <w:szCs w:val="16"/>
                <w:color w:val="auto"/>
              </w:rPr>
              <w:t>Modification</w:t>
            </w:r>
          </w:p>
        </w:tc>
        <w:tc>
          <w:tcPr>
            <w:tcW w:w="138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March 9, 2026</w:t>
            </w:r>
          </w:p>
        </w:tc>
        <w:tc>
          <w:tcPr>
            <w:tcW w:w="246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rPr>
              <w:t>75,000</w:t>
            </w:r>
          </w:p>
        </w:tc>
        <w:tc>
          <w:tcPr>
            <w:tcW w:w="176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rPr>
              <w:t>March 31, 2027</w:t>
            </w:r>
          </w:p>
        </w:tc>
        <w:tc>
          <w:tcPr>
            <w:tcW w:w="0" w:type="dxa"/>
            <w:vAlign w:val="bottom"/>
          </w:tcPr>
          <w:p>
            <w:pPr>
              <w:spacing w:after="0"/>
              <w:rPr>
                <w:sz w:val="1"/>
                <w:szCs w:val="1"/>
                <w:color w:val="auto"/>
              </w:rPr>
            </w:pPr>
          </w:p>
        </w:tc>
      </w:tr>
      <w:tr>
        <w:trPr>
          <w:trHeight w:val="229"/>
        </w:trPr>
        <w:tc>
          <w:tcPr>
            <w:tcW w:w="1880" w:type="dxa"/>
            <w:vAlign w:val="bottom"/>
            <w:shd w:val="clear" w:color="auto" w:fill="CCEEFF"/>
          </w:tcPr>
          <w:p>
            <w:pPr>
              <w:jc w:val="center"/>
              <w:ind w:right="41"/>
              <w:spacing w:after="0" w:line="230" w:lineRule="exact"/>
              <w:rPr>
                <w:sz w:val="20"/>
                <w:szCs w:val="20"/>
                <w:color w:val="auto"/>
              </w:rPr>
            </w:pPr>
            <w:r>
              <w:rPr>
                <w:rFonts w:ascii="Times New Roman" w:cs="Times New Roman" w:eastAsia="Times New Roman" w:hAnsi="Times New Roman"/>
                <w:sz w:val="16"/>
                <w:szCs w:val="16"/>
                <w:color w:val="auto"/>
                <w:w w:val="95"/>
              </w:rPr>
              <w:t>Amit Agarwal</w:t>
            </w:r>
            <w:r>
              <w:rPr>
                <w:rFonts w:ascii="Times New Roman" w:cs="Times New Roman" w:eastAsia="Times New Roman" w:hAnsi="Times New Roman"/>
                <w:sz w:val="21"/>
                <w:szCs w:val="21"/>
                <w:color w:val="auto"/>
                <w:w w:val="95"/>
                <w:vertAlign w:val="superscript"/>
              </w:rPr>
              <w:t>(2)</w:t>
            </w:r>
          </w:p>
        </w:tc>
        <w:tc>
          <w:tcPr>
            <w:tcW w:w="2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480" w:type="dxa"/>
            <w:vAlign w:val="bottom"/>
            <w:shd w:val="clear" w:color="auto" w:fill="CCEEFF"/>
          </w:tcPr>
          <w:p>
            <w:pPr>
              <w:jc w:val="center"/>
              <w:ind w:left="81"/>
              <w:spacing w:after="0"/>
              <w:rPr>
                <w:sz w:val="20"/>
                <w:szCs w:val="20"/>
                <w:color w:val="auto"/>
              </w:rPr>
            </w:pPr>
            <w:r>
              <w:rPr>
                <w:rFonts w:ascii="Times New Roman" w:cs="Times New Roman" w:eastAsia="Times New Roman" w:hAnsi="Times New Roman"/>
                <w:sz w:val="16"/>
                <w:szCs w:val="16"/>
                <w:color w:val="auto"/>
                <w:w w:val="99"/>
              </w:rPr>
              <w:t>Adoption</w:t>
            </w:r>
          </w:p>
        </w:tc>
        <w:tc>
          <w:tcPr>
            <w:tcW w:w="1380" w:type="dxa"/>
            <w:vAlign w:val="bottom"/>
            <w:shd w:val="clear" w:color="auto" w:fill="CCEEFF"/>
          </w:tcPr>
          <w:p>
            <w:pPr>
              <w:jc w:val="center"/>
              <w:ind w:left="41"/>
              <w:spacing w:after="0"/>
              <w:rPr>
                <w:sz w:val="20"/>
                <w:szCs w:val="20"/>
                <w:color w:val="auto"/>
              </w:rPr>
            </w:pPr>
            <w:r>
              <w:rPr>
                <w:rFonts w:ascii="Times New Roman" w:cs="Times New Roman" w:eastAsia="Times New Roman" w:hAnsi="Times New Roman"/>
                <w:sz w:val="16"/>
                <w:szCs w:val="16"/>
                <w:color w:val="auto"/>
              </w:rPr>
              <w:t>March 13, 2026</w:t>
            </w:r>
          </w:p>
        </w:tc>
        <w:tc>
          <w:tcPr>
            <w:tcW w:w="2460" w:type="dxa"/>
            <w:vAlign w:val="bottom"/>
            <w:shd w:val="clear" w:color="auto" w:fill="CCEEFF"/>
          </w:tcPr>
          <w:p>
            <w:pPr>
              <w:jc w:val="center"/>
              <w:ind w:right="82"/>
              <w:spacing w:after="0"/>
              <w:rPr>
                <w:sz w:val="20"/>
                <w:szCs w:val="20"/>
                <w:color w:val="auto"/>
              </w:rPr>
            </w:pPr>
            <w:r>
              <w:rPr>
                <w:rFonts w:ascii="Times New Roman" w:cs="Times New Roman" w:eastAsia="Times New Roman" w:hAnsi="Times New Roman"/>
                <w:sz w:val="16"/>
                <w:szCs w:val="16"/>
                <w:color w:val="auto"/>
              </w:rPr>
              <w:t>200,000</w:t>
            </w:r>
          </w:p>
        </w:tc>
        <w:tc>
          <w:tcPr>
            <w:tcW w:w="1760" w:type="dxa"/>
            <w:vAlign w:val="bottom"/>
            <w:shd w:val="clear" w:color="auto" w:fill="CCEEFF"/>
          </w:tcPr>
          <w:p>
            <w:pPr>
              <w:jc w:val="center"/>
              <w:ind w:right="61"/>
              <w:spacing w:after="0"/>
              <w:rPr>
                <w:sz w:val="20"/>
                <w:szCs w:val="20"/>
                <w:color w:val="auto"/>
              </w:rPr>
            </w:pPr>
            <w:r>
              <w:rPr>
                <w:rFonts w:ascii="Times New Roman" w:cs="Times New Roman" w:eastAsia="Times New Roman" w:hAnsi="Times New Roman"/>
                <w:sz w:val="16"/>
                <w:szCs w:val="16"/>
                <w:color w:val="auto"/>
              </w:rPr>
              <w:t>March 25, 2027</w:t>
            </w:r>
          </w:p>
        </w:tc>
        <w:tc>
          <w:tcPr>
            <w:tcW w:w="0" w:type="dxa"/>
            <w:vAlign w:val="bottom"/>
          </w:tcPr>
          <w:p>
            <w:pPr>
              <w:spacing w:after="0"/>
              <w:rPr>
                <w:sz w:val="1"/>
                <w:szCs w:val="1"/>
                <w:color w:val="auto"/>
              </w:rPr>
            </w:pPr>
          </w:p>
        </w:tc>
      </w:tr>
      <w:tr>
        <w:trPr>
          <w:trHeight w:val="250"/>
        </w:trPr>
        <w:tc>
          <w:tcPr>
            <w:tcW w:w="1880" w:type="dxa"/>
            <w:vAlign w:val="bottom"/>
          </w:tcPr>
          <w:p>
            <w:pPr>
              <w:jc w:val="center"/>
              <w:ind w:right="41"/>
              <w:spacing w:after="0"/>
              <w:rPr>
                <w:sz w:val="20"/>
                <w:szCs w:val="20"/>
                <w:color w:val="auto"/>
              </w:rPr>
            </w:pPr>
            <w:r>
              <w:rPr>
                <w:rFonts w:ascii="Times New Roman" w:cs="Times New Roman" w:eastAsia="Times New Roman" w:hAnsi="Times New Roman"/>
                <w:sz w:val="16"/>
                <w:szCs w:val="16"/>
                <w:color w:val="auto"/>
                <w:w w:val="98"/>
              </w:rPr>
              <w:t>Michael Callahan</w:t>
            </w:r>
            <w:r>
              <w:rPr>
                <w:rFonts w:ascii="Times New Roman" w:cs="Times New Roman" w:eastAsia="Times New Roman" w:hAnsi="Times New Roman"/>
                <w:sz w:val="21"/>
                <w:szCs w:val="21"/>
                <w:color w:val="auto"/>
                <w:w w:val="98"/>
                <w:vertAlign w:val="superscript"/>
              </w:rPr>
              <w:t>(3)</w:t>
            </w:r>
          </w:p>
        </w:tc>
        <w:tc>
          <w:tcPr>
            <w:tcW w:w="22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1480" w:type="dxa"/>
            <w:vAlign w:val="bottom"/>
          </w:tcPr>
          <w:p>
            <w:pPr>
              <w:jc w:val="center"/>
              <w:ind w:left="81"/>
              <w:spacing w:after="0"/>
              <w:rPr>
                <w:sz w:val="20"/>
                <w:szCs w:val="20"/>
                <w:color w:val="auto"/>
              </w:rPr>
            </w:pPr>
            <w:r>
              <w:rPr>
                <w:rFonts w:ascii="Times New Roman" w:cs="Times New Roman" w:eastAsia="Times New Roman" w:hAnsi="Times New Roman"/>
                <w:sz w:val="16"/>
                <w:szCs w:val="16"/>
                <w:color w:val="auto"/>
                <w:w w:val="99"/>
              </w:rPr>
              <w:t>Adoption</w:t>
            </w:r>
          </w:p>
        </w:tc>
        <w:tc>
          <w:tcPr>
            <w:tcW w:w="1380" w:type="dxa"/>
            <w:vAlign w:val="bottom"/>
          </w:tcPr>
          <w:p>
            <w:pPr>
              <w:jc w:val="center"/>
              <w:ind w:left="41"/>
              <w:spacing w:after="0"/>
              <w:rPr>
                <w:sz w:val="20"/>
                <w:szCs w:val="20"/>
                <w:color w:val="auto"/>
              </w:rPr>
            </w:pPr>
            <w:r>
              <w:rPr>
                <w:rFonts w:ascii="Times New Roman" w:cs="Times New Roman" w:eastAsia="Times New Roman" w:hAnsi="Times New Roman"/>
                <w:sz w:val="16"/>
                <w:szCs w:val="16"/>
                <w:color w:val="auto"/>
              </w:rPr>
              <w:t>March 13, 2026</w:t>
            </w:r>
          </w:p>
        </w:tc>
        <w:tc>
          <w:tcPr>
            <w:tcW w:w="2460" w:type="dxa"/>
            <w:vAlign w:val="bottom"/>
          </w:tcPr>
          <w:p>
            <w:pPr>
              <w:jc w:val="center"/>
              <w:ind w:right="82"/>
              <w:spacing w:after="0"/>
              <w:rPr>
                <w:sz w:val="20"/>
                <w:szCs w:val="20"/>
                <w:color w:val="auto"/>
              </w:rPr>
            </w:pPr>
            <w:r>
              <w:rPr>
                <w:rFonts w:ascii="Times New Roman" w:cs="Times New Roman" w:eastAsia="Times New Roman" w:hAnsi="Times New Roman"/>
                <w:sz w:val="16"/>
                <w:szCs w:val="16"/>
                <w:color w:val="auto"/>
              </w:rPr>
              <w:t>175,000</w:t>
            </w:r>
          </w:p>
        </w:tc>
        <w:tc>
          <w:tcPr>
            <w:tcW w:w="1760" w:type="dxa"/>
            <w:vAlign w:val="bottom"/>
          </w:tcPr>
          <w:p>
            <w:pPr>
              <w:jc w:val="center"/>
              <w:ind w:right="61"/>
              <w:spacing w:after="0"/>
              <w:rPr>
                <w:sz w:val="20"/>
                <w:szCs w:val="20"/>
                <w:color w:val="auto"/>
              </w:rPr>
            </w:pPr>
            <w:r>
              <w:rPr>
                <w:rFonts w:ascii="Times New Roman" w:cs="Times New Roman" w:eastAsia="Times New Roman" w:hAnsi="Times New Roman"/>
                <w:sz w:val="16"/>
                <w:szCs w:val="16"/>
                <w:color w:val="auto"/>
              </w:rPr>
              <w:t>March 12, 2027</w:t>
            </w:r>
          </w:p>
        </w:tc>
        <w:tc>
          <w:tcPr>
            <w:tcW w:w="0" w:type="dxa"/>
            <w:vAlign w:val="bottom"/>
          </w:tcPr>
          <w:p>
            <w:pPr>
              <w:spacing w:after="0"/>
              <w:rPr>
                <w:sz w:val="1"/>
                <w:szCs w:val="1"/>
                <w:color w:val="auto"/>
              </w:rPr>
            </w:pPr>
          </w:p>
        </w:tc>
      </w:tr>
    </w:tbl>
    <w:p>
      <w:pPr>
        <w:ind w:left="20" w:right="20" w:firstLine="6"/>
        <w:spacing w:after="0" w:line="258" w:lineRule="auto"/>
        <w:tabs>
          <w:tab w:leader="none" w:pos="23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 modification under Rule 10b5-1(c)(1)(iv) of a Rule 10b5-1 trading plan adopted on December 14, 2025, which did not result in any change to the total number of shares to be sold under or the expiration date of the plan.</w:t>
      </w:r>
    </w:p>
    <w:p>
      <w:pPr>
        <w:spacing w:after="0" w:line="15"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will be sold under a Rule 10b5-1 trading plan by the Agarwal 2018 Family Trust.</w:t>
      </w:r>
    </w:p>
    <w:p>
      <w:pPr>
        <w:spacing w:after="0" w:line="55" w:lineRule="exact"/>
        <w:rPr>
          <w:rFonts w:ascii="Times New Roman" w:cs="Times New Roman" w:eastAsia="Times New Roman" w:hAnsi="Times New Roman"/>
          <w:sz w:val="14"/>
          <w:szCs w:val="14"/>
          <w:color w:val="auto"/>
        </w:rPr>
      </w:pPr>
    </w:p>
    <w:p>
      <w:pPr>
        <w:ind w:left="220" w:hanging="194"/>
        <w:spacing w:after="0"/>
        <w:tabs>
          <w:tab w:leader="none" w:pos="2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shares will be sold under a Rule 10b5-1 trading plan by The Callahan-Thernstrom Family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4" w:name="page65"/>
    <w:bookmarkEnd w:id="64"/>
    <w:p>
      <w:pPr>
        <w:ind w:left="55"/>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5" w:lineRule="exact"/>
        <w:rPr>
          <w:sz w:val="20"/>
          <w:szCs w:val="20"/>
          <w:color w:val="auto"/>
        </w:rPr>
      </w:pPr>
    </w:p>
    <w:tbl>
      <w:tblPr>
        <w:tblLayout w:type="fixed"/>
        <w:tblInd w:w="55" w:type="dxa"/>
        <w:tblCellMar>
          <w:top w:w="0" w:type="dxa"/>
          <w:left w:w="0" w:type="dxa"/>
          <w:bottom w:w="0" w:type="dxa"/>
          <w:right w:w="0" w:type="dxa"/>
        </w:tblCellMar>
      </w:tblPr>
      <w:tr>
        <w:trPr>
          <w:trHeight w:val="190"/>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20" w:type="dxa"/>
            <w:vAlign w:val="bottom"/>
            <w:gridSpan w:val="2"/>
          </w:tcPr>
          <w:p>
            <w:pPr>
              <w:ind w:left="6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5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8"/>
        </w:trPr>
        <w:tc>
          <w:tcPr>
            <w:tcW w:w="120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204"/>
        </w:trPr>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7"/>
                <w:szCs w:val="17"/>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40" w:type="dxa"/>
            <w:vAlign w:val="bottom"/>
          </w:tcPr>
          <w:p>
            <w:pPr>
              <w:jc w:val="center"/>
              <w:ind w:right="54"/>
              <w:spacing w:after="0"/>
              <w:rPr>
                <w:sz w:val="20"/>
                <w:szCs w:val="20"/>
                <w:color w:val="auto"/>
              </w:rPr>
            </w:pPr>
            <w:r>
              <w:rPr>
                <w:rFonts w:ascii="Times New Roman" w:cs="Times New Roman" w:eastAsia="Times New Roman" w:hAnsi="Times New Roman"/>
                <w:sz w:val="14"/>
                <w:szCs w:val="14"/>
                <w:b w:val="1"/>
                <w:bCs w:val="1"/>
                <w:color w:val="auto"/>
              </w:rPr>
              <w:t>Form</w:t>
            </w:r>
          </w:p>
        </w:tc>
        <w:tc>
          <w:tcPr>
            <w:tcW w:w="1320" w:type="dxa"/>
            <w:vAlign w:val="bottom"/>
          </w:tcPr>
          <w:p>
            <w:pPr>
              <w:ind w:left="4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200" w:type="dxa"/>
            <w:vAlign w:val="bottom"/>
          </w:tcPr>
          <w:p>
            <w:pPr>
              <w:ind w:left="4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7"/>
        </w:trPr>
        <w:tc>
          <w:tcPr>
            <w:tcW w:w="10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108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114">
              <w:r>
                <w:rPr>
                  <w:rFonts w:ascii="Times New Roman" w:cs="Times New Roman" w:eastAsia="Times New Roman" w:hAnsi="Times New Roman"/>
                  <w:sz w:val="18"/>
                  <w:szCs w:val="18"/>
                  <w:color w:val="0000FF"/>
                  <w:w w:val="99"/>
                </w:rPr>
                <w:t xml:space="preserve">Plan of Conversion of Datadog, </w:t>
              </w:r>
            </w:hyperlink>
            <w:r>
              <w:rPr>
                <w:rFonts w:ascii="Times New Roman" w:cs="Times New Roman" w:eastAsia="Times New Roman" w:hAnsi="Times New Roman"/>
                <w:sz w:val="18"/>
                <w:szCs w:val="18"/>
                <w:color w:val="0000FF"/>
                <w:w w:val="99"/>
              </w:rPr>
              <w:t>Inc.</w:t>
            </w:r>
          </w:p>
        </w:tc>
        <w:tc>
          <w:tcPr>
            <w:tcW w:w="1120" w:type="dxa"/>
            <w:vAlign w:val="bottom"/>
            <w:gridSpan w:val="12"/>
          </w:tcPr>
          <w:p>
            <w:pPr>
              <w:spacing w:after="0"/>
              <w:rPr>
                <w:sz w:val="17"/>
                <w:szCs w:val="17"/>
                <w:color w:val="auto"/>
              </w:rPr>
            </w:pPr>
          </w:p>
        </w:tc>
        <w:tc>
          <w:tcPr>
            <w:tcW w:w="1040" w:type="dxa"/>
            <w:vAlign w:val="bottom"/>
          </w:tcPr>
          <w:p>
            <w:pPr>
              <w:jc w:val="center"/>
              <w:ind w:right="74"/>
              <w:spacing w:after="0" w:line="196" w:lineRule="exact"/>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spacing w:after="0"/>
              <w:rPr>
                <w:sz w:val="17"/>
                <w:szCs w:val="17"/>
                <w:color w:val="auto"/>
              </w:rPr>
            </w:pPr>
          </w:p>
        </w:tc>
        <w:tc>
          <w:tcPr>
            <w:tcW w:w="12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5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April 22, 2026</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w w:val="99"/>
              </w:rPr>
            </w:pPr>
            <w:hyperlink r:id="rId115">
              <w:r>
                <w:rPr>
                  <w:rFonts w:ascii="Times New Roman" w:cs="Times New Roman" w:eastAsia="Times New Roman" w:hAnsi="Times New Roman"/>
                  <w:sz w:val="18"/>
                  <w:szCs w:val="18"/>
                  <w:color w:val="0000FF"/>
                  <w:w w:val="99"/>
                </w:rPr>
                <w:t>Articles of Incorporation of Datadog, Inc.</w:t>
              </w:r>
            </w:hyperlink>
          </w:p>
        </w:tc>
        <w:tc>
          <w:tcPr>
            <w:tcW w:w="720" w:type="dxa"/>
            <w:vAlign w:val="bottom"/>
            <w:gridSpan w:val="9"/>
          </w:tcPr>
          <w:p>
            <w:pPr>
              <w:spacing w:after="0"/>
              <w:rPr>
                <w:sz w:val="21"/>
                <w:szCs w:val="21"/>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2026</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6"/>
          </w:tcPr>
          <w:p>
            <w:pPr>
              <w:spacing w:after="0"/>
              <w:rPr>
                <w:rFonts w:ascii="Times New Roman" w:cs="Times New Roman" w:eastAsia="Times New Roman" w:hAnsi="Times New Roman"/>
                <w:sz w:val="18"/>
                <w:szCs w:val="18"/>
                <w:color w:val="0000FF"/>
              </w:rPr>
            </w:pPr>
            <w:hyperlink r:id="rId116">
              <w:r>
                <w:rPr>
                  <w:rFonts w:ascii="Times New Roman" w:cs="Times New Roman" w:eastAsia="Times New Roman" w:hAnsi="Times New Roman"/>
                  <w:sz w:val="18"/>
                  <w:szCs w:val="18"/>
                  <w:color w:val="0000FF"/>
                </w:rPr>
                <w:t>Bylaws of Datadog, Inc.</w:t>
              </w:r>
            </w:hyperlink>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2026</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Datadog, Inc. Non-employee director</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compensation policy adopted: March 16, 2026</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340" w:type="dxa"/>
            <w:vAlign w:val="bottom"/>
            <w:tcBorders>
              <w:top w:val="single" w:sz="8" w:color="0000FF"/>
            </w:tcBorders>
            <w:gridSpan w:val="13"/>
          </w:tcPr>
          <w:p>
            <w:pPr>
              <w:spacing w:after="0"/>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Form of Indemnification Agreement between</w:t>
              </w:r>
            </w:hyperlink>
          </w:p>
        </w:tc>
        <w:tc>
          <w:tcPr>
            <w:tcW w:w="380" w:type="dxa"/>
            <w:vAlign w:val="bottom"/>
            <w:gridSpan w:val="3"/>
          </w:tcPr>
          <w:p>
            <w:pPr>
              <w:spacing w:after="0"/>
              <w:rPr>
                <w:sz w:val="21"/>
                <w:szCs w:val="21"/>
                <w:color w:val="auto"/>
              </w:rPr>
            </w:pPr>
          </w:p>
        </w:tc>
        <w:tc>
          <w:tcPr>
            <w:tcW w:w="1040" w:type="dxa"/>
            <w:vAlign w:val="bottom"/>
          </w:tcPr>
          <w:p>
            <w:pPr>
              <w:jc w:val="center"/>
              <w:ind w:right="74"/>
              <w:spacing w:after="0"/>
              <w:rPr>
                <w:sz w:val="20"/>
                <w:szCs w:val="20"/>
                <w:color w:val="auto"/>
              </w:rPr>
            </w:pPr>
            <w:r>
              <w:rPr>
                <w:rFonts w:ascii="Times New Roman" w:cs="Times New Roman" w:eastAsia="Times New Roman" w:hAnsi="Times New Roman"/>
                <w:sz w:val="18"/>
                <w:szCs w:val="18"/>
                <w:color w:val="auto"/>
                <w:w w:val="99"/>
              </w:rPr>
              <w:t>8-K</w:t>
            </w:r>
          </w:p>
        </w:tc>
        <w:tc>
          <w:tcPr>
            <w:tcW w:w="132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22, 2026</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60" w:type="dxa"/>
            <w:vAlign w:val="bottom"/>
            <w:tcBorders>
              <w:top w:val="single" w:sz="8" w:color="0000FF"/>
            </w:tcBorders>
            <w:gridSpan w:val="11"/>
          </w:tcPr>
          <w:p>
            <w:pPr>
              <w:spacing w:after="0" w:line="196"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Datadog, Inc., and its directors and officers.</w:t>
              </w:r>
            </w:hyperlink>
          </w:p>
        </w:tc>
        <w:tc>
          <w:tcPr>
            <w:tcW w:w="460" w:type="dxa"/>
            <w:vAlign w:val="bottom"/>
            <w:gridSpan w:val="5"/>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top w:val="single" w:sz="8" w:color="0000FF"/>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20" w:type="dxa"/>
            <w:vAlign w:val="bottom"/>
            <w:tcBorders>
              <w:top w:val="single" w:sz="8" w:color="0000FF"/>
            </w:tcBorders>
          </w:tcPr>
          <w:p>
            <w:pPr>
              <w:spacing w:after="0"/>
              <w:rPr>
                <w:sz w:val="21"/>
                <w:szCs w:val="21"/>
                <w:color w:val="auto"/>
              </w:rPr>
            </w:pPr>
          </w:p>
        </w:tc>
        <w:tc>
          <w:tcPr>
            <w:tcW w:w="580" w:type="dxa"/>
            <w:vAlign w:val="bottom"/>
            <w:gridSpan w:val="6"/>
          </w:tcPr>
          <w:p>
            <w:pPr>
              <w:spacing w:after="0"/>
              <w:rPr>
                <w:sz w:val="21"/>
                <w:szCs w:val="21"/>
                <w:color w:val="auto"/>
              </w:rPr>
            </w:pP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200" w:type="dxa"/>
            <w:vAlign w:val="bottom"/>
            <w:gridSpan w:val="2"/>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6"/>
          </w:tcPr>
          <w:p>
            <w:pPr>
              <w:spacing w:after="0"/>
              <w:rPr>
                <w:sz w:val="17"/>
                <w:szCs w:val="17"/>
                <w:color w:val="auto"/>
              </w:rPr>
            </w:pPr>
          </w:p>
        </w:tc>
        <w:tc>
          <w:tcPr>
            <w:tcW w:w="40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3"/>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Rules 13a-14(a) and 15d-14(a)</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160" w:type="dxa"/>
            <w:vAlign w:val="bottom"/>
            <w:gridSpan w:val="7"/>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under the Securities Exchange Act of 1934, as</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FF"/>
              <w:bottom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w w:val="99"/>
              </w:rPr>
              <w:t>Adopted Pursuant to Section 302 of the</w:t>
            </w:r>
          </w:p>
        </w:tc>
        <w:tc>
          <w:tcPr>
            <w:tcW w:w="480" w:type="dxa"/>
            <w:vAlign w:val="bottom"/>
            <w:tcBorders>
              <w:top w:val="single" w:sz="8" w:color="0000FF"/>
            </w:tcBorders>
            <w:gridSpan w:val="6"/>
          </w:tcPr>
          <w:p>
            <w:pPr>
              <w:spacing w:after="0"/>
              <w:rPr>
                <w:sz w:val="17"/>
                <w:szCs w:val="17"/>
                <w:color w:val="auto"/>
              </w:rPr>
            </w:pPr>
          </w:p>
        </w:tc>
        <w:tc>
          <w:tcPr>
            <w:tcW w:w="400" w:type="dxa"/>
            <w:vAlign w:val="bottom"/>
            <w:gridSpan w:val="4"/>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00" w:type="dxa"/>
            <w:vAlign w:val="bottom"/>
            <w:tcBorders>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1620" w:type="dxa"/>
            <w:vAlign w:val="bottom"/>
            <w:gridSpan w:val="13"/>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w:t>
            </w:r>
          </w:p>
        </w:tc>
        <w:tc>
          <w:tcPr>
            <w:tcW w:w="600" w:type="dxa"/>
            <w:vAlign w:val="bottom"/>
            <w:gridSpan w:val="7"/>
          </w:tcPr>
          <w:p>
            <w:pPr>
              <w:spacing w:after="0"/>
              <w:rPr>
                <w:sz w:val="21"/>
                <w:szCs w:val="21"/>
                <w:color w:val="auto"/>
              </w:rPr>
            </w:pP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13"/>
          </w:tcPr>
          <w:p>
            <w:pPr>
              <w:spacing w:after="0"/>
              <w:rPr>
                <w:sz w:val="17"/>
                <w:szCs w:val="17"/>
                <w:color w:val="auto"/>
              </w:rPr>
            </w:pPr>
          </w:p>
        </w:tc>
        <w:tc>
          <w:tcPr>
            <w:tcW w:w="36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60" w:type="dxa"/>
            <w:vAlign w:val="bottom"/>
            <w:gridSpan w:val="8"/>
            <w:shd w:val="clear" w:color="auto" w:fill="0000FF"/>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6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Pursuant to 18 U.S.C. Section 1350, as Adopted</w:t>
            </w: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20" w:type="dxa"/>
            <w:vAlign w:val="bottom"/>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906 of the Sarbanes-Oxley</w:t>
            </w: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Act of 2002.</w:t>
            </w:r>
          </w:p>
        </w:tc>
        <w:tc>
          <w:tcPr>
            <w:tcW w:w="2460" w:type="dxa"/>
            <w:vAlign w:val="bottom"/>
            <w:tcBorders>
              <w:top w:val="single" w:sz="8" w:color="0000FF"/>
            </w:tcBorders>
            <w:gridSpan w:val="13"/>
          </w:tcPr>
          <w:p>
            <w:pPr>
              <w:spacing w:after="0"/>
              <w:rPr>
                <w:sz w:val="17"/>
                <w:szCs w:val="17"/>
                <w:color w:val="auto"/>
              </w:rPr>
            </w:pPr>
          </w:p>
        </w:tc>
        <w:tc>
          <w:tcPr>
            <w:tcW w:w="360" w:type="dxa"/>
            <w:vAlign w:val="bottom"/>
            <w:gridSpan w:val="2"/>
          </w:tcPr>
          <w:p>
            <w:pPr>
              <w:spacing w:after="0"/>
              <w:rPr>
                <w:sz w:val="17"/>
                <w:szCs w:val="17"/>
                <w:color w:val="auto"/>
              </w:rPr>
            </w:pPr>
          </w:p>
        </w:tc>
        <w:tc>
          <w:tcPr>
            <w:tcW w:w="1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10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70"/>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3"/>
                <w:szCs w:val="23"/>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10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21"/>
                <w:szCs w:val="21"/>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Calculation</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21"/>
                <w:szCs w:val="21"/>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Definition</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1"/>
                <w:szCs w:val="21"/>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Document</w:t>
            </w: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2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21"/>
                <w:szCs w:val="21"/>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XBRL Taxonomy Extension Presentation</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1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10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72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and contained in Exhibit 101)</w:t>
            </w:r>
          </w:p>
        </w:tc>
        <w:tc>
          <w:tcPr>
            <w:tcW w:w="10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5"/>
        <w:spacing w:after="0"/>
        <w:rPr>
          <w:sz w:val="20"/>
          <w:szCs w:val="20"/>
          <w:color w:val="auto"/>
        </w:rPr>
      </w:pPr>
      <w:r>
        <w:rPr>
          <w:rFonts w:ascii="Times New Roman" w:cs="Times New Roman" w:eastAsia="Times New Roman" w:hAnsi="Times New Roman"/>
          <w:sz w:val="18"/>
          <w:szCs w:val="18"/>
          <w:color w:val="auto"/>
        </w:rPr>
        <w:t>_________________</w:t>
      </w:r>
    </w:p>
    <w:p>
      <w:pPr>
        <w:spacing w:after="0" w:line="45" w:lineRule="exact"/>
        <w:rPr>
          <w:sz w:val="20"/>
          <w:szCs w:val="20"/>
          <w:color w:val="auto"/>
        </w:rPr>
      </w:pPr>
    </w:p>
    <w:p>
      <w:pPr>
        <w:ind w:left="335" w:right="140" w:hanging="335"/>
        <w:spacing w:after="0" w:line="241" w:lineRule="auto"/>
        <w:tabs>
          <w:tab w:leader="none" w:pos="335"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 whether made before or after the date hereof, regardless of any general incorporation language in such filing.</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4"/>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55"/>
          </w:cols>
          <w:pgMar w:left="265" w:top="1305" w:right="37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78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DATADOG, INC.</w:t>
            </w:r>
          </w:p>
        </w:tc>
      </w:tr>
      <w:tr>
        <w:trPr>
          <w:trHeight w:val="499"/>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8"/>
        </w:trPr>
        <w:tc>
          <w:tcPr>
            <w:tcW w:w="3360" w:type="dxa"/>
            <w:vAlign w:val="bottom"/>
          </w:tcPr>
          <w:p>
            <w:pPr>
              <w:spacing w:after="0"/>
              <w:rPr>
                <w:sz w:val="18"/>
                <w:szCs w:val="18"/>
                <w:color w:val="auto"/>
              </w:rPr>
            </w:pP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Olivier Pomel</w:t>
            </w:r>
          </w:p>
        </w:tc>
      </w:tr>
      <w:tr>
        <w:trPr>
          <w:trHeight w:val="180"/>
        </w:trPr>
        <w:tc>
          <w:tcPr>
            <w:tcW w:w="3360" w:type="dxa"/>
            <w:vAlign w:val="bottom"/>
          </w:tcPr>
          <w:p>
            <w:pPr>
              <w:spacing w:after="0"/>
              <w:rPr>
                <w:sz w:val="15"/>
                <w:szCs w:val="15"/>
                <w:color w:val="auto"/>
              </w:rPr>
            </w:pPr>
          </w:p>
        </w:tc>
        <w:tc>
          <w:tcPr>
            <w:tcW w:w="298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49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By:</w:t>
            </w:r>
          </w:p>
        </w:tc>
        <w:tc>
          <w:tcPr>
            <w:tcW w:w="48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8"/>
        </w:trPr>
        <w:tc>
          <w:tcPr>
            <w:tcW w:w="3360" w:type="dxa"/>
            <w:vAlign w:val="bottom"/>
          </w:tcPr>
          <w:p>
            <w:pPr>
              <w:spacing w:after="0"/>
              <w:rPr>
                <w:sz w:val="18"/>
                <w:szCs w:val="18"/>
                <w:color w:val="auto"/>
              </w:rPr>
            </w:pPr>
          </w:p>
        </w:tc>
        <w:tc>
          <w:tcPr>
            <w:tcW w:w="29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Name:</w:t>
            </w: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Obstler</w:t>
            </w:r>
          </w:p>
        </w:tc>
      </w:tr>
      <w:tr>
        <w:trPr>
          <w:trHeight w:val="180"/>
        </w:trPr>
        <w:tc>
          <w:tcPr>
            <w:tcW w:w="3360" w:type="dxa"/>
            <w:vAlign w:val="bottom"/>
          </w:tcPr>
          <w:p>
            <w:pPr>
              <w:spacing w:after="0"/>
              <w:rPr>
                <w:sz w:val="15"/>
                <w:szCs w:val="15"/>
                <w:color w:val="auto"/>
              </w:rPr>
            </w:pPr>
          </w:p>
        </w:tc>
        <w:tc>
          <w:tcPr>
            <w:tcW w:w="2980" w:type="dxa"/>
            <w:vAlign w:val="bottom"/>
          </w:tcPr>
          <w:p>
            <w:pPr>
              <w:ind w:left="200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8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36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48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240"/>
          </w:cols>
          <w:pgMar w:left="320" w:top="1089"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DATADOG,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NON-EMPLOYEE DIRECTOR COMPENSATION POLICY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MARCH 16, 2026</w:t>
      </w:r>
    </w:p>
    <w:p>
      <w:pPr>
        <w:spacing w:after="0" w:line="200" w:lineRule="exact"/>
        <w:rPr>
          <w:sz w:val="20"/>
          <w:szCs w:val="20"/>
          <w:color w:val="auto"/>
        </w:rPr>
      </w:pPr>
    </w:p>
    <w:p>
      <w:pPr>
        <w:spacing w:after="0" w:line="246" w:lineRule="exact"/>
        <w:rPr>
          <w:sz w:val="20"/>
          <w:szCs w:val="20"/>
          <w:color w:val="auto"/>
        </w:rPr>
      </w:pPr>
    </w:p>
    <w:p>
      <w:pPr>
        <w:jc w:val="both"/>
        <w:ind w:hanging="1"/>
        <w:spacing w:after="0" w:line="259" w:lineRule="auto"/>
        <w:rPr>
          <w:sz w:val="20"/>
          <w:szCs w:val="20"/>
          <w:color w:val="auto"/>
        </w:rPr>
      </w:pPr>
      <w:r>
        <w:rPr>
          <w:rFonts w:ascii="Times New Roman" w:cs="Times New Roman" w:eastAsia="Times New Roman" w:hAnsi="Times New Roman"/>
          <w:sz w:val="18"/>
          <w:szCs w:val="18"/>
          <w:color w:val="auto"/>
        </w:rPr>
        <w:t>Each member of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Datadog,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who is a non-employee director of the Company (each such member, a “</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will be eligible to receive the compensation described in this Non-Employee Director Compensation Policy (the “</w:t>
      </w:r>
      <w:r>
        <w:rPr>
          <w:rFonts w:ascii="Times New Roman" w:cs="Times New Roman" w:eastAsia="Times New Roman" w:hAnsi="Times New Roman"/>
          <w:sz w:val="18"/>
          <w:szCs w:val="18"/>
          <w:b w:val="1"/>
          <w:bCs w:val="1"/>
          <w:i w:val="1"/>
          <w:iCs w:val="1"/>
          <w:color w:val="auto"/>
        </w:rPr>
        <w:t>Policy</w:t>
      </w:r>
      <w:r>
        <w:rPr>
          <w:rFonts w:ascii="Times New Roman" w:cs="Times New Roman" w:eastAsia="Times New Roman" w:hAnsi="Times New Roman"/>
          <w:sz w:val="18"/>
          <w:szCs w:val="18"/>
          <w:color w:val="auto"/>
        </w:rPr>
        <w:t>”) for his or her Board service. Unless otherwise defined herein, capitalized terms used in this Policy will have the meaning given to such terms in the Company’s 2019 Equity Incentive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or any successor equity incentive plan. The Policy may be amended at any time in the sole discretion of the Board or the Compensation Committee.</w:t>
      </w:r>
    </w:p>
    <w:p>
      <w:pPr>
        <w:spacing w:after="0" w:line="200" w:lineRule="exact"/>
        <w:rPr>
          <w:sz w:val="20"/>
          <w:szCs w:val="20"/>
          <w:color w:val="auto"/>
        </w:rPr>
      </w:pPr>
    </w:p>
    <w:p>
      <w:pPr>
        <w:spacing w:after="0" w:line="2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7"/>
          <w:szCs w:val="17"/>
          <w:b w:val="1"/>
          <w:bCs w:val="1"/>
          <w:color w:val="auto"/>
        </w:rPr>
        <w:t>Annual Cash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Non-Employee Director will be eligible to receive the following annual cash retainers for service on the Board:</w:t>
      </w:r>
    </w:p>
    <w:p>
      <w:pPr>
        <w:spacing w:after="0" w:line="25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Annual Board Service Retainer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65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Non-Employee Directors: $50,000</w:t>
      </w:r>
    </w:p>
    <w:p>
      <w:pPr>
        <w:spacing w:after="0" w:line="9" w:lineRule="exact"/>
        <w:rPr>
          <w:rFonts w:ascii="Times New Roman" w:cs="Times New Roman" w:eastAsia="Times New Roman" w:hAnsi="Times New Roman"/>
          <w:sz w:val="18"/>
          <w:szCs w:val="18"/>
          <w:color w:val="auto"/>
        </w:rPr>
      </w:pPr>
    </w:p>
    <w:p>
      <w:pPr>
        <w:ind w:left="660" w:hanging="65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 Non-Employee Director (as applicable): $74,000 (in lieu of above)</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Annual Committee Member Service Retainer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65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$12,500</w:t>
      </w:r>
    </w:p>
    <w:p>
      <w:pPr>
        <w:spacing w:after="0" w:line="9" w:lineRule="exact"/>
        <w:rPr>
          <w:rFonts w:ascii="Times New Roman" w:cs="Times New Roman" w:eastAsia="Times New Roman" w:hAnsi="Times New Roman"/>
          <w:sz w:val="18"/>
          <w:szCs w:val="18"/>
          <w:color w:val="auto"/>
        </w:rPr>
      </w:pPr>
    </w:p>
    <w:p>
      <w:pPr>
        <w:ind w:left="660" w:hanging="65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$10,000</w:t>
      </w:r>
    </w:p>
    <w:p>
      <w:pPr>
        <w:spacing w:after="0" w:line="9" w:lineRule="exact"/>
        <w:rPr>
          <w:rFonts w:ascii="Times New Roman" w:cs="Times New Roman" w:eastAsia="Times New Roman" w:hAnsi="Times New Roman"/>
          <w:sz w:val="18"/>
          <w:szCs w:val="18"/>
          <w:color w:val="auto"/>
        </w:rPr>
      </w:pPr>
    </w:p>
    <w:p>
      <w:pPr>
        <w:ind w:left="660" w:hanging="654"/>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$6,000</w:t>
      </w:r>
    </w:p>
    <w:p>
      <w:pPr>
        <w:spacing w:after="0" w:line="23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u w:val="single" w:color="auto"/>
          <w:color w:val="auto"/>
        </w:rPr>
        <w:t>Annual Committee Chair Service Retainer (in lieu of Committee Member Service Retainer)</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660" w:hanging="654"/>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Audit Committee: $25,000</w:t>
      </w:r>
    </w:p>
    <w:p>
      <w:pPr>
        <w:spacing w:after="0" w:line="9" w:lineRule="exact"/>
        <w:rPr>
          <w:rFonts w:ascii="Times New Roman" w:cs="Times New Roman" w:eastAsia="Times New Roman" w:hAnsi="Times New Roman"/>
          <w:sz w:val="18"/>
          <w:szCs w:val="18"/>
          <w:color w:val="auto"/>
        </w:rPr>
      </w:pPr>
    </w:p>
    <w:p>
      <w:pPr>
        <w:ind w:left="660" w:hanging="654"/>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Compensation Committee: $20,000</w:t>
      </w:r>
    </w:p>
    <w:p>
      <w:pPr>
        <w:spacing w:after="0" w:line="9" w:lineRule="exact"/>
        <w:rPr>
          <w:rFonts w:ascii="Times New Roman" w:cs="Times New Roman" w:eastAsia="Times New Roman" w:hAnsi="Times New Roman"/>
          <w:sz w:val="18"/>
          <w:szCs w:val="18"/>
          <w:color w:val="auto"/>
        </w:rPr>
      </w:pPr>
    </w:p>
    <w:p>
      <w:pPr>
        <w:ind w:left="660" w:hanging="654"/>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Chair of the Nominating and Corporate Governance Committee: $12,000</w:t>
      </w:r>
    </w:p>
    <w:p>
      <w:pPr>
        <w:spacing w:after="0" w:line="234" w:lineRule="exact"/>
        <w:rPr>
          <w:sz w:val="20"/>
          <w:szCs w:val="20"/>
          <w:color w:val="auto"/>
        </w:rPr>
      </w:pPr>
    </w:p>
    <w:p>
      <w:pPr>
        <w:jc w:val="both"/>
        <w:ind w:hanging="1"/>
        <w:spacing w:after="0" w:line="266" w:lineRule="auto"/>
        <w:rPr>
          <w:sz w:val="20"/>
          <w:szCs w:val="20"/>
          <w:color w:val="auto"/>
        </w:rPr>
      </w:pPr>
      <w:r>
        <w:rPr>
          <w:rFonts w:ascii="Times New Roman" w:cs="Times New Roman" w:eastAsia="Times New Roman" w:hAnsi="Times New Roman"/>
          <w:sz w:val="18"/>
          <w:szCs w:val="18"/>
          <w:color w:val="auto"/>
        </w:rPr>
        <w:t>The annual cash retainers above will be payable in equal quarterly installments in arrears on the last day of each calendar quarter (each such date, a “</w:t>
      </w:r>
      <w:r>
        <w:rPr>
          <w:rFonts w:ascii="Times New Roman" w:cs="Times New Roman" w:eastAsia="Times New Roman" w:hAnsi="Times New Roman"/>
          <w:sz w:val="18"/>
          <w:szCs w:val="18"/>
          <w:b w:val="1"/>
          <w:bCs w:val="1"/>
          <w:i w:val="1"/>
          <w:iCs w:val="1"/>
          <w:color w:val="auto"/>
        </w:rPr>
        <w:t>Retainer Accrual Date</w:t>
      </w:r>
      <w:r>
        <w:rPr>
          <w:rFonts w:ascii="Times New Roman" w:cs="Times New Roman" w:eastAsia="Times New Roman" w:hAnsi="Times New Roman"/>
          <w:sz w:val="18"/>
          <w:szCs w:val="18"/>
          <w:color w:val="auto"/>
        </w:rPr>
        <w:t>”) in which the service occurred, prorated for any partial calendar quarter of service (based on the number of days served in the applicable position divided by the total number of days in the quarter). All annual cash retainers will be vested upon payment.</w:t>
      </w:r>
    </w:p>
    <w:p>
      <w:pPr>
        <w:spacing w:after="0" w:line="200" w:lineRule="exact"/>
        <w:rPr>
          <w:sz w:val="20"/>
          <w:szCs w:val="20"/>
          <w:color w:val="auto"/>
        </w:rPr>
      </w:pPr>
    </w:p>
    <w:p>
      <w:pPr>
        <w:spacing w:after="0" w:line="215" w:lineRule="exact"/>
        <w:rPr>
          <w:sz w:val="20"/>
          <w:szCs w:val="20"/>
          <w:color w:val="auto"/>
        </w:rPr>
      </w:pPr>
    </w:p>
    <w:p>
      <w:pPr>
        <w:ind w:left="320" w:hanging="314"/>
        <w:spacing w:after="0"/>
        <w:tabs>
          <w:tab w:leader="none" w:pos="32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Compensation</w:t>
      </w:r>
    </w:p>
    <w:p>
      <w:pPr>
        <w:spacing w:after="0" w:line="229" w:lineRule="exact"/>
        <w:rPr>
          <w:sz w:val="20"/>
          <w:szCs w:val="20"/>
          <w:color w:val="auto"/>
        </w:rPr>
      </w:pPr>
    </w:p>
    <w:p>
      <w:pPr>
        <w:ind w:firstLine="215"/>
        <w:spacing w:after="0" w:line="282" w:lineRule="auto"/>
        <w:rPr>
          <w:sz w:val="20"/>
          <w:szCs w:val="20"/>
          <w:color w:val="auto"/>
        </w:rPr>
      </w:pPr>
      <w:r>
        <w:rPr>
          <w:rFonts w:ascii="Times New Roman" w:cs="Times New Roman" w:eastAsia="Times New Roman" w:hAnsi="Times New Roman"/>
          <w:sz w:val="18"/>
          <w:szCs w:val="18"/>
          <w:color w:val="auto"/>
        </w:rPr>
        <w:t>Each Non-Employee Director will be eligible to receive the equity compensation set forth below (as applicable). All such equity compensation will be granted under the Plan or any successor equity incentive plan.</w:t>
      </w:r>
    </w:p>
    <w:p>
      <w:pPr>
        <w:spacing w:after="0" w:line="158" w:lineRule="exact"/>
        <w:rPr>
          <w:sz w:val="20"/>
          <w:szCs w:val="20"/>
          <w:color w:val="auto"/>
        </w:rPr>
      </w:pPr>
    </w:p>
    <w:p>
      <w:pPr>
        <w:ind w:left="640" w:hanging="634"/>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Elections to Receive an Equity Grant in lieu of Quarterly Cash Retainer.</w:t>
      </w:r>
    </w:p>
    <w:p>
      <w:pPr>
        <w:spacing w:after="0" w:line="225" w:lineRule="exact"/>
        <w:rPr>
          <w:rFonts w:ascii="Times New Roman" w:cs="Times New Roman" w:eastAsia="Times New Roman" w:hAnsi="Times New Roman"/>
          <w:sz w:val="18"/>
          <w:szCs w:val="18"/>
          <w:b w:val="1"/>
          <w:bCs w:val="1"/>
          <w:color w:val="auto"/>
        </w:rPr>
      </w:pPr>
    </w:p>
    <w:p>
      <w:pPr>
        <w:jc w:val="both"/>
        <w:ind w:firstLine="213"/>
        <w:spacing w:after="0" w:line="254" w:lineRule="auto"/>
        <w:tabs>
          <w:tab w:leader="none" w:pos="582"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Retainer Grant</w:t>
      </w:r>
      <w:r>
        <w:rPr>
          <w:rFonts w:ascii="Times New Roman" w:cs="Times New Roman" w:eastAsia="Times New Roman" w:hAnsi="Times New Roman"/>
          <w:sz w:val="18"/>
          <w:szCs w:val="18"/>
          <w:color w:val="auto"/>
        </w:rPr>
        <w:t>. Each Non-Employee Director may elect to convert all of his or her cash compensation under Section 1 for any calendar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into an RSU Award (each, a “</w:t>
      </w:r>
      <w:r>
        <w:rPr>
          <w:rFonts w:ascii="Times New Roman" w:cs="Times New Roman" w:eastAsia="Times New Roman" w:hAnsi="Times New Roman"/>
          <w:sz w:val="18"/>
          <w:szCs w:val="18"/>
          <w:b w:val="1"/>
          <w:bCs w:val="1"/>
          <w:i w:val="1"/>
          <w:iCs w:val="1"/>
          <w:color w:val="auto"/>
        </w:rPr>
        <w:t>Retainer Grant</w:t>
      </w:r>
      <w:r>
        <w:rPr>
          <w:rFonts w:ascii="Times New Roman" w:cs="Times New Roman" w:eastAsia="Times New Roman" w:hAnsi="Times New Roman"/>
          <w:sz w:val="18"/>
          <w:szCs w:val="18"/>
          <w:color w:val="auto"/>
        </w:rPr>
        <w:t>”) in accordance with this Section 2(a) (such election, a “</w:t>
      </w:r>
      <w:r>
        <w:rPr>
          <w:rFonts w:ascii="Times New Roman" w:cs="Times New Roman" w:eastAsia="Times New Roman" w:hAnsi="Times New Roman"/>
          <w:sz w:val="18"/>
          <w:szCs w:val="18"/>
          <w:b w:val="1"/>
          <w:bCs w:val="1"/>
          <w:i w:val="1"/>
          <w:iCs w:val="1"/>
          <w:color w:val="auto"/>
        </w:rPr>
        <w:t>Retainer Grant Election</w:t>
      </w:r>
      <w:r>
        <w:rPr>
          <w:rFonts w:ascii="Times New Roman" w:cs="Times New Roman" w:eastAsia="Times New Roman" w:hAnsi="Times New Roman"/>
          <w:sz w:val="18"/>
          <w:szCs w:val="18"/>
          <w:color w:val="auto"/>
        </w:rPr>
        <w:t>”). If a Non-Employee Director timely makes a Retainer Grant Election pursuant to Section 2(a)(ii), on the first business day following the applicable Retainer Accrual Date to which the Retainer Grant Election applies, and without any further action by the Board or Compensation Committee, such Non-Employee Director automatically will be granted an RSU Award covering a number of shares of the Company’s Class A Common Stock equal to (A) the aggregate amount of cash compensation otherwise payable to such Non-Employee Director under Section 1 on the Retainer Accrual Date to which the Retainer Grant Election applies divided by (B) the closing sales price per share of the Company’s Class A Common Stock on the applicable Retainer Accrual Date (or, if such date is not a business day, on the first business day thereafter), rounded down to the nearest whole share. Each Retainer Grant will be fully vested on the applicable grant date.</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887" w:right="339" w:bottom="1440" w:gutter="0" w:footer="0" w:header="0"/>
        </w:sectPr>
      </w:pPr>
    </w:p>
    <w:bookmarkStart w:id="67" w:name="page68"/>
    <w:bookmarkEnd w:id="67"/>
    <w:p>
      <w:pPr>
        <w:jc w:val="both"/>
        <w:ind w:firstLine="213"/>
        <w:spacing w:after="0" w:line="256" w:lineRule="auto"/>
        <w:tabs>
          <w:tab w:leader="none" w:pos="645"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Election Mechanics</w:t>
      </w:r>
      <w:r>
        <w:rPr>
          <w:rFonts w:ascii="Times New Roman" w:cs="Times New Roman" w:eastAsia="Times New Roman" w:hAnsi="Times New Roman"/>
          <w:sz w:val="18"/>
          <w:szCs w:val="18"/>
          <w:color w:val="auto"/>
        </w:rPr>
        <w:t>. Each Retainer Grant Election must be submitted to the Company’s General Counsel in writing at least 10 business days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advance of the applicable Retainer Accrual Date, and subject to any other conditions specified by the Board or Compensation Committee. A Non-Employee Director may only make a Retainer Grant Election during a period in which the Company is not in a quarterly or special blackout period and the Non-Employee Director is not aware of any material non-public information. Once a Retainer Grant Election is properly submitted, it will be in effect for the next Retainer Accrual Date and will remain in effect for successive Retainer Accrual Dates unless and until the Non-Employee Director revokes it in accordance with Section 2(a)(iii) below. A Non-Employee Director who fails to make a timely Retainer Grant Election will not receive a Retainer Grant and instead will receive the cash compensation under Section 1.</w:t>
      </w:r>
    </w:p>
    <w:p>
      <w:pPr>
        <w:spacing w:after="0" w:line="183" w:lineRule="exact"/>
        <w:rPr>
          <w:sz w:val="20"/>
          <w:szCs w:val="20"/>
          <w:color w:val="auto"/>
        </w:rPr>
      </w:pPr>
    </w:p>
    <w:p>
      <w:pPr>
        <w:jc w:val="both"/>
        <w:ind w:firstLine="186"/>
        <w:spacing w:after="0" w:line="257" w:lineRule="auto"/>
        <w:tabs>
          <w:tab w:leader="none" w:pos="628"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Revocation Mechanics</w:t>
      </w:r>
      <w:r>
        <w:rPr>
          <w:rFonts w:ascii="Times New Roman" w:cs="Times New Roman" w:eastAsia="Times New Roman" w:hAnsi="Times New Roman"/>
          <w:sz w:val="18"/>
          <w:szCs w:val="18"/>
          <w:color w:val="auto"/>
        </w:rPr>
        <w:t>. The revocation of any Retainer Grant Election must be submitted to the Company’s General Counsel in writing at least 10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days in advance of the applicable Retainer Accrual Date, and subject to any other conditions specified by the Board or Compensation Committee. A Non-Employee Director may only revoke a Retainer Grant Election during a period in which the Company is not in a quarterly or special blackout period and the Non-Employee Director is not aware of any material non-public information. Once the revocation of the Retainer Grant Election is properly submitted, it will be in effect for the next Retainer Accrual Date and will remain in effect for successive Retainer Accrual Dates unless and until the Non-Employee Director makes a new Retainer Grant Election in accordance with Section 2(a)(ii).</w:t>
      </w:r>
    </w:p>
    <w:p>
      <w:pPr>
        <w:spacing w:after="0" w:line="182" w:lineRule="exact"/>
        <w:rPr>
          <w:rFonts w:ascii="Times New Roman" w:cs="Times New Roman" w:eastAsia="Times New Roman" w:hAnsi="Times New Roman"/>
          <w:sz w:val="18"/>
          <w:szCs w:val="18"/>
          <w:b w:val="1"/>
          <w:bCs w:val="1"/>
          <w:color w:val="auto"/>
        </w:rPr>
      </w:pPr>
    </w:p>
    <w:p>
      <w:pPr>
        <w:ind w:left="640" w:hanging="634"/>
        <w:spacing w:after="0"/>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Automatic Equity Grants.</w:t>
      </w:r>
    </w:p>
    <w:p>
      <w:pPr>
        <w:spacing w:after="0" w:line="225" w:lineRule="exact"/>
        <w:rPr>
          <w:sz w:val="20"/>
          <w:szCs w:val="20"/>
          <w:color w:val="auto"/>
        </w:rPr>
      </w:pPr>
    </w:p>
    <w:p>
      <w:pPr>
        <w:jc w:val="both"/>
        <w:ind w:firstLine="6"/>
        <w:spacing w:after="0" w:line="256" w:lineRule="auto"/>
        <w:tabs>
          <w:tab w:leader="none" w:pos="641"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Initial Grant for New Directors. </w:t>
      </w:r>
      <w:r>
        <w:rPr>
          <w:rFonts w:ascii="Times New Roman" w:cs="Times New Roman" w:eastAsia="Times New Roman" w:hAnsi="Times New Roman"/>
          <w:sz w:val="18"/>
          <w:szCs w:val="18"/>
          <w:color w:val="auto"/>
        </w:rPr>
        <w:t>Without any further action by the Board or Compensation Committee, each person who is elected or appointed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first time to be a Non-Employee Director will automatically, upon the date of his or her initial election or appointment to be a Non-Employee Director (or, if such date is not a business day, the first business day thereafter), be granted an RSU Award covering a number of shares of the Company’s Class A Common Stock equal to (A) $600,000 divided by (B) the closing sales price per share of the Company’s Class A Common Stock on the applicable grant date, rounded down to the nearest whole share (each, an “</w:t>
      </w:r>
      <w:r>
        <w:rPr>
          <w:rFonts w:ascii="Times New Roman" w:cs="Times New Roman" w:eastAsia="Times New Roman" w:hAnsi="Times New Roman"/>
          <w:sz w:val="18"/>
          <w:szCs w:val="18"/>
          <w:b w:val="1"/>
          <w:bCs w:val="1"/>
          <w:i w:val="1"/>
          <w:iCs w:val="1"/>
          <w:color w:val="auto"/>
        </w:rPr>
        <w:t>Initial Grant</w:t>
      </w:r>
      <w:r>
        <w:rPr>
          <w:rFonts w:ascii="Times New Roman" w:cs="Times New Roman" w:eastAsia="Times New Roman" w:hAnsi="Times New Roman"/>
          <w:sz w:val="18"/>
          <w:szCs w:val="18"/>
          <w:color w:val="auto"/>
        </w:rPr>
        <w:t>”). Each Initial Grant will vest in a series of three successive equal annual installments over the three-year period measured from the applicable grant date, subject to the Non-Employee Director’s Continuous Service through each applicable vesting date.</w:t>
      </w:r>
    </w:p>
    <w:p>
      <w:pPr>
        <w:spacing w:after="0" w:line="182" w:lineRule="exact"/>
        <w:rPr>
          <w:rFonts w:ascii="Times New Roman" w:cs="Times New Roman" w:eastAsia="Times New Roman" w:hAnsi="Times New Roman"/>
          <w:sz w:val="18"/>
          <w:szCs w:val="18"/>
          <w:b w:val="1"/>
          <w:bCs w:val="1"/>
          <w:color w:val="auto"/>
        </w:rPr>
      </w:pPr>
    </w:p>
    <w:p>
      <w:pPr>
        <w:jc w:val="both"/>
        <w:ind w:firstLine="6"/>
        <w:spacing w:after="0" w:line="256" w:lineRule="auto"/>
        <w:tabs>
          <w:tab w:leader="none" w:pos="637"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Annual Grant. </w:t>
      </w:r>
      <w:r>
        <w:rPr>
          <w:rFonts w:ascii="Times New Roman" w:cs="Times New Roman" w:eastAsia="Times New Roman" w:hAnsi="Times New Roman"/>
          <w:sz w:val="18"/>
          <w:szCs w:val="18"/>
          <w:color w:val="auto"/>
        </w:rPr>
        <w:t>Without any further action by the Board or Compensation Committee, at the close of business on the date of each annual meeting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stockholders of the Company (each, an “</w:t>
      </w:r>
      <w:r>
        <w:rPr>
          <w:rFonts w:ascii="Times New Roman" w:cs="Times New Roman" w:eastAsia="Times New Roman" w:hAnsi="Times New Roman"/>
          <w:sz w:val="18"/>
          <w:szCs w:val="18"/>
          <w:b w:val="1"/>
          <w:bCs w:val="1"/>
          <w:i w:val="1"/>
          <w:iCs w:val="1"/>
          <w:color w:val="auto"/>
        </w:rPr>
        <w:t>Annual Meeting</w:t>
      </w:r>
      <w:r>
        <w:rPr>
          <w:rFonts w:ascii="Times New Roman" w:cs="Times New Roman" w:eastAsia="Times New Roman" w:hAnsi="Times New Roman"/>
          <w:sz w:val="18"/>
          <w:szCs w:val="18"/>
          <w:color w:val="auto"/>
        </w:rPr>
        <w:t>”), each person who is then a Non-Employee Director will automatically be granted an RSU Award (each, an “</w:t>
      </w:r>
      <w:r>
        <w:rPr>
          <w:rFonts w:ascii="Times New Roman" w:cs="Times New Roman" w:eastAsia="Times New Roman" w:hAnsi="Times New Roman"/>
          <w:sz w:val="18"/>
          <w:szCs w:val="18"/>
          <w:b w:val="1"/>
          <w:bCs w:val="1"/>
          <w:i w:val="1"/>
          <w:iCs w:val="1"/>
          <w:color w:val="auto"/>
        </w:rPr>
        <w:t>Annual Grant</w:t>
      </w:r>
      <w:r>
        <w:rPr>
          <w:rFonts w:ascii="Times New Roman" w:cs="Times New Roman" w:eastAsia="Times New Roman" w:hAnsi="Times New Roman"/>
          <w:sz w:val="18"/>
          <w:szCs w:val="18"/>
          <w:color w:val="auto"/>
        </w:rPr>
        <w:t>”) covering a number of shares of the Company’s Class A Common Stock equal to (A) $250,000 divided by (B) the closing sales price per share of the Company’s Class A Common Stock on the date of the applicable Annual Meeting (or, if such date is not a business day, the first business day thereafter), rounded down to the nearest whole share. Each Annual Grant will fully vest on the earlier of (1) the first anniversary of the applicable grant date and (2) the date of the first Annual Meeting following the applicable grant date, subject to the Non-Employee Director’s Continuous Service through the vesting date.</w:t>
      </w:r>
    </w:p>
    <w:p>
      <w:pPr>
        <w:spacing w:after="0" w:line="183" w:lineRule="exact"/>
        <w:rPr>
          <w:sz w:val="20"/>
          <w:szCs w:val="20"/>
          <w:color w:val="auto"/>
        </w:rPr>
      </w:pPr>
    </w:p>
    <w:p>
      <w:pPr>
        <w:jc w:val="both"/>
        <w:ind w:firstLine="6"/>
        <w:spacing w:after="0" w:line="268" w:lineRule="auto"/>
        <w:tabs>
          <w:tab w:leader="none" w:pos="643"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Notwithstanding the foregoing, for each Non-Employee Director who remains in Continuous Service with the Company until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immediately prior to the closing of a Change in Control, the shares subject to his or her then-outstanding equity awards that were granted pursuant to the Policy (and any Existing Equity Awards) will become fully vested immediately prior to the closing of such Change in Control.</w:t>
      </w:r>
    </w:p>
    <w:p>
      <w:pPr>
        <w:spacing w:after="0" w:line="170" w:lineRule="exact"/>
        <w:rPr>
          <w:rFonts w:ascii="Times New Roman" w:cs="Times New Roman" w:eastAsia="Times New Roman" w:hAnsi="Times New Roman"/>
          <w:sz w:val="18"/>
          <w:szCs w:val="18"/>
          <w:b w:val="1"/>
          <w:bCs w:val="1"/>
          <w:color w:val="auto"/>
        </w:rPr>
      </w:pPr>
    </w:p>
    <w:p>
      <w:pPr>
        <w:ind w:firstLine="6"/>
        <w:spacing w:after="0" w:line="286" w:lineRule="auto"/>
        <w:tabs>
          <w:tab w:leader="none" w:pos="637"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Remaining Terms. </w:t>
      </w:r>
      <w:r>
        <w:rPr>
          <w:rFonts w:ascii="Times New Roman" w:cs="Times New Roman" w:eastAsia="Times New Roman" w:hAnsi="Times New Roman"/>
          <w:sz w:val="18"/>
          <w:szCs w:val="18"/>
          <w:color w:val="auto"/>
        </w:rPr>
        <w:t>The remaining terms and conditions of each RSU Award will be as set forth in the Plan and the Company’s standard RSU</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Grant Notice and RSU Award Agreement, in the form adopted from time to time by the Board or Compensation Committee.</w:t>
      </w:r>
    </w:p>
    <w:p>
      <w:pPr>
        <w:spacing w:after="0" w:line="15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Non-Employee Director Compensation Limit</w:t>
      </w:r>
    </w:p>
    <w:p>
      <w:pPr>
        <w:spacing w:after="0" w:line="256" w:lineRule="exact"/>
        <w:rPr>
          <w:sz w:val="20"/>
          <w:szCs w:val="20"/>
          <w:color w:val="auto"/>
        </w:rPr>
      </w:pPr>
    </w:p>
    <w:p>
      <w:pPr>
        <w:ind w:firstLine="188"/>
        <w:spacing w:after="0" w:line="282" w:lineRule="auto"/>
        <w:rPr>
          <w:sz w:val="20"/>
          <w:szCs w:val="20"/>
          <w:color w:val="auto"/>
        </w:rPr>
      </w:pPr>
      <w:r>
        <w:rPr>
          <w:rFonts w:ascii="Times New Roman" w:cs="Times New Roman" w:eastAsia="Times New Roman" w:hAnsi="Times New Roman"/>
          <w:sz w:val="18"/>
          <w:szCs w:val="18"/>
          <w:color w:val="auto"/>
        </w:rPr>
        <w:t>Notwithstanding anything herein to the contrary, the cash compensation and equity compensation that each Non-Employee Director is eligible to receive under this Policy shall be subject to the limits set forth in Section 3(d) of the Plan.</w:t>
      </w:r>
    </w:p>
    <w:p>
      <w:pPr>
        <w:spacing w:after="0" w:line="18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Ability to Decline Compensation</w:t>
      </w:r>
    </w:p>
    <w:p>
      <w:pPr>
        <w:spacing w:after="0" w:line="256" w:lineRule="exact"/>
        <w:rPr>
          <w:sz w:val="20"/>
          <w:szCs w:val="20"/>
          <w:color w:val="auto"/>
        </w:rPr>
      </w:pPr>
    </w:p>
    <w:p>
      <w:pPr>
        <w:ind w:right="20" w:hanging="1"/>
        <w:spacing w:after="0" w:line="282" w:lineRule="auto"/>
        <w:rPr>
          <w:sz w:val="20"/>
          <w:szCs w:val="20"/>
          <w:color w:val="auto"/>
        </w:rPr>
      </w:pPr>
      <w:r>
        <w:rPr>
          <w:rFonts w:ascii="Times New Roman" w:cs="Times New Roman" w:eastAsia="Times New Roman" w:hAnsi="Times New Roman"/>
          <w:sz w:val="18"/>
          <w:szCs w:val="18"/>
          <w:color w:val="auto"/>
        </w:rPr>
        <w:t>A Non-Employee Director may decline all or any portion of his or her compensation under the Policy by giving notice to the Company prior to the date cash is to be paid or equity awards are to be granted, as the case may be.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887" w:right="339" w:bottom="1440" w:gutter="0" w:footer="0" w:header="0"/>
        </w:sectPr>
      </w:pPr>
    </w:p>
    <w:bookmarkStart w:id="68" w:name="page69"/>
    <w:bookmarkEnd w:id="68"/>
    <w:p>
      <w:pPr>
        <w:ind w:left="320" w:hanging="314"/>
        <w:spacing w:after="0"/>
        <w:tabs>
          <w:tab w:leader="none" w:pos="32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Expenses</w:t>
      </w:r>
    </w:p>
    <w:p>
      <w:pPr>
        <w:spacing w:after="0" w:line="256" w:lineRule="exact"/>
        <w:rPr>
          <w:sz w:val="20"/>
          <w:szCs w:val="20"/>
          <w:color w:val="auto"/>
        </w:rPr>
      </w:pPr>
    </w:p>
    <w:p>
      <w:pPr>
        <w:jc w:val="both"/>
        <w:ind w:hanging="1"/>
        <w:spacing w:after="0" w:line="266" w:lineRule="auto"/>
        <w:rPr>
          <w:sz w:val="20"/>
          <w:szCs w:val="20"/>
          <w:color w:val="auto"/>
        </w:rPr>
      </w:pPr>
      <w:r>
        <w:rPr>
          <w:rFonts w:ascii="Times New Roman" w:cs="Times New Roman" w:eastAsia="Times New Roman" w:hAnsi="Times New Roman"/>
          <w:sz w:val="18"/>
          <w:szCs w:val="18"/>
          <w:color w:val="auto"/>
        </w:rPr>
        <w:t>The Company will reimburse each Non-Employee Director for ordinary, necessary and reasonable out-of-pocket travel expenses to cover in-person attendance at and participation in Board and committee meetings; provided, that the Non-Employee Director timely submits to the Company appropriate documentation substantiating such expenses in accordance with the Company’s travel and expense policy, as in effect from time to time.</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887"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Certification by the Chief Executive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Olivier Pomel, certify that:</w:t>
      </w:r>
    </w:p>
    <w:p>
      <w:pPr>
        <w:spacing w:after="0" w:line="225" w:lineRule="exact"/>
        <w:rPr>
          <w:sz w:val="20"/>
          <w:szCs w:val="20"/>
          <w:color w:val="auto"/>
        </w:rPr>
      </w:pPr>
    </w:p>
    <w:p>
      <w:pPr>
        <w:ind w:left="580" w:hanging="572"/>
        <w:spacing w:after="0"/>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March 31, 2026;</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20"/>
        <w:spacing w:after="0"/>
        <w:tabs>
          <w:tab w:leader="none" w:pos="5840" w:val="left"/>
          <w:tab w:leader="none" w:pos="7100" w:val="left"/>
        </w:tabs>
        <w:rPr>
          <w:sz w:val="20"/>
          <w:szCs w:val="20"/>
          <w:color w:val="auto"/>
        </w:rPr>
      </w:pPr>
      <w:r>
        <w:rPr>
          <w:rFonts w:ascii="Times New Roman" w:cs="Times New Roman" w:eastAsia="Times New Roman" w:hAnsi="Times New Roman"/>
          <w:sz w:val="18"/>
          <w:szCs w:val="18"/>
          <w:color w:val="auto"/>
        </w:rPr>
        <w:t>Date: May 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Olivier Pomel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4017010</wp:posOffset>
            </wp:positionH>
            <wp:positionV relativeFrom="paragraph">
              <wp:posOffset>34290</wp:posOffset>
            </wp:positionV>
            <wp:extent cx="310324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extLst>
                        <a:ext uri="{28A0092B-C50C-407E-A947-70E740481C1C}"/>
                      </a:extLst>
                    </a:blip>
                    <a:srcRect/>
                    <a:stretch>
                      <a:fillRect/>
                    </a:stretch>
                  </pic:blipFill>
                  <pic:spPr bwMode="auto">
                    <a:xfrm>
                      <a:off x="0" y="0"/>
                      <a:ext cx="3103245" cy="8255"/>
                    </a:xfrm>
                    <a:prstGeom prst="rect">
                      <a:avLst/>
                    </a:prstGeom>
                    <a:noFill/>
                  </pic:spPr>
                </pic:pic>
              </a:graphicData>
            </a:graphic>
          </wp:anchor>
        </w:drawing>
      </w:r>
    </w:p>
    <w:p>
      <w:pPr>
        <w:spacing w:after="0" w:line="5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Name:</w:t>
      </w:r>
      <w:r>
        <w:rPr>
          <w:sz w:val="20"/>
          <w:szCs w:val="20"/>
          <w:color w:val="auto"/>
        </w:rPr>
        <w:tab/>
      </w:r>
      <w:r>
        <w:rPr>
          <w:rFonts w:ascii="Times New Roman" w:cs="Times New Roman" w:eastAsia="Times New Roman" w:hAnsi="Times New Roman"/>
          <w:sz w:val="18"/>
          <w:szCs w:val="18"/>
          <w:color w:val="auto"/>
        </w:rPr>
        <w:t>Olivier Pomel</w:t>
      </w:r>
    </w:p>
    <w:p>
      <w:pPr>
        <w:spacing w:after="0" w:line="63" w:lineRule="exact"/>
        <w:rPr>
          <w:sz w:val="20"/>
          <w:szCs w:val="20"/>
          <w:color w:val="auto"/>
        </w:rPr>
      </w:pPr>
    </w:p>
    <w:p>
      <w:pPr>
        <w:ind w:left="6340"/>
        <w:spacing w:after="0"/>
        <w:tabs>
          <w:tab w:leader="none" w:pos="7100" w:val="left"/>
        </w:tabs>
        <w:rPr>
          <w:sz w:val="20"/>
          <w:szCs w:val="20"/>
          <w:color w:val="auto"/>
        </w:rPr>
      </w:pPr>
      <w:r>
        <w:rPr>
          <w:rFonts w:ascii="Times New Roman" w:cs="Times New Roman" w:eastAsia="Times New Roman" w:hAnsi="Times New Roman"/>
          <w:sz w:val="18"/>
          <w:szCs w:val="18"/>
          <w:b w:val="1"/>
          <w:bCs w:val="1"/>
          <w:color w:val="auto"/>
        </w:rPr>
        <w:t>Title:</w:t>
      </w:r>
      <w:r>
        <w:rPr>
          <w:sz w:val="20"/>
          <w:szCs w:val="20"/>
          <w:color w:val="auto"/>
        </w:rPr>
        <w:tab/>
      </w:r>
      <w:r>
        <w:rPr>
          <w:rFonts w:ascii="Times New Roman" w:cs="Times New Roman" w:eastAsia="Times New Roman" w:hAnsi="Times New Roman"/>
          <w:sz w:val="18"/>
          <w:szCs w:val="18"/>
          <w:color w:val="auto"/>
        </w:rPr>
        <w:t>Chief Executive Officer and Director</w:t>
      </w:r>
    </w:p>
    <w:p>
      <w:pPr>
        <w:spacing w:after="0" w:line="65"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887"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Certification by the Chief Financial Officer pursuant to</w:t>
      </w:r>
    </w:p>
    <w:p>
      <w:pPr>
        <w:spacing w:after="0" w:line="31"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Obstler, certify that:</w:t>
      </w:r>
    </w:p>
    <w:p>
      <w:pPr>
        <w:spacing w:after="0" w:line="225" w:lineRule="exact"/>
        <w:rPr>
          <w:sz w:val="20"/>
          <w:szCs w:val="20"/>
          <w:color w:val="auto"/>
        </w:rPr>
      </w:pPr>
    </w:p>
    <w:p>
      <w:pPr>
        <w:ind w:left="580" w:hanging="572"/>
        <w:spacing w:after="0"/>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Datadog, Inc. (the “registrant”) for the fiscal quarter ended March 31, 2026;</w:t>
      </w:r>
    </w:p>
    <w:p>
      <w:pPr>
        <w:spacing w:after="0" w:line="225" w:lineRule="exact"/>
        <w:rPr>
          <w:rFonts w:ascii="Times New Roman" w:cs="Times New Roman" w:eastAsia="Times New Roman" w:hAnsi="Times New Roman"/>
          <w:sz w:val="18"/>
          <w:szCs w:val="18"/>
          <w:color w:val="auto"/>
        </w:rPr>
      </w:pPr>
    </w:p>
    <w:p>
      <w:pPr>
        <w:jc w:val="both"/>
        <w:ind w:left="580" w:right="200" w:hanging="572"/>
        <w:spacing w:after="0" w:line="266" w:lineRule="auto"/>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80" w:right="160" w:hanging="572"/>
        <w:spacing w:after="0" w:line="282" w:lineRule="auto"/>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80" w:right="220" w:hanging="572"/>
        <w:spacing w:after="0" w:line="282" w:lineRule="auto"/>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3" w:lineRule="exact"/>
        <w:rPr>
          <w:rFonts w:ascii="Times New Roman" w:cs="Times New Roman" w:eastAsia="Times New Roman" w:hAnsi="Times New Roman"/>
          <w:sz w:val="18"/>
          <w:szCs w:val="18"/>
          <w:color w:val="auto"/>
        </w:rPr>
      </w:pPr>
    </w:p>
    <w:p>
      <w:pPr>
        <w:ind w:left="1140" w:right="80" w:hanging="565"/>
        <w:spacing w:after="0" w:line="266" w:lineRule="auto"/>
        <w:tabs>
          <w:tab w:leader="none" w:pos="113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140" w:right="200" w:hanging="565"/>
        <w:spacing w:after="0" w:line="266" w:lineRule="auto"/>
        <w:tabs>
          <w:tab w:leader="none" w:pos="112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140" w:right="380" w:hanging="565"/>
        <w:spacing w:after="0" w:line="312" w:lineRule="auto"/>
        <w:tabs>
          <w:tab w:leader="none" w:pos="1131"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140" w:right="100" w:hanging="565"/>
        <w:spacing w:after="0" w:line="266" w:lineRule="auto"/>
        <w:tabs>
          <w:tab w:leader="none" w:pos="112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80" w:right="180" w:hanging="572"/>
        <w:spacing w:after="0" w:line="282" w:lineRule="auto"/>
        <w:tabs>
          <w:tab w:leader="none" w:pos="5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140" w:right="620" w:hanging="565"/>
        <w:spacing w:after="0" w:line="282" w:lineRule="auto"/>
        <w:tabs>
          <w:tab w:leader="none" w:pos="1131"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140" w:right="340" w:hanging="565"/>
        <w:spacing w:after="0" w:line="282" w:lineRule="auto"/>
        <w:tabs>
          <w:tab w:leader="none" w:pos="112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ectPr>
          <w:pgSz w:w="11900" w:h="16838" w:orient="portrait"/>
          <w:cols w:equalWidth="0" w:num="1">
            <w:col w:w="11240"/>
          </w:cols>
          <w:pgMar w:left="320" w:top="887"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 Olivier Pomel, certify, pursuant to 18 U.S.C. Section 1350, as adopted pursuant to Section 906 of the Sarbanes-Oxley Act of 2002, that the Quarterly Report on Form 10-Q of Datadog, Inc. for the fiscal quarter ended March 31, 2026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Olivier Pomel</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Olivier Pomel</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3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p>
      <w:pPr>
        <w:sectPr>
          <w:pgSz w:w="11900" w:h="16838" w:orient="portrait"/>
          <w:cols w:equalWidth="0" w:num="1">
            <w:col w:w="11240"/>
          </w:cols>
          <w:pgMar w:left="320" w:top="887"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I, David Obstler, certify, pursuant to 18 U.S.C. Section 1350, as adopted pursuant to Section 906 of the Sarbanes-Oxley Act of 2002, that the Quarterly Report on Form 10-Q of Datadog, Inc. for the fiscal quarter ended March 31, 2026 fully complies with the requirements of Section 13(a) or 15(d) of the Securities Exchange Act of 1934, as amended, and that information contained in such Quarterly Report on Form 10-Q fairly presents, in all material respects, the financial condition and results of operations of Datadog, Inc.</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May 7, 2026</w:t>
            </w:r>
          </w:p>
        </w:tc>
        <w:tc>
          <w:tcPr>
            <w:tcW w:w="3360" w:type="dxa"/>
            <w:vAlign w:val="bottom"/>
            <w:gridSpan w:val="2"/>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 David Obstler</w:t>
            </w:r>
          </w:p>
        </w:tc>
      </w:tr>
      <w:tr>
        <w:trPr>
          <w:trHeight w:val="214"/>
        </w:trPr>
        <w:tc>
          <w:tcPr>
            <w:tcW w:w="36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6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4240" w:type="dxa"/>
            <w:vAlign w:val="bottom"/>
            <w:tcBorders>
              <w:top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David Obstler</w:t>
            </w:r>
          </w:p>
        </w:tc>
      </w:tr>
      <w:tr>
        <w:trPr>
          <w:trHeight w:val="232"/>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6"/>
        </w:trPr>
        <w:tc>
          <w:tcPr>
            <w:tcW w:w="36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r>
    </w:tbl>
    <w:p>
      <w:pPr>
        <w:spacing w:after="0" w:line="27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Quarterly Report, is not deemed filed with the Securities and Exchange Commission and is not to be incorporated by reference into any filing of Datadog, Inc. under the Securities Act of 1933, as amended, or the Securities Exchange Act of 1934, as amended (whether made before or after the date of the Quarterly Report on Form 10-Q), irrespective of any general incorporation language contained in such filing.</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1)"/>
      <w:numFmt w:val="decimal"/>
      <w:start w:val="1"/>
    </w:lvl>
  </w:abstractNum>
  <w:abstractNum w:abstractNumId="4">
    <w:nsid w:val="721DA317"/>
    <w:multiLevelType w:val="hybridMultilevel"/>
    <w:lvl w:ilvl="0">
      <w:lvlJc w:val="left"/>
      <w:lvlText w:val="%1)"/>
      <w:numFmt w:val="decimal"/>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1)"/>
      <w:numFmt w:val="decimal"/>
      <w:start w:val="2"/>
    </w:lvl>
  </w:abstractNum>
  <w:abstractNum w:abstractNumId="8">
    <w:nsid w:val="75A2A8D4"/>
    <w:multiLevelType w:val="hybridMultilevel"/>
    <w:lvl w:ilvl="0">
      <w:lvlJc w:val="left"/>
      <w:lvlText w:val="(%1)"/>
      <w:numFmt w:val="decimal"/>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lowerLetter"/>
      <w:start w:val="2"/>
    </w:lvl>
  </w:abstractNum>
  <w:abstractNum w:abstractNumId="24">
    <w:nsid w:val="6CEAF087"/>
    <w:multiLevelType w:val="hybridMultilevel"/>
    <w:lvl w:ilvl="0">
      <w:lvlJc w:val="left"/>
      <w:lvlText w:val="(%1)"/>
      <w:numFmt w:val="decimal"/>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1."/>
      <w:numFmt w:val="decimal"/>
      <w:start w:val="2"/>
    </w:lvl>
  </w:abstractNum>
  <w:abstractNum w:abstractNumId="30">
    <w:nsid w:val="5577F8E1"/>
    <w:multiLevelType w:val="hybridMultilevel"/>
    <w:lvl w:ilvl="0">
      <w:lvlJc w:val="left"/>
      <w:lvlText w:val="(%1)"/>
      <w:numFmt w:val="lowerLetter"/>
      <w:start w:val="1"/>
    </w:lvl>
    <w:lvl w:ilvl="1">
      <w:lvlJc w:val="left"/>
      <w:lvlText w:val="(%2)"/>
      <w:numFmt w:val="lowerLetter"/>
      <w:start w:val="9"/>
    </w:lvl>
  </w:abstractNum>
  <w:abstractNum w:abstractNumId="31">
    <w:nsid w:val="440BADFC"/>
    <w:multiLevelType w:val="hybridMultilevel"/>
    <w:lvl w:ilvl="0">
      <w:lvlJc w:val="left"/>
      <w:lvlText w:val="(%1)"/>
      <w:numFmt w:val="lowerRoman"/>
      <w:start w:val="2"/>
    </w:lvl>
  </w:abstractNum>
  <w:abstractNum w:abstractNumId="32">
    <w:nsid w:val="5072367"/>
    <w:multiLevelType w:val="hybridMultilevel"/>
    <w:lvl w:ilvl="0">
      <w:lvlJc w:val="left"/>
      <w:lvlText w:val="%1"/>
      <w:numFmt w:val="lowerLetter"/>
      <w:start w:val="1"/>
    </w:lvl>
    <w:lvl w:ilvl="1">
      <w:lvlJc w:val="left"/>
      <w:lvlText w:val="(%2)"/>
      <w:numFmt w:val="lowerLetter"/>
      <w:start w:val="61"/>
    </w:lvl>
  </w:abstractNum>
  <w:abstractNum w:abstractNumId="33">
    <w:nsid w:val="3804823E"/>
    <w:multiLevelType w:val="hybridMultilevel"/>
    <w:lvl w:ilvl="0">
      <w:lvlJc w:val="left"/>
      <w:lvlText w:val="(%1)"/>
      <w:numFmt w:val="lowerLetter"/>
      <w:start w:val="2"/>
    </w:lvl>
    <w:lvl w:ilvl="1">
      <w:lvlJc w:val="left"/>
      <w:lvlText w:val="%2"/>
      <w:numFmt w:val="lowerLetter"/>
      <w:start w:val="1"/>
    </w:lvl>
  </w:abstractNum>
  <w:abstractNum w:abstractNumId="34">
    <w:nsid w:val="77465F01"/>
    <w:multiLevelType w:val="hybridMultilevel"/>
    <w:lvl w:ilvl="0">
      <w:lvlJc w:val="left"/>
      <w:lvlText w:val="(%1)"/>
      <w:numFmt w:val="lowerRoman"/>
      <w:start w:val="1"/>
    </w:lvl>
  </w:abstractNum>
  <w:abstractNum w:abstractNumId="35">
    <w:nsid w:val="7724C67E"/>
    <w:multiLevelType w:val="hybridMultilevel"/>
    <w:lvl w:ilvl="0">
      <w:lvlJc w:val="left"/>
      <w:lvlText w:val="(%1)"/>
      <w:numFmt w:val="lowerLetter"/>
      <w:start w:val="3"/>
    </w:lvl>
  </w:abstractNum>
  <w:abstractNum w:abstractNumId="36">
    <w:nsid w:val="5C482A97"/>
    <w:multiLevelType w:val="hybridMultilevel"/>
    <w:lvl w:ilvl="0">
      <w:lvlJc w:val="left"/>
      <w:lvlText w:val="%1."/>
      <w:numFmt w:val="decimal"/>
      <w:start w:val="5"/>
    </w:lvl>
  </w:abstractNum>
  <w:abstractNum w:abstractNumId="37">
    <w:nsid w:val="2463B9EA"/>
    <w:multiLevelType w:val="hybridMultilevel"/>
    <w:lvl w:ilvl="0">
      <w:lvlJc w:val="left"/>
      <w:lvlText w:val="%1."/>
      <w:numFmt w:val="decimal"/>
      <w:start w:val="1"/>
    </w:lvl>
    <w:lvl w:ilvl="1">
      <w:lvlJc w:val="left"/>
      <w:lvlText w:val="%2)"/>
      <w:numFmt w:val="lowerLetter"/>
      <w:start w:val="1"/>
    </w:lvl>
  </w:abstractNum>
  <w:abstractNum w:abstractNumId="38">
    <w:nsid w:val="5E884AD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8" Type="http://schemas.openxmlformats.org/officeDocument/2006/relationships/image" Target="media/image107.png"/><Relationship Id="rId119" Type="http://schemas.openxmlformats.org/officeDocument/2006/relationships/image" Target="media/image108.png"/><Relationship Id="rId114" Type="http://schemas.openxmlformats.org/officeDocument/2006/relationships/hyperlink" Target="https://www.sec.gov/Archives/edgar/data/1561550/000119312526168261/d81305dex21.htm" TargetMode="External"/><Relationship Id="rId115" Type="http://schemas.openxmlformats.org/officeDocument/2006/relationships/hyperlink" Target="https://www.sec.gov/Archives/edgar/data/1561550/000156155025000162/datadog-amendedandrestated.htm" TargetMode="External"/><Relationship Id="rId116" Type="http://schemas.openxmlformats.org/officeDocument/2006/relationships/hyperlink" Target="https://www.sec.gov/Archives/edgar/data/1561550/000156155023000039/exhibit32-amendedandrestat.htm" TargetMode="External"/><Relationship Id="rId117" Type="http://schemas.openxmlformats.org/officeDocument/2006/relationships/hyperlink" Target="https://www.sec.gov/Archives/edgar/data/1561550/000119312526168261/d81305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2026-05-07T16:28:55Z</dcterms:created>
  <dcterms:modified xsi:type="dcterms:W3CDTF">2026-05-07T16:28:55Z</dcterms:modified>
</cp:coreProperties>
</file>