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Jacobson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 STE.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20,097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248.7894</w:t>
            </w: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564,035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16,651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252.1984</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547,384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253.0124</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544,220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17,867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256.2064</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526,353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1,645</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256.7448</w:t>
            </w:r>
            <w:r>
              <w:rPr>
                <w:rFonts w:ascii="Times;serif" w:hAnsi="Times;serif"/>
                <w:color w:val="008000"/>
                <w:position w:val="7"/>
                <w:sz w:val="16"/>
                <w:sz w:val="20"/>
                <w:shd w:fill="FFFFFF" w:val="clear"/>
              </w:rPr>
              <w:t>(6)</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524,708</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$248.50 to $249.165. Full information regarding the number of shares sold at each separate price can be furnished to the SEC staff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directly held by the Reporting Person through a trust of which he is a trustee and another estate planning trust having an independent trustee. The Reporting Person disclaims beneficial ownership of the shares held by such trusts for purposes of Section 16 of the Exchange Act, except to the extent of his pecuniary interest therein, if any. This report shall not be deemed an admission that the Reporting Person is a beneficial owner of such securities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$251.66 to $252.645. Full information regarding the number of shares sold at each separate price can be furnished to the SEC staff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$252.68 to $253.48. Full information regarding the number of shares sold at each separate price can be furnished to the SEC staff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$255.66 to $256.65. Full information regarding the number of shares sold at each separate price can be furnished to the SEC staff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prices ranging from $256.66 to $256.82. Full information regarding the number of shares sold at each separate price can be furnished to the SEC staff upon request.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Jacobson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3518"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4900</Characters>
  <CharactersWithSpaces>5734</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