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Olivier Pomel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Datadog,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620 8th Avenue, 45th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Datadog,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July 30,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0001561550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Pomel: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right="2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References to our prior comments refer to our letter dated July 10, 2019.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Affecting Our Performance, page 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2. Please explain further your inclusion of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usage and committed amounts in calculating the monthly run-rate (MRR). In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regard, tell us what each of these represent. With regards to additional usage, if a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 incurs additional usage in a given month and it is included in your MRR, please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that customer is contractually committed to similar levels of usage in the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months. If not, tell is how you determined that is appropriate to annualize the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related to such additional usage in determining your annualized run-rate.</w:t>
      </w:r>
    </w:p>
    <w:p>
      <w:pPr>
        <w:ind w:right="865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Olivier Pomel Datadog, Inc. August 9, 2019 Page 2</w:t>
      </w:r>
    </w:p>
    <w:p>
      <w:pPr>
        <w:ind w:right="2019" w:firstLine="8"/>
        <w:spacing w:after="0" w:line="238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disclosures in response to prior comment 4. Please clarify why you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chose to disclose that your dollar-based net retention rate has been over 130% for each of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last eight fiscal quarters when it appears that a higher data point may be more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relevant. Also, confirm that you intended to refer to a dollar-based net retention rate of</w:t>
      </w:r>
    </w:p>
    <w:p>
      <w:pPr>
        <w:ind w:right="2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146% as of June 30, 2019 and explain why such amount differs from the supplemental</w:t>
      </w:r>
    </w:p>
    <w:p>
      <w:pPr>
        <w:ind w:right="27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you provided. Lastly, to add context to your current measures, please revise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provide comparative data for each period presented.</w:t>
      </w:r>
    </w:p>
    <w:p>
      <w:pPr>
        <w:ind w:right="2439" w:firstLine="8"/>
        <w:spacing w:after="0" w:line="238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how you determine the ARR attrition for purposes of calculating the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dollar-based gross retention rate.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Eiko Yaoita Pyles, Staff Accountant, at (202) 551-3587 or Kathleen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Collins, Accounting Branch Chief, at (202) 551-3499 if you have questions regarding comments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financial statements and related matters. Please contact Edwin Kim,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309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551-3297 or Jan Woo, Legal Branch Chief, at (202) 551-3453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LastNameOlivier Pomel</w:t>
            </w:r>
          </w:p>
        </w:tc>
        <w:tc>
          <w:tcPr>
            <w:tcW w:w="274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Technologies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NameDatadog, Inc.</w:t>
            </w:r>
          </w:p>
        </w:tc>
        <w:tc>
          <w:tcPr>
            <w:tcW w:w="274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and 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9, 2019 Page 2</w:t>
            </w: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6659" w:firstLine="8"/>
        <w:spacing w:after="0" w:line="309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Nicole Brookshire, Esq.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202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2020-10-08T00:18:55Z</dcterms:created>
  <dcterms:modified xsi:type="dcterms:W3CDTF">2020-10-08T00:18:55Z</dcterms:modified>
</cp:coreProperties>
</file>