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3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8"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April 26, 2022, there were 283,106,980 shares of the registrant’s Class A common stock and 31,910,401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316"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19"/>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2022 and December 31,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2022 and 2021</w:t>
            </w:r>
          </w:p>
        </w:tc>
        <w:tc>
          <w:tcPr>
            <w:tcW w:w="1460" w:type="dxa"/>
            <w:vAlign w:val="bottom"/>
            <w:gridSpan w:val="4"/>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March 31, 2022 and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2022 and 2021</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2022 and 2021</w:t>
            </w:r>
          </w:p>
        </w:tc>
        <w:tc>
          <w:tcPr>
            <w:tcW w:w="740" w:type="dxa"/>
            <w:vAlign w:val="bottom"/>
            <w:gridSpan w:val="2"/>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420" w:type="dxa"/>
            <w:vAlign w:val="bottom"/>
            <w:gridSpan w:val="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tcPr>
          <w:p>
            <w:pPr>
              <w:spacing w:after="0"/>
              <w:rPr>
                <w:sz w:val="21"/>
                <w:szCs w:val="21"/>
                <w:color w:val="auto"/>
              </w:rPr>
            </w:pPr>
          </w:p>
        </w:tc>
        <w:tc>
          <w:tcPr>
            <w:tcW w:w="476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ongoing COVID-19 pandemic on our business, results of operations and financial condition.</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w:t>
      </w:r>
    </w:p>
    <w:p>
      <w:pPr>
        <w:spacing w:after="0" w:line="20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270,973</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1,283,473</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$3,425 and $2,997 as of</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31, 2022 and December 31, 2021,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268,824</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23,235</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24,443</w:t>
            </w: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2,003,671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1,870,948</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61,355</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292,176</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w:t>
            </w:r>
          </w:p>
        </w:tc>
      </w:tr>
      <w:tr>
        <w:trPr>
          <w:trHeight w:val="264"/>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2,529,015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2,380,794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111,284</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371,985</w:t>
            </w: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528,696</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52,106</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735,482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1,412,158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1,339,591</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March 31, 2022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283,004,354 and 263,339,585 shares issued and outstanding as of March 31, 2022 and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March 31, 2022 and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31,916,651 and 50,025,852 shares issued and outstanding as of March 31, 2022 and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1,197,136</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(152,106)</w:t>
            </w:r>
          </w:p>
        </w:tc>
      </w:tr>
      <w:tr>
        <w:trPr>
          <w:trHeight w:val="23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1,116,857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1,041,203</w:t>
            </w: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2,529,015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2,380,794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887" w:right="339" w:bottom="889"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889"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198,549</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46,666</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79,266</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164,713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313,456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306,034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(loss) per share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306,034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(14,603)</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5"/>
            <w:vMerge w:val="restart"/>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3"/>
            <w:vMerge w:val="restart"/>
          </w:tcPr>
          <w:p>
            <w:pPr>
              <w:ind w:left="18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vMerge w:val="restart"/>
          </w:tcPr>
          <w:p>
            <w:pPr>
              <w:ind w:left="2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9"/>
                <w:szCs w:val="9"/>
                <w:color w:val="auto"/>
              </w:rPr>
            </w:pPr>
          </w:p>
        </w:tc>
        <w:tc>
          <w:tcPr>
            <w:tcW w:w="1120" w:type="dxa"/>
            <w:vAlign w:val="bottom"/>
            <w:vMerge w:val="restart"/>
          </w:tcPr>
          <w:p>
            <w:pPr>
              <w:jc w:val="center"/>
              <w:ind w:right="122"/>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313,365,437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28"/>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1,197,136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1,041,203</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1,167,000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0" w:type="dxa"/>
            <w:vAlign w:val="bottom"/>
          </w:tcPr>
          <w:p>
            <w:pPr>
              <w:spacing w:after="0"/>
              <w:rPr>
                <w:sz w:val="1"/>
                <w:szCs w:val="1"/>
                <w:color w:val="auto"/>
              </w:rPr>
            </w:pPr>
          </w:p>
        </w:tc>
      </w:tr>
      <w:tr>
        <w:trPr>
          <w:trHeight w:val="25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388,568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70,390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70,390</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BALANCE—March 31, 2022</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314,921,005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top w:val="single" w:sz="8" w:color="auto"/>
              <w:bottom w:val="single" w:sz="8" w:color="auto"/>
            </w:tcBorders>
            <w:gridSpan w:val="2"/>
          </w:tcPr>
          <w:p>
            <w:pPr>
              <w:jc w:val="right"/>
              <w:ind w:right="828"/>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1,271,777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(142,368)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1,116,857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vMerge w:val="restart"/>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gridSpan w:val="5"/>
            <w:vMerge w:val="restart"/>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3"/>
            <w:vMerge w:val="restart"/>
          </w:tcPr>
          <w:p>
            <w:pPr>
              <w:ind w:left="26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9"/>
              </w:rPr>
              <w:t>Comprehensive Income</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8"/>
                <w:szCs w:val="8"/>
                <w:color w:val="auto"/>
              </w:rPr>
            </w:pPr>
          </w:p>
        </w:tc>
        <w:tc>
          <w:tcPr>
            <w:tcW w:w="1120" w:type="dxa"/>
            <w:vAlign w:val="bottom"/>
            <w:vMerge w:val="restart"/>
          </w:tcPr>
          <w:p>
            <w:pPr>
              <w:jc w:val="center"/>
              <w:ind w:right="102"/>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80" w:type="dxa"/>
            <w:vAlign w:val="bottom"/>
          </w:tcPr>
          <w:p>
            <w:pPr>
              <w:spacing w:after="0"/>
              <w:rPr>
                <w:sz w:val="15"/>
                <w:szCs w:val="15"/>
                <w:color w:val="auto"/>
              </w:rPr>
            </w:pPr>
          </w:p>
        </w:tc>
        <w:tc>
          <w:tcPr>
            <w:tcW w:w="1120" w:type="dxa"/>
            <w:vAlign w:val="bottom"/>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305,880,063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1,103,305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957,432</w:t>
            </w:r>
          </w:p>
        </w:tc>
        <w:tc>
          <w:tcPr>
            <w:tcW w:w="0" w:type="dxa"/>
            <w:vAlign w:val="bottom"/>
          </w:tcPr>
          <w:p>
            <w:pPr>
              <w:spacing w:after="0"/>
              <w:rPr>
                <w:sz w:val="1"/>
                <w:szCs w:val="1"/>
                <w:color w:val="auto"/>
              </w:rPr>
            </w:pPr>
          </w:p>
        </w:tc>
      </w:tr>
      <w:tr>
        <w:trPr>
          <w:trHeight w:val="24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adoption of ASU 2020-06</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(173,070)</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(156,268)</w:t>
            </w: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BALANCE—January 1, 2021</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305,880,063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930,235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801,164</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1,320,113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348,352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255,822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20,172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20,172</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31,014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31,014</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(13,068)</w:t>
            </w:r>
          </w:p>
        </w:tc>
        <w:tc>
          <w:tcPr>
            <w:tcW w:w="0" w:type="dxa"/>
            <w:vAlign w:val="bottom"/>
          </w:tcPr>
          <w:p>
            <w:pPr>
              <w:spacing w:after="0"/>
              <w:rPr>
                <w:sz w:val="1"/>
                <w:szCs w:val="1"/>
                <w:color w:val="auto"/>
              </w:rPr>
            </w:pPr>
          </w:p>
        </w:tc>
      </w:tr>
      <w:tr>
        <w:trPr>
          <w:trHeight w:val="23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307,804,350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985,004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841,330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360" w:type="dxa"/>
            <w:vAlign w:val="bottom"/>
          </w:tcPr>
          <w:p>
            <w:pPr>
              <w:spacing w:after="0"/>
              <w:rPr>
                <w:sz w:val="14"/>
                <w:szCs w:val="14"/>
                <w:color w:val="auto"/>
              </w:rPr>
            </w:pPr>
          </w:p>
        </w:tc>
        <w:tc>
          <w:tcPr>
            <w:tcW w:w="2720" w:type="dxa"/>
            <w:vAlign w:val="bottom"/>
            <w:gridSpan w:val="5"/>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29"/>
        </w:trPr>
        <w:tc>
          <w:tcPr>
            <w:tcW w:w="8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8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9"/>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9,738</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(13,068)</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4,402</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Amortization of discounts or premiums on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4,259</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Amortization of issuance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3,779</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Stock-based compensation, net of amounts capitalized</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28,861</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Non-cash lease expense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4,012</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Allowance for credit losses on accounts receivable</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receivable, net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9,223</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Deferred contract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(6,711)</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(5,998)</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payable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(9,226)</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9,682</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Deferred revenue</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81,735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r>
      <w:tr>
        <w:trPr>
          <w:trHeight w:val="167"/>
        </w:trPr>
        <w:tc>
          <w:tcPr>
            <w:tcW w:w="836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147,388</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51,650</w:t>
            </w:r>
          </w:p>
        </w:tc>
      </w:tr>
      <w:tr>
        <w:trPr>
          <w:trHeight w:val="29"/>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88"/>
        </w:trPr>
        <w:tc>
          <w:tcPr>
            <w:tcW w:w="83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7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(329,706)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(150,331)</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253,234</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6,497</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(6,183)</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paid for acquisition of businesses; net of cash acquired</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(11,509)</w:t>
            </w:r>
          </w:p>
        </w:tc>
      </w:tr>
      <w:tr>
        <w:trPr>
          <w:trHeight w:val="30"/>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(150,354)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90,710</w:t>
            </w:r>
          </w:p>
        </w:tc>
      </w:tr>
      <w:tr>
        <w:trPr>
          <w:trHeight w:val="88"/>
        </w:trPr>
        <w:tc>
          <w:tcPr>
            <w:tcW w:w="83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r>
      <w:tr>
        <w:trPr>
          <w:trHeight w:val="18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3,275</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Employee payroll taxes paid related to net share settlement under the employee stock purchase plan</w:t>
            </w:r>
          </w:p>
        </w:tc>
        <w:tc>
          <w:tcPr>
            <w:tcW w:w="7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Repayments of convertible senior notes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w:t>
            </w:r>
          </w:p>
        </w:tc>
      </w:tr>
      <w:tr>
        <w:trPr>
          <w:trHeight w:val="142"/>
        </w:trPr>
        <w:tc>
          <w:tcPr>
            <w:tcW w:w="8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7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w:t>
            </w:r>
          </w:p>
        </w:tc>
      </w:tr>
      <w:tr>
        <w:trPr>
          <w:trHeight w:val="30"/>
        </w:trPr>
        <w:tc>
          <w:tcPr>
            <w:tcW w:w="8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02945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sectPr>
          <w:pgSz w:w="11900" w:h="16838" w:orient="portrait"/>
          <w:cols w:equalWidth="0" w:num="1">
            <w:col w:w="11080"/>
          </w:cols>
          <w:pgMar w:left="320" w:top="374" w:right="499" w:bottom="1440" w:gutter="0" w:footer="0" w:header="0"/>
        </w:sectPr>
      </w:pPr>
    </w:p>
    <w:p>
      <w:pPr>
        <w:spacing w:after="0" w:line="157" w:lineRule="exact"/>
        <w:rPr>
          <w:sz w:val="20"/>
          <w:szCs w:val="20"/>
          <w:color w:val="auto"/>
        </w:rPr>
      </w:pPr>
    </w:p>
    <w:p>
      <w:pPr>
        <w:ind w:left="20" w:right="2660"/>
        <w:spacing w:after="0" w:line="348" w:lineRule="auto"/>
        <w:rPr>
          <w:sz w:val="20"/>
          <w:szCs w:val="20"/>
          <w:color w:val="auto"/>
        </w:rPr>
      </w:pPr>
      <w:r>
        <w:rPr>
          <w:rFonts w:ascii="Times New Roman" w:cs="Times New Roman" w:eastAsia="Times New Roman" w:hAnsi="Times New Roman"/>
          <w:sz w:val="13"/>
          <w:szCs w:val="13"/>
          <w:color w:val="auto"/>
        </w:rPr>
        <w:t>NET INCREASE (DECREASE) IN CASH, CASH EQUIVALENTS AND RESTRICTED CASH CASH, CASH EQUIVALENTS AND RESTRICTED CASH—Beginning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2945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CASH—End of period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144,608</w:t>
            </w:r>
          </w:p>
        </w:tc>
      </w:tr>
      <w:tr>
        <w:trPr>
          <w:trHeight w:val="203"/>
        </w:trPr>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274,463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228,711</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6"/>
        </w:trPr>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275,110</w:t>
            </w:r>
          </w:p>
        </w:tc>
        <w:tc>
          <w:tcPr>
            <w:tcW w:w="100" w:type="dxa"/>
            <w:vAlign w:val="bottom"/>
          </w:tcPr>
          <w:p>
            <w:pPr>
              <w:spacing w:after="0"/>
              <w:rPr>
                <w:sz w:val="14"/>
                <w:szCs w:val="14"/>
                <w:color w:val="auto"/>
              </w:rPr>
            </w:pP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373,319</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2">
            <w:col w:w="7640" w:space="720"/>
            <w:col w:w="2720"/>
          </w:cols>
          <w:pgMar w:left="320" w:top="374" w:right="49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1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9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339</w:t>
            </w:r>
          </w:p>
        </w:tc>
        <w:tc>
          <w:tcPr>
            <w:tcW w:w="5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08"/>
        </w:trPr>
        <w:tc>
          <w:tcPr>
            <w:tcW w:w="690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173"/>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property and equipment purchases</w:t>
            </w:r>
          </w:p>
        </w:tc>
        <w:tc>
          <w:tcPr>
            <w:tcW w:w="198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2,994</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w:t>
            </w:r>
          </w:p>
        </w:tc>
        <w:tc>
          <w:tcPr>
            <w:tcW w:w="19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3,506</w:t>
            </w:r>
          </w:p>
        </w:tc>
        <w:tc>
          <w:tcPr>
            <w:tcW w:w="5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w:t>
            </w: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198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Issuance of restricted shares of common stock for the acquisition of businesses</w:t>
            </w:r>
          </w:p>
        </w:tc>
        <w:tc>
          <w:tcPr>
            <w:tcW w:w="19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20,172</w:t>
            </w: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Acquisition holdback</w:t>
            </w:r>
          </w:p>
        </w:tc>
        <w:tc>
          <w:tcPr>
            <w:tcW w:w="198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r>
      <w:tr>
        <w:trPr>
          <w:trHeight w:val="30"/>
        </w:trPr>
        <w:tc>
          <w:tcPr>
            <w:tcW w:w="69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2945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222885"/>
                    </a:xfrm>
                    <a:prstGeom prst="rect">
                      <a:avLst/>
                    </a:prstGeom>
                    <a:noFill/>
                  </pic:spPr>
                </pic:pic>
              </a:graphicData>
            </a:graphic>
          </wp:anchor>
        </w:drawing>
      </w:r>
    </w:p>
    <w:p>
      <w:pPr>
        <w:spacing w:after="0" w:line="41" w:lineRule="exact"/>
        <w:rPr>
          <w:sz w:val="20"/>
          <w:szCs w:val="20"/>
          <w:color w:val="auto"/>
        </w:rPr>
      </w:pPr>
    </w:p>
    <w:p>
      <w:pPr>
        <w:ind w:left="20" w:right="420"/>
        <w:spacing w:after="0" w:line="265" w:lineRule="auto"/>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WITHIN THE CONDENSED CONSOLIDATED BALANCE SHEETS TO THE AMOUNTS SHOWN IN THE STATEMENTS OF CASH FLOWS ABOVE: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271,686</w:t>
            </w:r>
          </w:p>
        </w:tc>
        <w:tc>
          <w:tcPr>
            <w:tcW w:w="100" w:type="dxa"/>
            <w:vAlign w:val="bottom"/>
          </w:tcPr>
          <w:p>
            <w:pPr>
              <w:spacing w:after="0"/>
              <w:rPr>
                <w:sz w:val="14"/>
                <w:szCs w:val="14"/>
                <w:color w:val="auto"/>
              </w:rPr>
            </w:pP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369,706</w:t>
            </w:r>
          </w:p>
        </w:tc>
      </w:tr>
      <w:tr>
        <w:trPr>
          <w:trHeight w:val="30"/>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3,613</w:t>
            </w:r>
          </w:p>
        </w:tc>
      </w:tr>
      <w:tr>
        <w:trPr>
          <w:trHeight w:val="195"/>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275,110</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373,319</w:t>
            </w:r>
          </w:p>
        </w:tc>
      </w:tr>
      <w:tr>
        <w:trPr>
          <w:trHeight w:val="22"/>
        </w:trPr>
        <w:tc>
          <w:tcPr>
            <w:tcW w:w="8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74" w:right="4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Datadog, Inc. (“Datadog” or the “Company”) was incorporated in the State of Delaware on June 4, 2010. The Company is the monitoring and security platform for cloud applications.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2022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2021, as filed with the SEC on February 25, 2022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No. 2021-08"), which intends to improve the accounting for acquired revenue contracts with customers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by addressing diversity in practice and inconsistency related to recognition of an acquired contract liability and payment terms and their effect on subsequent revenue recognized by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the acquirer. The amendments in this ASU are effective for public business entities for fiscal years beginning after December 15, 2022, and interim periods within those fiscal years, and should be applied prospectively to business combinations occurring on or after the effective date of the amendments. Early adoption of the amendments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is currently evaluating the impact of the adoption of this standard on its condensed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March 31, 2022 and December 31, 2021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1,030,138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97,606</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225,774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1,410,263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1,399,323</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debt securities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1,034,573</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1,032,052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151,356</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1,283,473</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the fair values of available-for-sale marketable securities, by remaining contractual maturity, were as follows (in thousands):</w:t>
      </w:r>
    </w:p>
    <w:p>
      <w:pPr>
        <w:spacing w:after="0" w:line="149"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1,034,278</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365,045</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1,399,323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March 31, 2022 and December 31, 2021, and indicate the fair value hierarchy of the valuation inputs utilized to determine such fair value (in thousands):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as of March 31, 2022</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241,080</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241,080</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1,030,138</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w:t>
            </w: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97,606</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225,774</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241,080</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1,399,323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1,640,403</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2021</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241,571</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241,571</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1,032,052</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151,356</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241,571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1,283,473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1,525,044</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and U.S. and non-U.S.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39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86,189</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9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130,338</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(55,186)</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5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 w:name="page12"/>
    <w:bookmarkEnd w:id="1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$5.8 million and $4.0 million for the three months ended March 31,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October and December 2021, the Company entered into two Purchase Agreements, both of which were accounted for as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was allocated to intangible assets in the amount of $4.3 million and goodwill in the amount of $36.6 million based on the respective estimated fair values. The resulting goodwill from both Agreements is not deductible for income tax purposes. Pro forma results of operations from these acquisitions have not been presented because they were not material to the consolidated results of operations.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April 2021, the Company entered into a Stock Purchase Agreement whereby the Company acquired all of the issued and outstanding shares of a SaaS based security platform company. The consideration was approximately $219.4 million, comprising cash and Class A common stock. The acquisition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accordingly, the total fair value of the purchase consideration was allocated to the tangible and intangible assets acquired and liabilities assumed based on their estimated fair values on the acquisition date. The total preliminary purchase price allocated to intangible assets and goodwill was $12.0 million and $204.3 million, respectively. The resulting goodwill is not deductible for income tax purposes. Intangible assets consisted of developed technology in the amount of $8.7 million and customer relationships in the amount of $3.3 million. The useful life for developed technology and customer relationships are three and four years, respectively. Additionally, there was a one-time severance charge of $1.3 million recorded on the acquisition date.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purchase price allocation is preliminary with respect to certain income tax matters.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Goodwill resulted primarily from the expectation of enhancing the Company's current application security tools. Pro forma results of operations for this acquisition have not been presented because they were not material to the condensed consolidated results of operations.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February 2021, the Company entered into a Stock Purchase Agreement whereby the Company acquired all of the issued and outstanding shares of a target company with the purchase price paid in cash and Class A common stock. The acquisition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was allocated to intangible assets in the amount of $1.7 million and goodwill in the amount of $34.3 million based on the respective estimated fair values. Goodwill resulted primarily from the expectation of enhancing the Company's current observability tools. The resulting goodwill is not deductible for income tax purposes. Pro forma results of operations for this acquisition have not been presented because they were not material to the condensed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620" w:type="dxa"/>
            <w:vAlign w:val="bottom"/>
          </w:tcPr>
          <w:p>
            <w:pPr>
              <w:spacing w:after="0"/>
              <w:rPr>
                <w:sz w:val="24"/>
                <w:szCs w:val="24"/>
                <w:color w:val="auto"/>
              </w:rPr>
            </w:pPr>
          </w:p>
        </w:tc>
        <w:tc>
          <w:tcPr>
            <w:tcW w:w="2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Intangible amortization expense was approximately $1.6 million and $0.4 million for the three months ended March 31, 2022 and 2021, respectively.</w:t>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future amortization expense by year is expected to be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0" w:type="dxa"/>
            <w:vAlign w:val="bottom"/>
          </w:tcPr>
          <w:p>
            <w:pPr>
              <w:spacing w:after="0"/>
              <w:rPr>
                <w:sz w:val="1"/>
                <w:szCs w:val="1"/>
                <w:color w:val="auto"/>
              </w:rPr>
            </w:pP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292,176</w:t>
            </w:r>
          </w:p>
        </w:tc>
        <w:tc>
          <w:tcPr>
            <w:tcW w:w="0" w:type="dxa"/>
            <w:vAlign w:val="bottom"/>
          </w:tcPr>
          <w:p>
            <w:pPr>
              <w:spacing w:after="0"/>
              <w:rPr>
                <w:sz w:val="1"/>
                <w:szCs w:val="1"/>
                <w:color w:val="auto"/>
              </w:rPr>
            </w:pP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292,032</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March 15, 2025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2025 Notes (“the Indenture”).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3" w:name="page14"/>
    <w:bookmarkEnd w:id="13"/>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the conditional conversion feature of the 2025 Notes was triggered as the last reported sale price of the Company’s Class A common stock for at least 20 trading days (whether or not consecutive) during a period of 30 consecutive trading days ending on, and including, the last trading day of the quarter ended March 31, 2022 was greater than or equal to 130% of the conversion price on each applicable trading day. Therefore the 2025 Notes are convertible, in whole or in part, at the option of the holders between April 1, 2022 through June 30, 2022. Whether the 2025 Notes will be convertible following such period will depend on the continued satisfaction of this condition or another conversion condition in the future.</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As of March 31, 2022, the Company has received an immaterial amount of conversion notices from the holders and the 2025 Notes were classified as long-term debt on the Company's condensed consolidated balance sheet.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(“ASU No. 2020-06”)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condensed consolidated balance sheet.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was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940" w:type="dxa"/>
            <w:vAlign w:val="bottom"/>
            <w:shd w:val="clear" w:color="auto" w:fill="CCEEFF"/>
          </w:tcPr>
          <w:p>
            <w:pPr>
              <w:jc w:val="center"/>
              <w:ind w:right="5690"/>
              <w:spacing w:after="0"/>
              <w:rPr>
                <w:sz w:val="20"/>
                <w:szCs w:val="20"/>
                <w:color w:val="auto"/>
              </w:rPr>
            </w:pPr>
            <w:r>
              <w:rPr>
                <w:rFonts w:ascii="Times New Roman" w:cs="Times New Roman" w:eastAsia="Times New Roman" w:hAnsi="Times New Roman"/>
                <w:sz w:val="18"/>
                <w:szCs w:val="18"/>
                <w:color w:val="auto"/>
                <w:w w:val="99"/>
              </w:rPr>
              <w:t>Convertible senior notes, net: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747,500</w:t>
            </w: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(12,018)</w:t>
            </w:r>
          </w:p>
        </w:tc>
      </w:tr>
      <w:tr>
        <w:trPr>
          <w:trHeight w:val="223"/>
        </w:trPr>
        <w:tc>
          <w:tcPr>
            <w:tcW w:w="7940" w:type="dxa"/>
            <w:vAlign w:val="bottom"/>
          </w:tcPr>
          <w:p>
            <w:pPr>
              <w:jc w:val="center"/>
              <w:ind w:right="5650"/>
              <w:spacing w:after="0"/>
              <w:rPr>
                <w:sz w:val="20"/>
                <w:szCs w:val="20"/>
                <w:color w:val="auto"/>
              </w:rPr>
            </w:pPr>
            <w:r>
              <w:rPr>
                <w:rFonts w:ascii="Times New Roman" w:cs="Times New Roman" w:eastAsia="Times New Roman" w:hAnsi="Times New Roman"/>
                <w:sz w:val="18"/>
                <w:szCs w:val="18"/>
                <w:color w:val="auto"/>
                <w:w w:val="99"/>
              </w:rPr>
              <w:t>Net carrying amount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735,482</w:t>
            </w:r>
          </w:p>
        </w:tc>
      </w:tr>
      <w:tr>
        <w:trPr>
          <w:trHeight w:val="21"/>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2022, the total estimated fair value of the 2025 Notes was approximately $1,338.0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interest expense related to the 2025 Notes (in thousands):</w:t>
      </w:r>
    </w:p>
    <w:p>
      <w:pPr>
        <w:spacing w:after="0" w:line="138"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4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48"/>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three months ended March 31, 2022, other than certain non-cancelable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described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beginning on January 1, 2022, the Company began making matching contributions to the 401(k) plan. For the three months ended March 31, 2022, the Company incurred expense of $1.2 million for matching contributions. The Company did not make any matching contributions to the 401(k) plan for the three months ended March 31, 2021.</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unique facts and circumstances involved in each particular provision. To date, losses recorded in the Company’s condensed consolidated statements of operations in connection with the indemnification provisions have not been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2022 and 2030. Certain lease agreements contain an option for the Company to renew a lease for a term of up to four years or an option to terminate a lease early within two years.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130"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29"/>
        </w:trPr>
        <w:tc>
          <w:tcPr>
            <w:tcW w:w="83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1"/>
                <w:szCs w:val="21"/>
                <w:color w:val="auto"/>
                <w:vertAlign w:val="superscript"/>
              </w:rPr>
              <w:t>(1)</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shd w:val="clear" w:color="auto" w:fill="CCEEFF"/>
          </w:tcPr>
          <w:p>
            <w:pPr>
              <w:spacing w:after="0"/>
              <w:rPr>
                <w:sz w:val="19"/>
                <w:szCs w:val="19"/>
                <w:color w:val="auto"/>
              </w:rPr>
            </w:pP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$4.4 million and $4.0 million for the three months ended March 31, 2022 and 2021, respectively.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84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5,837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22"/>
        </w:trPr>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8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48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4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20,217</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10,567</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r>
      <w:tr>
        <w:trPr>
          <w:trHeight w:val="230"/>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2027 and beyond</w:t>
            </w:r>
          </w:p>
        </w:tc>
        <w:tc>
          <w:tcPr>
            <w:tcW w:w="8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17,598</w:t>
            </w: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80,955</w:t>
            </w:r>
          </w:p>
        </w:tc>
      </w:tr>
      <w:tr>
        <w:trPr>
          <w:trHeight w:val="230"/>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w:t>
            </w:r>
          </w:p>
        </w:tc>
      </w:tr>
      <w:tr>
        <w:trPr>
          <w:trHeight w:val="248"/>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72,137</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two additional operating leases that had not yet commenced, which are excluded from the table above. The operating leases will commence in fiscal year 2022 and have total undiscounted future payments of $9.8 million with a weighted-average lease term of 4.6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4480" w:type="dxa"/>
            <w:vAlign w:val="bottom"/>
          </w:tcPr>
          <w:p>
            <w:pPr>
              <w:spacing w:after="0"/>
              <w:rPr>
                <w:sz w:val="16"/>
                <w:szCs w:val="16"/>
                <w:color w:val="auto"/>
              </w:rPr>
            </w:pPr>
          </w:p>
        </w:tc>
        <w:tc>
          <w:tcPr>
            <w:tcW w:w="676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4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3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4.58 %</w:t>
            </w:r>
          </w:p>
        </w:tc>
      </w:tr>
      <w:tr>
        <w:trPr>
          <w:trHeight w:val="859"/>
        </w:trPr>
        <w:tc>
          <w:tcPr>
            <w:tcW w:w="4480" w:type="dxa"/>
            <w:vAlign w:val="bottom"/>
          </w:tcPr>
          <w:p>
            <w:pPr>
              <w:spacing w:after="0"/>
              <w:rPr>
                <w:sz w:val="24"/>
                <w:szCs w:val="24"/>
                <w:color w:val="auto"/>
              </w:rPr>
            </w:pPr>
          </w:p>
        </w:tc>
        <w:tc>
          <w:tcPr>
            <w:tcW w:w="5300" w:type="dxa"/>
            <w:vAlign w:val="bottom"/>
          </w:tcPr>
          <w:p>
            <w:pPr>
              <w:jc w:val="right"/>
              <w:ind w:right="3976"/>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142,890</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55,659</w:t>
            </w: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2022 and 2021, which was included in the deferred revenue balances at the beginning of each such period, was $165.4 million and $96.4 million, respectively.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March 31, 2022 and December 31, 2021, the aggregate transaction price allocated to remaining performance obligations was $857.9 million and $815.0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three months ended March 31, 2022 and 2021, the Company charged $0.4 million and $0.2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March 31, 2022 and December 31, 2021, unbilled accounts receivable of approximately $49.1 million and $44.2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$67.4 million and $65.3 million as of March 31, 2022 and December 31, 2021, respectively. Amortization expense was $6.0 million and $3.8 million for the three months ended March 31,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7" w:name="page18"/>
    <w:bookmarkEnd w:id="17"/>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2022, 18,109,201 shares of Class B common stock were converted into Class A common stock.</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authorized 2,000,000,000 shares of Class A common stock and 310,000,000 shares of Class B common stock, each at a par value per share of $0.00001, of which 283,004,354 shares of Class A common stock and 31,916,651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March 31, 2022, there were 20,139,912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awards, restricted stock units (“RSUs”) and performance-based and other awards, each equity award valued or based on the Company’s Class A common stock, to employees, directors, consultants and advisors of the Company. As of March 31, 2022, there were 68,675,859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available for grant under the 2019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21,372,561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3,735,819</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(1,167,000)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r>
      <w:tr>
        <w:trPr>
          <w:trHeight w:val="289"/>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outstanding—March 31, 2022</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20,170,193</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2,988,747</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Exercisable—March 31, 2022</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16,552,340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2,470,661</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2022, there were 30,281 shares of Class A common stock and 20,139,912 shares of Class B common stock issuable upon the exercise of options outstanding. As of December 31, 2021, there were 31,671 shares of Class A common stock and 21,340,890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awards not yet recognized was approximately $25.8 million and $31.6 million as of March 31, 2022 and December 31, 2021, respectively. The weighted-average period over which this compensation cost related to unvested employee awards will be recognized is 1.1 years and 1.3 years as of March 31, 2022 and December 31, 2021, respectively.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2022 and 2021. The Company received approximately $4.2 million and $3.3 million in cash proceeds from options exercised during the three months ended March 31, 2022 and 2021, respectively. The intrinsic value of options exercised during the three months ended March 31, 2022 and 2021 was approximately $165.5 million and $123.6 million, respectively. The aggregate fair value of options vested during the three months ended March 31, 2022 and 2021 was $6.5 million and $7.4 million, respectively.</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no liability recorded related to early exercises of options as of March 31, 2022. As of December 31, 2021, the Company had recorded liabilities related to early exercises of options for 31,500 shares of Class B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Restricted Stock Awards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8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90"/>
        </w:trPr>
        <w:tc>
          <w:tcPr>
            <w:tcW w:w="848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848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8,081,269</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w:t>
            </w:r>
          </w:p>
        </w:tc>
      </w:tr>
      <w:tr>
        <w:trPr>
          <w:trHeight w:val="27"/>
        </w:trPr>
        <w:tc>
          <w:tcPr>
            <w:tcW w:w="8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(388,568)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w:t>
            </w:r>
          </w:p>
        </w:tc>
      </w:tr>
      <w:tr>
        <w:trPr>
          <w:trHeight w:val="27"/>
        </w:trPr>
        <w:tc>
          <w:tcPr>
            <w:tcW w:w="84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r>
      <w:tr>
        <w:trPr>
          <w:trHeight w:val="288"/>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and outstanding—March 31, 2022</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8,999,802</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109.09</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granted 244,445, 96,210, 117,538, 245,761 and 98,593 restricted shares of Class A common stock in November 2019, June 2020, February 2021, April 2021, and December 2021, respectively, in connection with acquisitions which are subject to service-based vesting conditions over approximately four years from the respective grant dates.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$902.2 million and $773.6 million as of March 31, 2022 and December 31, 2021, respectively. The weighted-average period over which this compensation cost related to unvested RSUs and restricted shares will be recognized is 3.0 years and 3.1 years as of March 31, 2022 and December 31,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 which became effective on the date of the final prospectus for the IPO.</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$2.2 million of stock-based compensation expense related to the ESPP during the three months ended March 31, 2022. As of March 31, 2022, $11.4 million has been withheld on behalf of employees for a future purchase under the ESPP due to the timing of payroll deductions. There were no purchases related to the ESPP in the three months ended March 31, 2022. As of March 31, 2022, 15,123,466 shares of Class A common stock remain available for grant under the ESPP.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stock options on the date of grant. The Company recognizes and measures compensation expense for all stock-based payment awards granted to employees, directors and nonemployees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is recognized on a straight-line basis over the requisite service period and account for forfeitures as they occur.</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r>
      <w:tr>
        <w:trPr>
          <w:trHeight w:val="27"/>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66,884</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28,861</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7"/>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70,390</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31,014</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3" w:right="3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Interest income and other income,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748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95" w:lineRule="exact"/>
        <w:rPr>
          <w:sz w:val="20"/>
          <w:szCs w:val="20"/>
          <w:color w:val="auto"/>
        </w:rPr>
      </w:pPr>
    </w:p>
    <w:p>
      <w:pPr>
        <w:sectPr>
          <w:pgSz w:w="11900" w:h="16838" w:orient="portrait"/>
          <w:cols w:equalWidth="0" w:num="2">
            <w:col w:w="7760" w:space="720"/>
            <w:col w:w="2760"/>
          </w:cols>
          <w:pgMar w:left="320" w:top="1103" w:right="339" w:bottom="1440" w:gutter="0" w:footer="0" w:header="0"/>
          <w:type w:val="continuous"/>
        </w:sectPr>
      </w:pPr>
    </w:p>
    <w:p>
      <w:pPr>
        <w:spacing w:after="0" w:line="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an effective tax rate of 10.3% and (4.3)% for the three months ended March 31, 2022 and 2021, respectively. The Company has generated minimal profits in the US and its foreign jurisdictions.</w:t>
      </w:r>
    </w:p>
    <w:p>
      <w:pPr>
        <w:ind w:left="500"/>
        <w:spacing w:after="0"/>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deemed</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immaterial for each of the three months ended March 31, 2022 and 2021. The Company’s policy is to recognize interest and penalties related to uncertain tax positions in income tax expense. The Company is subject to U.S. federal tax authority, U.S. state tax authority and foreign tax authority examinations.</w:t>
      </w:r>
    </w:p>
    <w:p>
      <w:pPr>
        <w:spacing w:after="0" w:line="1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0" w:name="page21"/>
    <w:bookmarkEnd w:id="20"/>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tax years beginning on or after January 1, 2022, the Tax Cuts and Jobs Act of 2017 eliminates the option to deduct research and development expenditures, as defined under IRC Section 174, in the year incurred. Instead, taxpayers are required to amortize such expenditures over five years if incurred in the U.S. and over fifteen years if incurred in a foreign jurisdiction. For the three months ended March 31, 2022, the Company conformed to this change in tax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Basic and diluted net income (loss)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shares of capital stock of the Company.</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and diluted net income (loss)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(loss) per share of Class A common stock, the undistributed earnings are equal to net income (loss) for that computation.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0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w:t>
            </w: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6"/>
                <w:szCs w:val="16"/>
                <w:color w:val="auto"/>
              </w:rPr>
            </w:pPr>
          </w:p>
        </w:tc>
        <w:tc>
          <w:tcPr>
            <w:tcW w:w="740" w:type="dxa"/>
            <w:vAlign w:val="bottom"/>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Weighted-average shares used in calculating net income (loss) per share, basic</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82,468</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Allocation of distributed net income (loss) for basic computation</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Reallocation of undistributed net income (loss) as a result of conversion of Class B to Class A shares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7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Allocation of undistributed income (loss)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Number of shares used in basic calculation</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82,468</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effect of diluted securities:</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Conversion of Class B to Class A common shares outstanding</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stock options</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Unvested early exercises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Unvested restricted stock in connection with acquisition</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issuable upon conversion of the convertible senior notes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7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Number of shares used in diluted calculation</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82,468</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7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2"/>
          </w:tcPr>
          <w:p>
            <w:pPr>
              <w:ind w:left="90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932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4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8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1,540</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w:t>
            </w:r>
          </w:p>
        </w:tc>
      </w:tr>
      <w:tr>
        <w:trPr>
          <w:trHeight w:val="27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 and restricted shares of common stock</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7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the convertible senior notes</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48"/>
        </w:trPr>
        <w:tc>
          <w:tcPr>
            <w:tcW w:w="8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ASU No. 2020-06 requires the application of the if-converted method to calculate the impact of convertible instruments on diluted earnings per share when the instruments may be settled in cash or shares. During the three months ended March 31, 2022, the conditional conversion feature of the 2025 Notes was triggered and the 2025 Notes are convertible, in whole or in part, at the option of the holders between April 1, 2022 through June 30, 2022. The Company uses the if-converted method for calculating any potential dilutive effect of the conversion options embedded in the 2025 Notes on diluted net income per share as required under ASU No. 2020-06 to determine the dilutive effect of the Notes.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2021, or the Annual Report. This discussion, particularly information with respect to our future results of operations or financial condition, business strategy, plans and objectives of management for future operations and the potential impact that the ongoing COVID-19 pandemic may have on our business,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monitoring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2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 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2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2022, we had $275.1 million in cash, cash equivalents and restricted cash and $1.4 billion in marketable securities. We generated revenue of $363.0 million and $198.5 million in the three months ended March 31, 2022 and 2021, respectively, representing year-over-year growth of 83%. Substantially all of our revenue is subscription software sales. Our net income (loss) was $9.7 million and $(13.1) million for the three months ended March 31, 2022 and 2021, respectively. We generated operating cash flow of $147.4 million and $51.7 million in the three months ended March 31, 2022 and 2021, respectively. Our free cash flow was $129.9 million and $44.5 million in the three months ended March 31, 2022 and 2021, respectively. See the section titled “—Liquidity and Capital Resources—Non-GAAP Free Cash Flow” for additional information.</w:t>
      </w:r>
    </w:p>
    <w:p>
      <w:pPr>
        <w:spacing w:after="0" w:line="21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Since December 2019, a novel strain of coronavirus, which we refer to, together with other related strains of coronavirus, as "COVID-19", has spread across the world, including to the United States and other countries in which we and our customers, partners, suppliers, vendors and other parties with whom we do business operate. The extent of the impact of the COVID-19 pandemic on our operational and financial performance depends on certain developments, including the duration and spread of the outbreak, especially in light of the emergence of new variant strains of COVID-19, its impact on industry events, and its effect on our customers, partners, suppliers and vendors and other parties with whom we do business, and the availability, distribution and acceptance of vaccines, all of which are uncertain and cannot be predicted at this time. To the extent possible, we are conducting business as usual. Towards the end of the quarter ended March 31, 2022, we increased our office activity, such as in-person meetings, events, and travel in compliance with applicable government orders and guidelines. We are continuing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The extent to which the COVID-19 pandemic, including variant strains of COVID-19, may impact our results of operations and financial condition remains uncertain. Due to our subscription model, the effect of the COVID-19 pandemic, if any, may not be fully reflected in our results of operations until future periods. In addition, as we continue to increase office activity globally, increase travel, participate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and hold more in-person meetings and events, continue hiring and increase capital expenditures for additional office space, our costs and expenses may increase and our margins may decrease in future quarters.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March 31, 2022, we had approximately 19,800 customers spanning organizations of a broad range of sizes and industries, compared to approximately 15,200 as of March 31, 2021.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43"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March 31, 2022, we had approximately 2,250 customers with annual run-rate revenue, or ARR, of $100,000 or more, representing 85% of our ARR, up from 1,406 customers as of March 31, 2021, representing 79%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We updated the definition of MRR as of the quarter ended September 30, 2021 to capture usage from subscriptions with committed contractual amounts and applied this change</w:t>
      </w:r>
    </w:p>
    <w:p>
      <w:pPr>
        <w:spacing w:after="0" w:line="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retrospectively.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March 31, 2022 and 2021,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security monitoring in 2020</w:t>
      </w:r>
      <w:r>
        <w:rPr>
          <w:rFonts w:ascii="Arial" w:cs="Arial" w:eastAsia="Arial" w:hAnsi="Arial"/>
          <w:sz w:val="18"/>
          <w:szCs w:val="18"/>
          <w:color w:val="333333"/>
        </w:rPr>
        <w:t>.</w:t>
      </w:r>
      <w:r>
        <w:rPr>
          <w:rFonts w:ascii="Times New Roman" w:cs="Times New Roman" w:eastAsia="Times New Roman" w:hAnsi="Times New Roman"/>
          <w:sz w:val="18"/>
          <w:szCs w:val="18"/>
          <w:color w:val="auto"/>
        </w:rPr>
        <w:t xml:space="preserve"> As of March 31, 2022, approximately 81% of our customers were using more than one product, up from approximately 75% a year earlier. We believe these metrics indicate strong momentum in the uptake of our newer platform products.</w:t>
      </w:r>
    </w:p>
    <w:p>
      <w:pPr>
        <w:spacing w:after="0" w:line="1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28% of total revenue for the three months ended March 31, 2022 and 2021.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including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 also have the option to purchase additional products, such as additional container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serverless monitoring, custom metrics packages, anomaly detection, synthetic monitoring and app analytics.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2025 Notes (as defined below) and amortization of premiums on our marketable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3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22225</wp:posOffset>
            </wp:positionV>
            <wp:extent cx="17487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7"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(4)</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363,030</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198,549</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46,666</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151,883</w:t>
            </w:r>
          </w:p>
        </w:tc>
      </w:tr>
      <w:tr>
        <w:trPr>
          <w:trHeight w:val="540"/>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79,266</w:t>
            </w:r>
          </w:p>
        </w:tc>
      </w:tr>
      <w:tr>
        <w:trPr>
          <w:trHeight w:val="270"/>
        </w:trPr>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64,353</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21,094</w:t>
            </w:r>
          </w:p>
        </w:tc>
      </w:tr>
      <w:tr>
        <w:trPr>
          <w:trHeight w:val="250"/>
        </w:trPr>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278,154</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164,713</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r>
      <w:tr>
        <w:trPr>
          <w:trHeight w:val="540"/>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r>
      <w:tr>
        <w:trPr>
          <w:trHeight w:val="250"/>
        </w:trPr>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748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7" w:lineRule="exact"/>
        <w:rPr>
          <w:sz w:val="20"/>
          <w:szCs w:val="20"/>
          <w:color w:val="auto"/>
        </w:rPr>
      </w:pPr>
    </w:p>
    <w:p>
      <w:pPr>
        <w:ind w:left="52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17487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760" w:space="720"/>
            <w:col w:w="2760"/>
          </w:cols>
          <w:pgMar w:left="320" w:top="1107"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FF0FC"/>
          </w:tcPr>
          <w:p>
            <w:pPr>
              <w:spacing w:after="0"/>
              <w:rPr>
                <w:sz w:val="23"/>
                <w:szCs w:val="23"/>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66,884</w:t>
            </w:r>
          </w:p>
        </w:tc>
        <w:tc>
          <w:tcPr>
            <w:tcW w:w="1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28,861</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8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0"/>
        </w:trPr>
        <w:tc>
          <w:tcPr>
            <w:tcW w:w="8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50"/>
        </w:trPr>
        <w:tc>
          <w:tcPr>
            <w:tcW w:w="8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Borders>
              <w:bottom w:val="single" w:sz="8" w:color="CFF0FC"/>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1,413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1,616</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7" w:name="page28"/>
    <w:bookmarkEnd w:id="27"/>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pacing w:after="0" w:line="13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Includes amortization of issuance costs as follows: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80"/>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1748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7760" w:space="720"/>
            <w:col w:w="27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5"/>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Borders>
              <w:bottom w:val="single" w:sz="8" w:color="CFF0FC"/>
            </w:tcBorders>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97"/>
        </w:trPr>
        <w:tc>
          <w:tcPr>
            <w:tcW w:w="11240" w:type="dxa"/>
            <w:vAlign w:val="bottom"/>
            <w:gridSpan w:val="8"/>
          </w:tcPr>
          <w:p>
            <w:pPr>
              <w:jc w:val="right"/>
              <w:ind w:right="432"/>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tc>
        <w:tc>
          <w:tcPr>
            <w:tcW w:w="0" w:type="dxa"/>
            <w:vAlign w:val="bottom"/>
          </w:tcPr>
          <w:p>
            <w:pPr>
              <w:spacing w:after="0"/>
              <w:rPr>
                <w:sz w:val="1"/>
                <w:szCs w:val="1"/>
                <w:color w:val="auto"/>
              </w:rPr>
            </w:pPr>
          </w:p>
        </w:tc>
      </w:tr>
      <w:tr>
        <w:trPr>
          <w:trHeight w:val="299"/>
        </w:trPr>
        <w:tc>
          <w:tcPr>
            <w:tcW w:w="7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3"/>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3400" w:type="dxa"/>
            <w:vAlign w:val="bottom"/>
            <w:tcBorders>
              <w:bottom w:val="single" w:sz="8" w:color="auto"/>
            </w:tcBorders>
            <w:gridSpan w:val="7"/>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34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income (loss), net</w:t>
            </w:r>
          </w:p>
        </w:tc>
        <w:tc>
          <w:tcPr>
            <w:tcW w:w="6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8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363,030</w:t>
            </w:r>
          </w:p>
        </w:tc>
        <w:tc>
          <w:tcPr>
            <w:tcW w:w="4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198,549</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164,481</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$164.5 million, or 83%, for the three months ended March 31, 2022 compared to the three months ended March 31, 2021. Approximately 80% of the increase in revenue was attributable to growth from existing customers, and the remaining 20%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rPr>
              <w:t>74,462</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46,666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27,796</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$27.8 million, or 60%, for the three months ended March 31, 2022 compared to the three months ended March 31, 2021. This increase was primarily due to an increase of $22.4 million in third-party cloud infrastructure hosting and software costs, an increase of $2.0 million in personnel expenses as a result of increased headcount, and an increase of $1.8 million in depreciation and amortization expense.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increased by 3% for the three months ended March 31, 2022 compared to the three months ended March 31, 2021, primarily as a result of increased revenue and cost savings from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150,608</w:t>
            </w:r>
          </w:p>
        </w:tc>
        <w:tc>
          <w:tcPr>
            <w:tcW w:w="46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79,266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71,342</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41 %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$71.3 million, or 90%, for the three months ended March 31, 2022 compared to the three months ended March 31, 2021. This increase was primarily due to an increase of $57.3 million in personnel costs for our engineering, product and design teams as a result of increased headcount, an increase of $10.6 million in cloud infrastructure-related investments, and an increase of $2.6 million in allocated overhead costs as a result of an increase in overall costs necessary to support the growth of the business and related infrastructure.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101,166</w:t>
            </w:r>
          </w:p>
        </w:tc>
        <w:tc>
          <w:tcPr>
            <w:tcW w:w="46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64,353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36,813</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28 %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by $36.8 million, or 57%, for the three months ended March 31, 2022 compared to the three months ended March 31, 2021. This increase was primarily due to an increase of $32.2 million in personnel costs for our sales and marketing organization as a result of increased headcount and increased variable compensation for our sales personnel, an increase of $2.2 million in allocated overhead costs as a result of an increase in overall costs necessary to support the growth of the business and related infrastructure, and an increase of $1.9 million in advertising, marketing, and promotional activities.</w:t>
      </w:r>
    </w:p>
    <w:p>
      <w:pPr>
        <w:sectPr>
          <w:pgSz w:w="11900" w:h="16838" w:orient="portrait"/>
          <w:cols w:equalWidth="0" w:num="1">
            <w:col w:w="11240"/>
          </w:cols>
          <w:pgMar w:left="320" w:top="103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29" w:name="page30"/>
    <w:bookmarkEnd w:id="29"/>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26,380</w:t>
            </w:r>
          </w:p>
        </w:tc>
        <w:tc>
          <w:tcPr>
            <w:tcW w:w="46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21,094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$5.3 million, or 25%, for the three months ended March 31, 2022 compared to the three months ended March 31, 2021. This increase was primarily due to an increase of $5.6 million in personnel costs as a result of increased headcount and an increase of $0.8 million related to bad debt expense. These amounts were partially offset by a decrease in $1.2 million related to legal fees.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42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242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Borders>
              <w:bottom w:val="single" w:sz="8" w:color="CFF0FC"/>
            </w:tcBorders>
            <w:shd w:val="clear" w:color="auto" w:fill="CFF0FC"/>
          </w:tcPr>
          <w:p>
            <w:pPr>
              <w:jc w:val="right"/>
              <w:ind w:right="70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440</w:t>
            </w:r>
          </w:p>
        </w:tc>
        <w:tc>
          <w:tcPr>
            <w:tcW w:w="940" w:type="dxa"/>
            <w:vAlign w:val="bottom"/>
            <w:tcBorders>
              <w:bottom w:val="single" w:sz="8" w:color="CFF0FC"/>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$0.1 million, or 46%, for the three months ended March 31, 2022 compared to the three months ended March 31, 2021. This increase was primarily driven by a decrease of $0.2 million in amortization of premiums on our marketable securities. The increase was partially offset by a decrease of $0.1 million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three months ended March 31, 2022 and 2021, and have historically supplemented working capital requirements through net proceeds from the sale of debt and equity securities. When assessing sources of liquidity, we also include cash and cash equivalents of $271.7 million and marketable securities of $1.4 billion as of March 31, 2022. We believe that our existing cash and cash equivalents, marketable securities and cash flow from operations will be sufficient to support our cash requirements for the next 12 months and beyond.</w:t>
      </w:r>
    </w:p>
    <w:p>
      <w:pPr>
        <w:spacing w:after="0" w:line="197" w:lineRule="exact"/>
        <w:rPr>
          <w:sz w:val="20"/>
          <w:szCs w:val="20"/>
          <w:color w:val="auto"/>
        </w:rPr>
      </w:pPr>
    </w:p>
    <w:p>
      <w:pPr>
        <w:jc w:val="both"/>
        <w:ind w:firstLine="486"/>
        <w:spacing w:after="0" w:line="230" w:lineRule="auto"/>
        <w:rPr>
          <w:sz w:val="20"/>
          <w:szCs w:val="20"/>
          <w:color w:val="auto"/>
        </w:rPr>
      </w:pPr>
      <w:r>
        <w:rPr>
          <w:rFonts w:ascii="Times New Roman" w:cs="Times New Roman" w:eastAsia="Times New Roman" w:hAnsi="Times New Roman"/>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2025 Notes' coupons and principal. Purchase commitments for business operations are primarily related to cloud hosting and other software-based services. In June 2020, we issued $747.5 million aggregate principal amount of the 2025 Notes in a private placement to qualified institutional buyers pursuant to Rule 144A under the Securities Act.</w:t>
      </w:r>
    </w:p>
    <w:p>
      <w:pPr>
        <w:spacing w:after="0" w:line="214"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During the three months ended March 31, 2022,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0" w:name="page31"/>
    <w:bookmarkEnd w:id="30"/>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147,388</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51,650</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(150,354)</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90,710</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4,242</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2022 increased $95.7 million compared to the three months ended March 31, 2021, primarily driven by an increase in non-cash charges of $45.0 million and an increase in deferred revenue of $60.7 million. The increase in non-cash charges related primarily to an increase of $38.0 million in stock-based compensation as we continued to increase headcount to support the growth of the business. The increase in deferred revenue resulted primarily from increased billings for subscriptions. The increase in cash provided by operating activities was offset by an increase in accounts receivable of $16.5 million due to increases in sales.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increased $241.1 million compared to the three months ended March 31, 2021, primarily driven by an increase in the investment of marketable securities of $179.4 million, a decrease in proceeds from maturities of marketable securities of $53.5 million, and an increase in purchases of property and equipment of $8.5 million. The increase in cash used in investing activities was offset by a decrease in proceeds from sales of marketable securities of $6.6 million.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2022 increased $1.2 million compared to the three months ended March 31, 2021, primarily due to an increase in proceeds from the exercise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1" w:name="page32"/>
    <w:bookmarkEnd w:id="3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w:t>
      </w:r>
    </w:p>
    <w:p>
      <w:pPr>
        <w:spacing w:after="0" w:line="6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51,650</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44,469</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As of March 31, 2022, we had $241.1 million in cash equivalents and $1.4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commercial debt, certificates of deposit, U.S. and non-U.S. government treasury securities, and commercial paper</w:t>
      </w:r>
      <w:r>
        <w:rPr>
          <w:rFonts w:ascii="Times New Roman" w:cs="Times New Roman" w:eastAsia="Times New Roman" w:hAnsi="Times New Roman"/>
          <w:sz w:val="18"/>
          <w:szCs w:val="18"/>
          <w:color w:val="333333"/>
        </w:rPr>
        <w:t>. In addition, we had</w:t>
      </w:r>
      <w:r>
        <w:rPr>
          <w:rFonts w:ascii="Times New Roman" w:cs="Times New Roman" w:eastAsia="Times New Roman" w:hAnsi="Times New Roman"/>
          <w:sz w:val="18"/>
          <w:szCs w:val="18"/>
          <w:color w:val="auto"/>
        </w:rPr>
        <w:t xml:space="preserve"> $3.4 million of restricted cash due to the outstanding letters of credit established in connection with lease agreements for our facilities.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 a fluctuation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interest rates, which may affect our interest income and the fair market value of our investments. </w:t>
      </w:r>
      <w:r>
        <w:rPr>
          <w:rFonts w:ascii="Times New Roman" w:cs="Times New Roman" w:eastAsia="Times New Roman" w:hAnsi="Times New Roman"/>
          <w:sz w:val="18"/>
          <w:szCs w:val="18"/>
          <w:color w:val="000000"/>
        </w:rPr>
        <w:t>As of March 31, 2022, a hypothetical 10% relative change</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in interest rates would not have a material impact on our condensed consolidated financial statements.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Ireland, the United Kingdom, Japan, Australia, Germany, the Netherlands and Spain. Our consolidated results of operations and cash flows are, therefore, subject to fluctuations due to changes in foreign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2022. 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and any related economic downturn could negatively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and any related economic downturn could negatively impact our business, financial condition and results of operations.</w:t>
      </w:r>
    </w:p>
    <w:p>
      <w:pPr>
        <w:spacing w:after="0" w:line="1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ongoing COVID-19 pandemic has and may continue to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including the emergence and spread of new variant strains of COVID-19, many state, local and foreign governments put in place, and others in the future may put in place, quarantines, executive orders, shelter-in-place orders, occupancy limits, vaccination mandates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Beginning in March 2020, we took measures intended to help minimize the risk of the virus to our employees and the communities in which we participate. These measures included temporarily suspending all non-essential travel worldwide for our employees, canceling, postponing or holding virtually any Datadog events and discouraging employee attendance at any industry events or in-person work-related meetings. Towards the end of the quarter ended March 31, 2022, we increased our office activity, such as in-person meetings and events, and we have also resumed travel in compliance with applicable government orders and guidelines. However, many of our employees continue to work remotely and in-person meetings remain limited relative to levels before the pandemic. We have a distributed workforce and our employees are accustomed to working remotely and working with others who are working remotely. However, the limitation of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205"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COVID-19 has adversely affected workforces, economies and financial markets globally, leading to an economic downturn and a reduction in customer spending on our solutions or an inability for our customers, partners, suppliers or vendors or other parties with whom we do business to meet their contractual obligations, and such conditions may reoccur. While it is not possible at this time to predict the duration and extent of the impact that COVID-19 could have on worldwide economic activity and our business in particular, the continued spread of COVID-19, especially in light of the emergence of new variant strains of COVID-19, and the measures taken by governments, businesses and other organizations in response to COVID-19, as well as the uncertainty around the duration of business disruptions, and rates of vaccination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international trade relations, political turmoil, natural catastrophes, outbreaks of contagious diseases (such as the ongoing COVID-19 pandemic),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The war in Ukraine and the related political and economic responses imposed on Russia such as sanctions, may exacerbate these issues and trends especially in Europe. In addition,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was $363.0 million, $198.5 million, $1,028.8 million and $603.5 million for the three months ended March 31, 2022 and 2021 and the years ended December 31, 2021 and 2020,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4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generated net losses in each year since our inception, including net losses of $20.7 million and $24.5 million for the years ended December 31, 2021 and 2020, respectively. As of March 31, 2022, we had an accumulated deficit of $142.4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forecast our future results of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were founded in June 2010. As a result of our limited operating history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and the war in Ukraine and related sanctions, or reductions in our customers’ spending on IT solutions or their spending levels generally. In addition, the factors impacting our ability to sell additional subscriptions and products to our customers may be exacerbated by the COVID-19 pandemic and the war in Ukraine and related sanctions.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2"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 We may use third-party service providers and sub-processors to help us deliver services to our customers. These vendors may store or process personal information on our behalf.</w:t>
      </w:r>
    </w:p>
    <w:p>
      <w:pPr>
        <w:spacing w:after="0" w:line="17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many of our employees are working remotely due to the COVID-19 pandemic, which may pose additional data security risks (including, for example, an increase in phishing and spam emails we began experiencing during 2020).</w:t>
      </w:r>
    </w:p>
    <w:p>
      <w:pPr>
        <w:spacing w:after="0" w:line="19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 In addition, we do not directly control content that our customers store in our products. If our customers use our products for the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9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 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216"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third-party technology, systems and services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2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204"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and continually develop our technology and network architecture to accommodate actual and anticipated changes in technology, our business, financial condition and results of operations may be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1" w:name="page42"/>
    <w:bookmarkEnd w:id="4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impacted by the ongoing COVID-19 pandemic and war in Ukraine;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particularly our enterprise customers. We expect that this seasonality will continue to affect our bookings and our results of operations in the future, and might become more pronounced as we continue to target larger enterprise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7"/>
          <w:szCs w:val="17"/>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the ongoing COVID-19 pandemic and remote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Industry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500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of confidentiality and appropriate use of personal information, confidential information, and other proprietary information that we, our third-party service providers or other partners process. We are subject to a variety of federal, state, local and international laws, directives and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210"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w:t>
      </w:r>
    </w:p>
    <w:p>
      <w:pPr>
        <w:spacing w:after="0" w:line="195"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In addition, certain jurisdictions have enacted data localization laws and cross-border personal data transfer laws. For example, absent appropriate safeguards or other circumstances, the EU GDPR generally prohibits the transfer of personal information outside the European Economic Area, or the EEA. In June 2021, the European Commission released a set of Standard Contractual Clauses, or “SCCs,” that can lawfully be used for personal information transfers from Europe to the United States or most other countries. The SCCs require parties that rely upon that legal mechanism to comply with additional obligations, such as conducting transfer impact assessments and implementing additional security and privacy measures, which increases the difficulty of selling to European customers and may lead to longer sales cycles. While we have taken steps to mitigate the impact on us with respect to transfers of data, such as implementing SCCs, the efficacy and longevity of these transfer mechanisms remains uncertain. Moreover, due to potential legal challenges, there exists some uncertainty as to whether the SCCs will remain a valid transfer mechanism of personal data out of the EEA. In addition, laws in Switzerland and the United Kingdom similarly restrict transfers of personal data outside of those jurisdictions to countries such as the United States that</w:t>
      </w:r>
    </w:p>
    <w:p>
      <w:pPr>
        <w:spacing w:after="0" w:line="224" w:lineRule="auto"/>
        <w:rPr>
          <w:sz w:val="20"/>
          <w:szCs w:val="20"/>
          <w:color w:val="auto"/>
        </w:rPr>
      </w:pPr>
      <w:r>
        <w:rPr>
          <w:rFonts w:ascii="Times New Roman" w:cs="Times New Roman" w:eastAsia="Times New Roman" w:hAnsi="Times New Roman"/>
          <w:sz w:val="18"/>
          <w:szCs w:val="18"/>
          <w:color w:val="auto"/>
        </w:rPr>
        <w:t>do not provide an adequate level of personal data protection.</w:t>
      </w: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Recently, for example, Brazil enacted the General Data Protection Law, New Zealand enacted the New Zealand Privacy Act, China enacted its Personal Information Protection Law, and Canada introduced the Digital Charter Implementation Act.</w:t>
      </w:r>
    </w:p>
    <w:p>
      <w:pPr>
        <w:spacing w:after="0" w:line="3"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difficultly of establishing a lawful basis for personal information transfers out of Europe or other jurisdictions, or requiring us to increase our data processing capabilities in Europe or elsewhere at significant expense.</w:t>
      </w:r>
    </w:p>
    <w:p>
      <w:pPr>
        <w:spacing w:after="0" w:line="213"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It is anticipated that the ePrivacy Regulation will replace the current national laws that implement the ePrivacy Directive that governs electronic communications. Outside of Europe, other laws are further regulating targeted advertising, making certain online advertising activities more difficult and subject to additional scrutiny.</w:t>
      </w:r>
    </w:p>
    <w:p>
      <w:pPr>
        <w:spacing w:after="0" w:line="2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7" w:name="page48"/>
    <w:bookmarkEnd w:id="47"/>
    <w:p>
      <w:pPr>
        <w:jc w:val="both"/>
        <w:spacing w:after="0"/>
        <w:rPr>
          <w:sz w:val="20"/>
          <w:szCs w:val="20"/>
          <w:color w:val="auto"/>
        </w:rPr>
      </w:pPr>
      <w:r>
        <w:rPr>
          <w:rFonts w:ascii="Times New Roman" w:cs="Times New Roman" w:eastAsia="Times New Roman" w:hAnsi="Times New Roman"/>
          <w:sz w:val="18"/>
          <w:szCs w:val="18"/>
          <w:color w:val="auto"/>
        </w:rPr>
        <w:t>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18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California Consumer Privacy Act, or CCPA,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California Privacy Rights Act, or the CPRA, which amends the CCPA, was approved by California voters on November 3, 2020 and is scheduled to go into effect on January 1, 2023. The CPRA would, among other things, amend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Both the CCPA and CPRA could impact our business activities depending on how they are interpreted. These laws exemplify the vulnerability of our business not only to security incidents but also to the evolving regulatory environment related to personal information and protected health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For example, each of Colorado, Utah and Virginia have recently passed similar consumer privacy legislation, all of which differ from the CPRA and become effective in 2023.</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9" w:name="page50"/>
    <w:bookmarkEnd w:id="49"/>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recently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of December 31, 2021, we had NOL carryforwards for federal and state income tax purposes of approximately $505.4 million and $342.1 million, respectively, which may be available to offset taxable income in the future, and which expire in various years beginning in 2031 for federal purposes and 2028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incurred in taxable years beginning after December 31, 2020,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the Tax Cuts and Jobs Act and federal income tax legislation proposed by Congress;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developments could adversely affect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Condensed Consolidated Financial Statements included 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7"/>
          <w:szCs w:val="17"/>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1" w:name="page52"/>
    <w:bookmarkEnd w:id="51"/>
    <w:p>
      <w:pPr>
        <w:jc w:val="both"/>
        <w:spacing w:after="0" w:line="251" w:lineRule="auto"/>
        <w:rPr>
          <w:sz w:val="20"/>
          <w:szCs w:val="20"/>
          <w:color w:val="auto"/>
        </w:rPr>
      </w:pPr>
      <w:r>
        <w:rPr>
          <w:rFonts w:ascii="Times New Roman" w:cs="Times New Roman" w:eastAsia="Times New Roman" w:hAnsi="Times New Roman"/>
          <w:sz w:val="18"/>
          <w:szCs w:val="18"/>
          <w:color w:val="auto"/>
        </w:rPr>
        <w:t>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p>
      <w:pPr>
        <w:jc w:val="both"/>
        <w:spacing w:after="0" w:line="252" w:lineRule="auto"/>
        <w:rPr>
          <w:sz w:val="20"/>
          <w:szCs w:val="20"/>
          <w:color w:val="auto"/>
        </w:rPr>
      </w:pPr>
      <w:r>
        <w:rPr>
          <w:rFonts w:ascii="Times New Roman" w:cs="Times New Roman" w:eastAsia="Times New Roman" w:hAnsi="Times New Roman"/>
          <w:sz w:val="18"/>
          <w:szCs w:val="18"/>
          <w:color w:val="auto"/>
        </w:rPr>
        <w:t>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89" w:lineRule="exact"/>
        <w:rPr>
          <w:sz w:val="20"/>
          <w:szCs w:val="20"/>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28% and 28% for the three months ended March 31, 2022 and 2021,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March 31, 2022, approximately 39% of our full-time employees were located outside of the United States, 37%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4" w:name="page55"/>
    <w:bookmarkEnd w:id="54"/>
    <w:p>
      <w:pPr>
        <w:ind w:left="980" w:right="34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55" w:name="page56"/>
    <w:bookmarkEnd w:id="55"/>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ongoing COVID-19 pandemic and the war in Ukraine and related sanctions,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March 31, 2022, our outstanding shares of Class B common stock represented approximately 53% of the voting power of our outstanding capital stock. As a result, the holders of our Class B common stock, which includes certain of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6" w:name="page57"/>
    <w:bookmarkEnd w:id="56"/>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 as of March 31, 2022,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incurred significant legal, accounting, insurance, and other expenses as a public company, which we expect to further increase.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will need to include disclosure of any material weaknesses identified by our management in our internal control over financial reporting. In addition, our independent registered public accounting firm is required to attest to the effectiveness of our internal control over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which could restrict our stockholders’ ability to choose the judicial forum for disputes with us or our directors, officers, or employees.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2025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2025 Notes may adversely affect our financial condition and operating results.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2022, the conditional conversion feature of the 2025 Notes was triggered. As a result,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2025 Notes and our Class A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500" w:right="7360" w:hanging="492"/>
        <w:spacing w:after="0" w:line="500" w:lineRule="auto"/>
        <w:tabs>
          <w:tab w:leader="none" w:pos="33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500" w:right="8140" w:hanging="492"/>
        <w:spacing w:after="0" w:line="500" w:lineRule="auto"/>
        <w:tabs>
          <w:tab w:leader="none" w:pos="25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4"/>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Certificate of</w:t>
              </w:r>
            </w:hyperlink>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right"/>
              <w:ind w:right="279"/>
              <w:spacing w:after="0" w:line="196" w:lineRule="exact"/>
              <w:rPr>
                <w:sz w:val="20"/>
                <w:szCs w:val="20"/>
                <w:color w:val="auto"/>
              </w:rPr>
            </w:pPr>
            <w:r>
              <w:rPr>
                <w:rFonts w:ascii="Times New Roman" w:cs="Times New Roman" w:eastAsia="Times New Roman" w:hAnsi="Times New Roman"/>
                <w:sz w:val="18"/>
                <w:szCs w:val="18"/>
                <w:color w:val="auto"/>
              </w:rPr>
              <w:t>001-39051</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Incorporation of Datadog, Inc.</w:t>
              </w:r>
            </w:hyperlink>
          </w:p>
        </w:tc>
        <w:tc>
          <w:tcPr>
            <w:tcW w:w="1040" w:type="dxa"/>
            <w:vAlign w:val="bottom"/>
            <w:gridSpan w:val="9"/>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Amended and Restated Bylaws of Datadog, Inc.</w:t>
              </w:r>
            </w:hyperlink>
          </w:p>
        </w:tc>
        <w:tc>
          <w:tcPr>
            <w:tcW w:w="2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50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333-233428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23, 2019</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Offer Letter, by and between Datadog, Inc. and</w:t>
            </w:r>
          </w:p>
        </w:tc>
        <w:tc>
          <w:tcPr>
            <w:tcW w:w="30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Adam Blitzer, dated April 23, 2021</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580" w:type="dxa"/>
            <w:vAlign w:val="bottom"/>
            <w:gridSpan w:val="6"/>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0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0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580" w:type="dxa"/>
            <w:vAlign w:val="bottom"/>
            <w:gridSpan w:val="6"/>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9"/>
          </w:tcPr>
          <w:p>
            <w:pPr>
              <w:spacing w:after="0"/>
              <w:rPr>
                <w:sz w:val="17"/>
                <w:szCs w:val="17"/>
                <w:color w:val="auto"/>
              </w:rPr>
            </w:pPr>
          </w:p>
        </w:tc>
        <w:tc>
          <w:tcPr>
            <w:tcW w:w="34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9"/>
          </w:tcPr>
          <w:p>
            <w:pPr>
              <w:spacing w:after="0"/>
              <w:rPr>
                <w:sz w:val="17"/>
                <w:szCs w:val="17"/>
                <w:color w:val="auto"/>
              </w:rPr>
            </w:pPr>
          </w:p>
        </w:tc>
        <w:tc>
          <w:tcPr>
            <w:tcW w:w="34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420" w:right="20" w:hanging="412"/>
        <w:spacing w:after="0" w:line="270" w:lineRule="auto"/>
        <w:tabs>
          <w:tab w:leader="none" w:pos="41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DATADOG, INC.</w:t>
            </w:r>
          </w:p>
        </w:tc>
      </w:tr>
      <w:tr>
        <w:trPr>
          <w:trHeight w:val="50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887" w:right="339" w:bottom="1440" w:gutter="0" w:footer="0" w:header="0"/>
        </w:sectPr>
      </w:pPr>
    </w:p>
    <w:bookmarkStart w:id="62" w:name="page63"/>
    <w:bookmarkEnd w:id="6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Datadog, Inc.</w:t>
      </w:r>
    </w:p>
    <w:p>
      <w:pPr>
        <w:jc w:val="right"/>
        <w:spacing w:after="0" w:line="203" w:lineRule="auto"/>
        <w:rPr>
          <w:sz w:val="20"/>
          <w:szCs w:val="20"/>
          <w:color w:val="auto"/>
        </w:rPr>
      </w:pPr>
      <w:r>
        <w:rPr>
          <w:rFonts w:ascii="Times New Roman" w:cs="Times New Roman" w:eastAsia="Times New Roman" w:hAnsi="Times New Roman"/>
          <w:sz w:val="18"/>
          <w:szCs w:val="18"/>
          <w:color w:val="auto"/>
        </w:rPr>
        <w:t>620 8th Avenue, 45th Floor</w:t>
      </w:r>
    </w:p>
    <w:p>
      <w:pPr>
        <w:jc w:val="right"/>
        <w:spacing w:after="0" w:line="219" w:lineRule="auto"/>
        <w:rPr>
          <w:sz w:val="20"/>
          <w:szCs w:val="20"/>
          <w:color w:val="auto"/>
        </w:rPr>
      </w:pPr>
      <w:r>
        <w:rPr>
          <w:rFonts w:ascii="Times New Roman" w:cs="Times New Roman" w:eastAsia="Times New Roman" w:hAnsi="Times New Roman"/>
          <w:sz w:val="18"/>
          <w:szCs w:val="18"/>
          <w:color w:val="auto"/>
        </w:rPr>
        <w:t>New York, NY 10018</w:t>
      </w:r>
    </w:p>
    <w:p>
      <w:pPr>
        <w:ind w:left="10120"/>
        <w:spacing w:after="0" w:line="216" w:lineRule="auto"/>
        <w:rPr>
          <w:sz w:val="20"/>
          <w:szCs w:val="20"/>
          <w:color w:val="auto"/>
        </w:rPr>
      </w:pPr>
      <w:r>
        <w:rPr>
          <w:rFonts w:ascii="Times New Roman" w:cs="Times New Roman" w:eastAsia="Times New Roman" w:hAnsi="Times New Roman"/>
          <w:sz w:val="17"/>
          <w:szCs w:val="17"/>
          <w:color w:val="auto"/>
        </w:rPr>
        <w:t>(866) 329-4466</w:t>
      </w:r>
    </w:p>
    <w:p>
      <w:pPr>
        <w:ind w:left="9720"/>
        <w:spacing w:after="0"/>
        <w:rPr>
          <w:sz w:val="20"/>
          <w:szCs w:val="20"/>
          <w:color w:val="auto"/>
        </w:rPr>
      </w:pPr>
      <w:r>
        <w:rPr>
          <w:rFonts w:ascii="Times New Roman" w:cs="Times New Roman" w:eastAsia="Times New Roman" w:hAnsi="Times New Roman"/>
          <w:sz w:val="17"/>
          <w:szCs w:val="17"/>
          <w:color w:val="auto"/>
        </w:rPr>
        <w:t>www.datadoghq.com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942975" cy="9772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94297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2021</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Blitzer</w:t>
      </w:r>
    </w:p>
    <w:p>
      <w:pPr>
        <w:spacing w:after="0"/>
        <w:rPr>
          <w:sz w:val="20"/>
          <w:szCs w:val="20"/>
          <w:color w:val="auto"/>
        </w:rPr>
      </w:pPr>
      <w:r>
        <w:rPr>
          <w:rFonts w:ascii="Times New Roman" w:cs="Times New Roman" w:eastAsia="Times New Roman" w:hAnsi="Times New Roman"/>
          <w:sz w:val="18"/>
          <w:szCs w:val="18"/>
          <w:color w:val="auto"/>
        </w:rPr>
        <w:t>Adam.blitzer@gmail.com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Datadog, Inc. (the “Company”) is pleased to offer you employment on the following terms:</w:t>
      </w:r>
    </w:p>
    <w:p>
      <w:pPr>
        <w:spacing w:after="0" w:line="181" w:lineRule="exact"/>
        <w:rPr>
          <w:sz w:val="20"/>
          <w:szCs w:val="20"/>
          <w:color w:val="auto"/>
        </w:rPr>
      </w:pPr>
    </w:p>
    <w:p>
      <w:pPr>
        <w:jc w:val="both"/>
        <w:ind w:left="340" w:hanging="332"/>
        <w:spacing w:after="0" w:line="224"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initial title will be Chief Operating Officer and you will initially report to the Company’s Chief Executive Officer beginning on May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This is a full time, exempt position. Your principal workplace will be San Francisco, California.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3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The Company will pay you a starting salary of $15,625.00 per pay period (equivalent to $375,000.00 annually), payable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Company’s standard payroll schedule. This salary may be subject to adjustment pursuant to the Company’s compensation policies in effect from time to time.</w:t>
      </w:r>
    </w:p>
    <w:p>
      <w:pPr>
        <w:spacing w:after="0" w:line="155" w:lineRule="exact"/>
        <w:rPr>
          <w:rFonts w:ascii="Times New Roman" w:cs="Times New Roman" w:eastAsia="Times New Roman" w:hAnsi="Times New Roman"/>
          <w:sz w:val="18"/>
          <w:szCs w:val="18"/>
          <w:color w:val="auto"/>
        </w:rPr>
      </w:pPr>
    </w:p>
    <w:p>
      <w:pPr>
        <w:jc w:val="both"/>
        <w:ind w:left="340" w:hanging="332"/>
        <w:spacing w:after="0" w:line="221"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Subject to the approval of the Compensation Committee of the Company’s Board of Directors (the “Compensation Committee”) your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 target will be $350,000.00. The bonus will be determined and paid following the completion of the calendar year in the sole discretion of the Compensation Committee based on a review of your performance and the performance of the Company in accordance with the Company’s bonus plan for executive officers. You must be actively employed on December 31 of the pertinent year and on the payment date in order to be eligible for the bonus. You will be eligible for a pro-rated bonus for calendar year 2021 based on the portion of the year during which you are employed as COO.</w:t>
      </w:r>
    </w:p>
    <w:p>
      <w:pPr>
        <w:spacing w:after="0" w:line="167" w:lineRule="exact"/>
        <w:rPr>
          <w:rFonts w:ascii="Times New Roman" w:cs="Times New Roman" w:eastAsia="Times New Roman" w:hAnsi="Times New Roman"/>
          <w:sz w:val="18"/>
          <w:szCs w:val="18"/>
          <w:color w:val="auto"/>
        </w:rPr>
      </w:pPr>
    </w:p>
    <w:p>
      <w:pPr>
        <w:ind w:left="340" w:right="20" w:hanging="332"/>
        <w:spacing w:after="0" w:line="239"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As a regular employee of the Company, you will be eligible to participate in a number of Company-sponsored benefits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outlined in the benefits guide.</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18"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12121"/>
        </w:rPr>
        <w:t xml:space="preserve">Equity Award. </w:t>
      </w:r>
      <w:r>
        <w:rPr>
          <w:rFonts w:ascii="Times New Roman" w:cs="Times New Roman" w:eastAsia="Times New Roman" w:hAnsi="Times New Roman"/>
          <w:sz w:val="18"/>
          <w:szCs w:val="18"/>
          <w:color w:val="212121"/>
        </w:rPr>
        <w:t>Subject to the routine approval of the Compensation Committee (the “Administrator”), you will be granted a restricted stock unit</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award with respect to shares of the Company’s Class A Common Stock with a value of $18 million as determined by the Administrator based on the volume weighted average price during the month of May (the “RSU”). The RSU will be subject to the terms and conditions applicable to RSUs granted under the Company’s 2019 Equity Incentive Plan (the “2019 Plan”), as described in the 2019 Plan and the applicable RSU Agreement. The RSUs will vest over a four-year schedule in accordance with the Company’s standard policy and the applicable RSU Agreement as follows (assuming a May start date of your employment): 25% of the shares underlying the RSU will vest on June 1, 2022, and the remaining 75% of the shares underlying the RSU will vest in 12 equal quarterly installments on each March 1, June 1, September 1 and December 1 thereafter, so long as you remain in the Continuous Service of the Company (as defined in the 2019 Plan)</w:t>
      </w:r>
      <w:r>
        <w:rPr>
          <w:rFonts w:ascii="Times New Roman" w:cs="Times New Roman" w:eastAsia="Times New Roman" w:hAnsi="Times New Roman"/>
          <w:sz w:val="18"/>
          <w:szCs w:val="18"/>
          <w:color w:val="000000"/>
        </w:rPr>
        <w:t>.</w:t>
      </w:r>
    </w:p>
    <w:p>
      <w:pPr>
        <w:spacing w:after="0" w:line="156" w:lineRule="exact"/>
        <w:rPr>
          <w:rFonts w:ascii="Times New Roman" w:cs="Times New Roman" w:eastAsia="Times New Roman" w:hAnsi="Times New Roman"/>
          <w:sz w:val="18"/>
          <w:szCs w:val="18"/>
          <w:color w:val="auto"/>
        </w:rPr>
      </w:pPr>
    </w:p>
    <w:p>
      <w:pPr>
        <w:ind w:left="340" w:hanging="332"/>
        <w:spacing w:after="0" w:line="239"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Proprietary Information and Inventions Agreement. </w:t>
      </w:r>
      <w:r>
        <w:rPr>
          <w:rFonts w:ascii="Times New Roman" w:cs="Times New Roman" w:eastAsia="Times New Roman" w:hAnsi="Times New Roman"/>
          <w:sz w:val="18"/>
          <w:szCs w:val="18"/>
          <w:color w:val="auto"/>
        </w:rPr>
        <w:t>Like all Company employees, you will be required, as a condition of your employment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sign the Company’s standard Proprietary Information and Inventions Agreement, which is attached hereto as Exhibit A</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131" w:right="339" w:bottom="1440" w:gutter="0" w:footer="0" w:header="0"/>
        </w:sectPr>
      </w:pPr>
    </w:p>
    <w:bookmarkStart w:id="63" w:name="page64"/>
    <w:bookmarkEnd w:id="63"/>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Severance Benefits. </w:t>
      </w:r>
      <w:r>
        <w:rPr>
          <w:rFonts w:ascii="Times New Roman" w:cs="Times New Roman" w:eastAsia="Times New Roman" w:hAnsi="Times New Roman"/>
          <w:sz w:val="18"/>
          <w:szCs w:val="18"/>
          <w:color w:val="auto"/>
        </w:rPr>
        <w:t>You will be eligible for severance benefits in accordance with the Severance Agreement attached hereto as</w:t>
      </w:r>
      <w:r>
        <w:rPr>
          <w:rFonts w:ascii="Times New Roman" w:cs="Times New Roman" w:eastAsia="Times New Roman" w:hAnsi="Times New Roman"/>
          <w:sz w:val="18"/>
          <w:szCs w:val="18"/>
          <w:b w:val="1"/>
          <w:bCs w:val="1"/>
          <w:color w:val="auto"/>
        </w:rPr>
        <w:t xml:space="preserve"> Exhibit B.</w:t>
      </w:r>
    </w:p>
    <w:p>
      <w:pPr>
        <w:spacing w:after="0" w:line="184" w:lineRule="exact"/>
        <w:rPr>
          <w:rFonts w:ascii="Times New Roman" w:cs="Times New Roman" w:eastAsia="Times New Roman" w:hAnsi="Times New Roman"/>
          <w:sz w:val="18"/>
          <w:szCs w:val="18"/>
          <w:color w:val="auto"/>
        </w:rPr>
      </w:pPr>
    </w:p>
    <w:p>
      <w:pPr>
        <w:ind w:left="340" w:right="20" w:hanging="332"/>
        <w:spacing w:after="0" w:line="255"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You will be eligible for indemnification by the Company in accordance with the Indemnification Agreement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 C.</w:t>
      </w:r>
    </w:p>
    <w:p>
      <w:pPr>
        <w:spacing w:after="0" w:line="140" w:lineRule="exact"/>
        <w:rPr>
          <w:rFonts w:ascii="Times New Roman" w:cs="Times New Roman" w:eastAsia="Times New Roman" w:hAnsi="Times New Roman"/>
          <w:sz w:val="18"/>
          <w:szCs w:val="18"/>
          <w:color w:val="auto"/>
        </w:rPr>
      </w:pPr>
    </w:p>
    <w:p>
      <w:pPr>
        <w:jc w:val="both"/>
        <w:ind w:left="340" w:hanging="332"/>
        <w:spacing w:after="0" w:line="22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Relationship. </w:t>
      </w:r>
      <w:r>
        <w:rPr>
          <w:rFonts w:ascii="Times New Roman" w:cs="Times New Roman" w:eastAsia="Times New Roman" w:hAnsi="Times New Roman"/>
          <w:sz w:val="18"/>
          <w:szCs w:val="18"/>
          <w:color w:val="auto"/>
        </w:rPr>
        <w:t>Employment with the Company is for no specific period of time. Your employment with the Company will be “at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that either you or the Company may terminate your employment at any time and for any reason, with or without cause, subject to the severance benefits described in paragraph 7 above. Any contrary representations that may have been made to you are superseded by this letter agreement. This is the full and complete agreement between you and the Company on this term. Although your job duties, title, compensation and benefits, as well as the Company’s employment policies and procedures, may change from time to time, the “at will” nature of your employment may only be changed in an express written agreement signed by you and a duly authorized officer of the Company (other than you).</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Required Conditions. </w:t>
      </w:r>
      <w:r>
        <w:rPr>
          <w:rFonts w:ascii="Times New Roman" w:cs="Times New Roman" w:eastAsia="Times New Roman" w:hAnsi="Times New Roman"/>
          <w:sz w:val="18"/>
          <w:szCs w:val="18"/>
          <w:color w:val="auto"/>
        </w:rPr>
        <w:t>This offer of employment is contingent on both of the following;</w:t>
      </w:r>
    </w:p>
    <w:p>
      <w:pPr>
        <w:spacing w:after="0" w:line="188" w:lineRule="exact"/>
        <w:rPr>
          <w:rFonts w:ascii="Times New Roman" w:cs="Times New Roman" w:eastAsia="Times New Roman" w:hAnsi="Times New Roman"/>
          <w:sz w:val="18"/>
          <w:szCs w:val="18"/>
          <w:color w:val="auto"/>
        </w:rPr>
      </w:pPr>
    </w:p>
    <w:p>
      <w:pPr>
        <w:ind w:left="980" w:hanging="324"/>
        <w:spacing w:after="0" w:line="250"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background investigation, which may include verification of previous employers, verification of education, and review criminal record.</w:t>
      </w:r>
    </w:p>
    <w:p>
      <w:pPr>
        <w:spacing w:after="0" w:line="14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legal proof of your identity and authorization to work in the United States subject to applicable E-Verify requirements.</w:t>
      </w:r>
    </w:p>
    <w:p>
      <w:pPr>
        <w:spacing w:after="0" w:line="18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p>
    <w:p>
      <w:pPr>
        <w:spacing w:after="0" w:line="198" w:lineRule="exact"/>
        <w:rPr>
          <w:rFonts w:ascii="Times New Roman" w:cs="Times New Roman" w:eastAsia="Times New Roman" w:hAnsi="Times New Roman"/>
          <w:sz w:val="18"/>
          <w:szCs w:val="18"/>
          <w:color w:val="auto"/>
        </w:rPr>
      </w:pPr>
    </w:p>
    <w:p>
      <w:pPr>
        <w:ind w:left="980" w:hanging="324"/>
        <w:spacing w:after="0" w:line="239"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All forms of compensation referred to in this letter agreement are subject to reduction to reflect applicable withholding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taxes and other deductions as required by law.</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32"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Advice. </w:t>
      </w:r>
      <w:r>
        <w:rPr>
          <w:rFonts w:ascii="Times New Roman" w:cs="Times New Roman" w:eastAsia="Times New Roman" w:hAnsi="Times New Roman"/>
          <w:sz w:val="18"/>
          <w:szCs w:val="18"/>
          <w:color w:val="auto"/>
        </w:rPr>
        <w:t>You are encouraged to obtain your own tax advice regarding your compensation from the Company. You agree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55" w:lineRule="exact"/>
        <w:rPr>
          <w:rFonts w:ascii="Times New Roman" w:cs="Times New Roman" w:eastAsia="Times New Roman" w:hAnsi="Times New Roman"/>
          <w:sz w:val="18"/>
          <w:szCs w:val="18"/>
          <w:color w:val="auto"/>
        </w:rPr>
      </w:pPr>
    </w:p>
    <w:p>
      <w:pPr>
        <w:jc w:val="both"/>
        <w:ind w:left="340" w:hanging="332"/>
        <w:spacing w:after="0" w:line="218"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Interpretation, Amendment and Enforcement. </w:t>
      </w:r>
      <w:r>
        <w:rPr>
          <w:rFonts w:ascii="Times New Roman" w:cs="Times New Roman" w:eastAsia="Times New Roman" w:hAnsi="Times New Roman"/>
          <w:sz w:val="18"/>
          <w:szCs w:val="18"/>
          <w:color w:val="auto"/>
        </w:rPr>
        <w:t>This letter agreement and the exhibits attached hereto constitute the complete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the Company, contain all of the terms of your employment with the Company and supersede any prior agreements, representations or understandings (whether written, oral or implied) between you and the Company. The terms of this letter agreement and the resolution of any disputes as to the meaning, effect, performance or validity of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You may indicate your agreement with these terms and accept this offer by signing and dating both this letter agreement and the attached Proprietary Information and Inventions Agreement and returning them to me. This offer, if not accepted, will expire at the close of business on April 28,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all excited at the prospect of you joining Datadog. If you have any questions, please reach out to Olivier Pomel.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Sincerely,</w:t>
      </w:r>
    </w:p>
    <w:p>
      <w:pPr>
        <w:ind w:left="4540"/>
        <w:spacing w:after="0"/>
        <w:rPr>
          <w:sz w:val="20"/>
          <w:szCs w:val="20"/>
          <w:color w:val="auto"/>
        </w:rPr>
      </w:pPr>
      <w:r>
        <w:rPr>
          <w:rFonts w:ascii="Times New Roman" w:cs="Times New Roman" w:eastAsia="Times New Roman" w:hAnsi="Times New Roman"/>
          <w:sz w:val="18"/>
          <w:szCs w:val="18"/>
          <w:color w:val="auto"/>
        </w:rPr>
        <w:t>DATADOG, INC.</w:t>
      </w:r>
    </w:p>
    <w:p>
      <w:pPr>
        <w:spacing w:after="0" w:line="200" w:lineRule="exact"/>
        <w:rPr>
          <w:sz w:val="20"/>
          <w:szCs w:val="20"/>
          <w:color w:val="auto"/>
        </w:rPr>
      </w:pPr>
    </w:p>
    <w:p>
      <w:pPr>
        <w:spacing w:after="0" w:line="2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-635</wp:posOffset>
            </wp:positionV>
            <wp:extent cx="923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923290" cy="8890"/>
                    </a:xfrm>
                    <a:prstGeom prst="rect">
                      <a:avLst/>
                    </a:prstGeom>
                    <a:noFill/>
                  </pic:spPr>
                </pic:pic>
              </a:graphicData>
            </a:graphic>
          </wp:anchor>
        </w:drawing>
      </w:r>
    </w:p>
    <w:p>
      <w:pPr>
        <w:ind w:left="4540"/>
        <w:spacing w:after="0" w:line="203" w:lineRule="auto"/>
        <w:rPr>
          <w:sz w:val="20"/>
          <w:szCs w:val="20"/>
          <w:color w:val="auto"/>
        </w:rPr>
      </w:pPr>
      <w:r>
        <w:rPr>
          <w:rFonts w:ascii="Times New Roman" w:cs="Times New Roman" w:eastAsia="Times New Roman" w:hAnsi="Times New Roman"/>
          <w:sz w:val="18"/>
          <w:szCs w:val="18"/>
          <w:color w:val="auto"/>
        </w:rPr>
        <w:t>Name: Olivier Pomel</w:t>
      </w:r>
    </w:p>
    <w:p>
      <w:pPr>
        <w:ind w:left="4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0" w:right="339" w:bottom="1440" w:gutter="0" w:footer="0" w:header="0"/>
        </w:sectPr>
      </w:pPr>
    </w:p>
    <w:bookmarkStart w:id="64" w:name="page65"/>
    <w:bookmarkEnd w:id="64"/>
    <w:p>
      <w:pPr>
        <w:spacing w:after="0" w:line="200" w:lineRule="exact"/>
        <w:rPr>
          <w:sz w:val="20"/>
          <w:szCs w:val="20"/>
          <w:color w:val="auto"/>
        </w:rPr>
      </w:pPr>
    </w:p>
    <w:p>
      <w:pPr>
        <w:spacing w:after="0" w:line="219"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17"/>
          <w:szCs w:val="17"/>
          <w:b w:val="1"/>
          <w:bCs w:val="1"/>
          <w:color w:val="auto"/>
        </w:rPr>
        <w:t>I ACKNOWLEDGE RECEIPT OF, AND AGREE TO THE TERMS OF, THIS LETTER AGREEMENT (INCLUDING SALARY, PAY RATE AND PAYDAY INFORMATION). I ADVISED DATADOG THAT MY PRIMARY LANGUAGE IS ENGLISH, AND WAS GIVEN THIS</w:t>
      </w:r>
    </w:p>
    <w:p>
      <w:pPr>
        <w:spacing w:after="0" w:line="204" w:lineRule="auto"/>
        <w:rPr>
          <w:sz w:val="20"/>
          <w:szCs w:val="20"/>
          <w:color w:val="auto"/>
        </w:rPr>
      </w:pPr>
      <w:r>
        <w:rPr>
          <w:rFonts w:ascii="Times New Roman" w:cs="Times New Roman" w:eastAsia="Times New Roman" w:hAnsi="Times New Roman"/>
          <w:sz w:val="18"/>
          <w:szCs w:val="18"/>
          <w:b w:val="1"/>
          <w:bCs w:val="1"/>
          <w:color w:val="auto"/>
        </w:rPr>
        <w:t>LETTER AGREEMENT IN ENGLISH BECAUSE IT IS MY PRIMARY LANGUAGE.</w:t>
      </w:r>
    </w:p>
    <w:p>
      <w:pPr>
        <w:spacing w:after="0"/>
        <w:tabs>
          <w:tab w:leader="none" w:pos="1820" w:val="left"/>
        </w:tabs>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Adam Blitzer</w:t>
      </w:r>
      <w:r>
        <w:rPr>
          <w:sz w:val="20"/>
          <w:szCs w:val="20"/>
          <w:color w:val="auto"/>
        </w:rPr>
        <w:tab/>
      </w:r>
      <w:r>
        <w:rPr>
          <w:rFonts w:ascii="Times New Roman" w:cs="Times New Roman" w:eastAsia="Times New Roman" w:hAnsi="Times New Roman"/>
          <w:sz w:val="17"/>
          <w:szCs w:val="17"/>
          <w:color w:val="auto"/>
        </w:rPr>
        <w:t>Date: April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-20320</wp:posOffset>
            </wp:positionV>
            <wp:extent cx="20529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2022;</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2022;</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March 31, 2022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March 31, 2022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2"/>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3"/>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7"/>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jpe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05" Type="http://schemas.openxmlformats.org/officeDocument/2006/relationships/hyperlink" Target="https://www.sec.gov/Archives/edgar/data/0001561550/000119312519252279/d803834dex31.htm" TargetMode="External"/><Relationship Id="rId106" Type="http://schemas.openxmlformats.org/officeDocument/2006/relationships/hyperlink" Target="https://www.sec.gov/Archives/edgar/data/0001561550/000119312519227783/d745413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2022-05-06T07:24:42Z</dcterms:created>
  <dcterms:modified xsi:type="dcterms:W3CDTF">2022-05-06T07:24:42Z</dcterms:modified>
</cp:coreProperties>
</file>