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3933825</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001-39051</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Datadog,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24"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90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20"/>
                <w:szCs w:val="20"/>
                <w:color w:val="auto"/>
              </w:rPr>
            </w:pPr>
          </w:p>
        </w:tc>
        <w:tc>
          <w:tcPr>
            <w:tcW w:w="2980" w:type="dxa"/>
            <w:vAlign w:val="bottom"/>
          </w:tcPr>
          <w:p>
            <w:pPr>
              <w:jc w:val="right"/>
              <w:ind w:right="41"/>
              <w:spacing w:after="0"/>
              <w:rPr>
                <w:sz w:val="20"/>
                <w:szCs w:val="20"/>
                <w:color w:val="auto"/>
              </w:rPr>
            </w:pPr>
            <w:r>
              <w:rPr>
                <w:rFonts w:ascii="Arial" w:cs="Arial" w:eastAsia="Arial" w:hAnsi="Arial"/>
                <w:sz w:val="18"/>
                <w:szCs w:val="18"/>
                <w:b w:val="1"/>
                <w:bCs w:val="1"/>
                <w:color w:val="auto"/>
              </w:rPr>
              <w:t>27-2825503</w:t>
            </w:r>
          </w:p>
        </w:tc>
      </w:tr>
      <w:tr>
        <w:trPr>
          <w:trHeight w:val="193"/>
        </w:trPr>
        <w:tc>
          <w:tcPr>
            <w:tcW w:w="290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w:t>
            </w:r>
          </w:p>
        </w:tc>
        <w:tc>
          <w:tcPr>
            <w:tcW w:w="2780" w:type="dxa"/>
            <w:vAlign w:val="bottom"/>
          </w:tcPr>
          <w:p>
            <w:pPr>
              <w:spacing w:after="0"/>
              <w:rPr>
                <w:sz w:val="16"/>
                <w:szCs w:val="16"/>
                <w:color w:val="auto"/>
              </w:rPr>
            </w:pP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left="739"/>
              <w:spacing w:after="0"/>
              <w:rPr>
                <w:sz w:val="20"/>
                <w:szCs w:val="20"/>
                <w:color w:val="auto"/>
              </w:rPr>
            </w:pPr>
            <w:r>
              <w:rPr>
                <w:rFonts w:ascii="Arial" w:cs="Arial" w:eastAsia="Arial" w:hAnsi="Arial"/>
                <w:sz w:val="14"/>
                <w:szCs w:val="14"/>
                <w:b w:val="1"/>
                <w:bCs w:val="1"/>
                <w:color w:val="auto"/>
                <w:w w:val="94"/>
              </w:rPr>
              <w:t>incorporation or organization)</w:t>
            </w:r>
          </w:p>
        </w:tc>
        <w:tc>
          <w:tcPr>
            <w:tcW w:w="2780" w:type="dxa"/>
            <w:vAlign w:val="bottom"/>
          </w:tcPr>
          <w:p>
            <w:pPr>
              <w:spacing w:after="0"/>
              <w:rPr>
                <w:sz w:val="16"/>
                <w:szCs w:val="16"/>
                <w:color w:val="auto"/>
              </w:rPr>
            </w:pP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4"/>
              </w:rPr>
              <w:t>Identification No.)</w:t>
            </w:r>
          </w:p>
        </w:tc>
      </w:tr>
      <w:tr>
        <w:trPr>
          <w:trHeight w:val="268"/>
        </w:trPr>
        <w:tc>
          <w:tcPr>
            <w:tcW w:w="2900" w:type="dxa"/>
            <w:vAlign w:val="bottom"/>
          </w:tcPr>
          <w:p>
            <w:pPr>
              <w:jc w:val="center"/>
              <w:ind w:right="1599"/>
              <w:spacing w:after="0"/>
              <w:rPr>
                <w:sz w:val="20"/>
                <w:szCs w:val="20"/>
                <w:color w:val="auto"/>
              </w:rPr>
            </w:pPr>
            <w:r>
              <w:rPr>
                <w:rFonts w:ascii="Arial" w:cs="Arial" w:eastAsia="Arial" w:hAnsi="Arial"/>
                <w:sz w:val="18"/>
                <w:szCs w:val="18"/>
                <w:b w:val="1"/>
                <w:bCs w:val="1"/>
                <w:color w:val="auto"/>
                <w:w w:val="88"/>
              </w:rPr>
              <w:t>620 8th Avenue,</w:t>
            </w:r>
          </w:p>
        </w:tc>
        <w:tc>
          <w:tcPr>
            <w:tcW w:w="27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4"/>
              </w:rPr>
              <w:t>45th Floor</w:t>
            </w:r>
          </w:p>
        </w:tc>
        <w:tc>
          <w:tcPr>
            <w:tcW w:w="2980" w:type="dxa"/>
            <w:vAlign w:val="bottom"/>
          </w:tcPr>
          <w:p>
            <w:pPr>
              <w:spacing w:after="0"/>
              <w:rPr>
                <w:sz w:val="23"/>
                <w:szCs w:val="23"/>
                <w:color w:val="auto"/>
              </w:rPr>
            </w:pPr>
          </w:p>
        </w:tc>
      </w:tr>
      <w:tr>
        <w:trPr>
          <w:trHeight w:val="270"/>
        </w:trPr>
        <w:tc>
          <w:tcPr>
            <w:tcW w:w="2900" w:type="dxa"/>
            <w:vAlign w:val="bottom"/>
          </w:tcPr>
          <w:p>
            <w:pPr>
              <w:jc w:val="center"/>
              <w:ind w:right="1599"/>
              <w:spacing w:after="0"/>
              <w:rPr>
                <w:sz w:val="20"/>
                <w:szCs w:val="20"/>
                <w:color w:val="auto"/>
              </w:rPr>
            </w:pPr>
            <w:r>
              <w:rPr>
                <w:rFonts w:ascii="Arial" w:cs="Arial" w:eastAsia="Arial" w:hAnsi="Arial"/>
                <w:sz w:val="18"/>
                <w:szCs w:val="18"/>
                <w:b w:val="1"/>
                <w:bCs w:val="1"/>
                <w:color w:val="auto"/>
                <w:w w:val="94"/>
              </w:rPr>
              <w:t>New York,</w:t>
            </w:r>
          </w:p>
        </w:tc>
        <w:tc>
          <w:tcPr>
            <w:tcW w:w="2780" w:type="dxa"/>
            <w:vAlign w:val="bottom"/>
          </w:tcPr>
          <w:p>
            <w:pPr>
              <w:jc w:val="center"/>
              <w:ind w:right="1670"/>
              <w:spacing w:after="0"/>
              <w:rPr>
                <w:sz w:val="20"/>
                <w:szCs w:val="20"/>
                <w:color w:val="auto"/>
              </w:rPr>
            </w:pPr>
            <w:r>
              <w:rPr>
                <w:rFonts w:ascii="Arial" w:cs="Arial" w:eastAsia="Arial" w:hAnsi="Arial"/>
                <w:sz w:val="18"/>
                <w:szCs w:val="18"/>
                <w:b w:val="1"/>
                <w:bCs w:val="1"/>
                <w:color w:val="auto"/>
              </w:rPr>
              <w:t>NY</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10018</w:t>
            </w:r>
          </w:p>
        </w:tc>
      </w:tr>
      <w:tr>
        <w:trPr>
          <w:trHeight w:val="218"/>
        </w:trPr>
        <w:tc>
          <w:tcPr>
            <w:tcW w:w="5680" w:type="dxa"/>
            <w:vAlign w:val="bottom"/>
            <w:gridSpan w:val="2"/>
          </w:tcPr>
          <w:p>
            <w:pPr>
              <w:jc w:val="center"/>
              <w:ind w:right="185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(866) 329-4466</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68"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As of July 28, 2021, there were 239,734,809 shares of the registrant’s Class A common stock and 70,281,090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22"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100" w:type="dxa"/>
            <w:vAlign w:val="bottom"/>
            <w:gridSpan w:val="20"/>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0"/>
            <w:vMerge w:val="continue"/>
          </w:tcPr>
          <w:p>
            <w:pPr>
              <w:spacing w:after="0"/>
              <w:rPr>
                <w:sz w:val="15"/>
                <w:szCs w:val="15"/>
                <w:color w:val="auto"/>
              </w:rPr>
            </w:pPr>
          </w:p>
        </w:tc>
        <w:tc>
          <w:tcPr>
            <w:tcW w:w="880" w:type="dxa"/>
            <w:vAlign w:val="bottom"/>
          </w:tcPr>
          <w:p>
            <w:pPr>
              <w:jc w:val="right"/>
              <w:spacing w:after="0" w:line="169"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15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June </w:t>
              </w:r>
            </w:hyperlink>
            <w:r>
              <w:rPr>
                <w:rFonts w:ascii="Arial" w:cs="Arial" w:eastAsia="Arial" w:hAnsi="Arial"/>
                <w:sz w:val="18"/>
                <w:szCs w:val="18"/>
                <w:color w:val="0000FF"/>
              </w:rPr>
              <w:t xml:space="preserve">30, </w:t>
            </w:r>
            <w:hyperlink w:anchor="page4">
              <w:r>
                <w:rPr>
                  <w:rFonts w:ascii="Arial" w:cs="Arial" w:eastAsia="Arial" w:hAnsi="Arial"/>
                  <w:sz w:val="18"/>
                  <w:szCs w:val="18"/>
                  <w:color w:val="0000FF"/>
                </w:rPr>
                <w:t>2021 and December 31, 2020</w:t>
              </w:r>
            </w:hyperlink>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Operations for the Three and Six Months Ended June </w:t>
              </w:r>
            </w:hyperlink>
            <w:r>
              <w:rPr>
                <w:rFonts w:ascii="Arial" w:cs="Arial" w:eastAsia="Arial" w:hAnsi="Arial"/>
                <w:sz w:val="18"/>
                <w:szCs w:val="18"/>
                <w:color w:val="0000FF"/>
              </w:rPr>
              <w:t xml:space="preserve">30, </w:t>
            </w:r>
            <w:hyperlink w:anchor="page4">
              <w:r>
                <w:rPr>
                  <w:rFonts w:ascii="Arial" w:cs="Arial" w:eastAsia="Arial" w:hAnsi="Arial"/>
                  <w:sz w:val="18"/>
                  <w:szCs w:val="18"/>
                  <w:color w:val="0000FF"/>
                </w:rPr>
                <w:t>2021 and 2020</w:t>
              </w:r>
            </w:hyperlink>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Comprehensive (Loss) Income for the Three and Six Months Ended June 30, 2021</w:t>
              </w:r>
            </w:hyperlink>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and 2020</w:t>
              </w:r>
            </w:hyperlink>
          </w:p>
        </w:tc>
        <w:tc>
          <w:tcPr>
            <w:tcW w:w="8140" w:type="dxa"/>
            <w:vAlign w:val="bottom"/>
            <w:tcBorders>
              <w:top w:val="single" w:sz="8" w:color="0000FF"/>
            </w:tcBorders>
            <w:gridSpan w:val="17"/>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 of Stockholders’ Equity for the Three and Six Months Ended June 30, 2021 and 2020</w:t>
              </w:r>
            </w:hyperlink>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740" w:type="dxa"/>
            <w:vAlign w:val="bottom"/>
            <w:tcBorders>
              <w:top w:val="single" w:sz="8" w:color="0000FF"/>
            </w:tcBorders>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for the Six Months Ended June 30, 2021 and 2020</w:t>
              </w:r>
            </w:hyperlink>
          </w:p>
        </w:tc>
        <w:tc>
          <w:tcPr>
            <w:tcW w:w="360" w:type="dxa"/>
            <w:vAlign w:val="bottom"/>
            <w:gridSpan w:val="2"/>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60" w:type="dxa"/>
            <w:vAlign w:val="bottom"/>
            <w:tcBorders>
              <w:top w:val="single" w:sz="8" w:color="0000FF"/>
            </w:tcBorders>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1740" w:type="dxa"/>
            <w:vAlign w:val="bottom"/>
            <w:gridSpan w:val="4"/>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64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2640" w:type="dxa"/>
            <w:vAlign w:val="bottom"/>
            <w:gridSpan w:val="5"/>
          </w:tcPr>
          <w:p>
            <w:pPr>
              <w:spacing w:after="0"/>
              <w:rPr>
                <w:sz w:val="24"/>
                <w:szCs w:val="24"/>
                <w:color w:val="auto"/>
              </w:rPr>
            </w:pPr>
          </w:p>
        </w:tc>
        <w:tc>
          <w:tcPr>
            <w:tcW w:w="8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4740" w:type="dxa"/>
            <w:vAlign w:val="bottom"/>
            <w:gridSpan w:val="8"/>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10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38">
              <w:r>
                <w:rPr>
                  <w:rFonts w:ascii="Arial" w:cs="Arial" w:eastAsia="Arial" w:hAnsi="Arial"/>
                  <w:sz w:val="18"/>
                  <w:szCs w:val="18"/>
                  <w:color w:val="0000FF"/>
                  <w:w w:val="95"/>
                </w:rPr>
                <w:t>OTHER INFORMATION</w:t>
              </w:r>
            </w:hyperlink>
          </w:p>
        </w:tc>
        <w:tc>
          <w:tcPr>
            <w:tcW w:w="7220" w:type="dxa"/>
            <w:vAlign w:val="bottom"/>
            <w:gridSpan w:val="12"/>
          </w:tcPr>
          <w:p>
            <w:pPr>
              <w:spacing w:after="0"/>
              <w:rPr>
                <w:sz w:val="24"/>
                <w:szCs w:val="24"/>
                <w:color w:val="auto"/>
              </w:rPr>
            </w:pPr>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910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Item 2.</w:t>
              </w:r>
            </w:hyperlink>
          </w:p>
        </w:tc>
        <w:tc>
          <w:tcPr>
            <w:tcW w:w="9100" w:type="dxa"/>
            <w:vAlign w:val="bottom"/>
            <w:gridSpan w:val="2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3.</w:t>
              </w:r>
            </w:hyperlink>
          </w:p>
        </w:tc>
        <w:tc>
          <w:tcPr>
            <w:tcW w:w="23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tcPr>
          <w:p>
            <w:pPr>
              <w:spacing w:after="0"/>
              <w:rPr>
                <w:sz w:val="21"/>
                <w:szCs w:val="21"/>
                <w:color w:val="auto"/>
              </w:rPr>
            </w:pPr>
          </w:p>
        </w:tc>
        <w:tc>
          <w:tcPr>
            <w:tcW w:w="4760" w:type="dxa"/>
            <w:vAlign w:val="bottom"/>
            <w:gridSpan w:val="9"/>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4.</w:t>
              </w:r>
            </w:hyperlink>
          </w:p>
        </w:tc>
        <w:tc>
          <w:tcPr>
            <w:tcW w:w="9100" w:type="dxa"/>
            <w:vAlign w:val="bottom"/>
            <w:gridSpan w:val="20"/>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5.</w:t>
              </w:r>
            </w:hyperlink>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7340" w:type="dxa"/>
            <w:vAlign w:val="bottom"/>
            <w:gridSpan w:val="13"/>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6.</w:t>
              </w:r>
            </w:hyperlink>
          </w:p>
        </w:tc>
        <w:tc>
          <w:tcPr>
            <w:tcW w:w="1300" w:type="dxa"/>
            <w:vAlign w:val="bottom"/>
            <w:tcBorders>
              <w:top w:val="single" w:sz="8" w:color="0000FF"/>
            </w:tcBorders>
            <w:gridSpan w:val="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Exhibits</w:t>
              </w:r>
            </w:hyperlink>
          </w:p>
        </w:tc>
        <w:tc>
          <w:tcPr>
            <w:tcW w:w="7800" w:type="dxa"/>
            <w:vAlign w:val="bottom"/>
            <w:gridSpan w:val="16"/>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66</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ongoing COVID-19 pandemic on our business, results of operations and financial condition.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1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224,927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1,292,532</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 of allowance for credit losses of $2,267 and $2,468 as of</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June 30, 2021 and December 31, 2020,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163,359</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contract costs,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13,638</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1,642,386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1,718,080</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57,829</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contract costs,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r>
      <w:tr>
        <w:trPr>
          <w:trHeight w:val="264"/>
        </w:trPr>
        <w:tc>
          <w:tcPr>
            <w:tcW w:w="84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2,076,733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1,890,285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55,351</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16,326</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204,825</w:t>
            </w: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297,844</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51,433</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575,864</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1,163,854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932,853</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Class A common stock, $0.00001 par value per share; 2,000,000,000 shares authorized as of June 30, 2021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2020; 239,453,343 and 218,510,509 shares issued and outstanding as of June 30, 2021 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w w:val="93"/>
              </w:rPr>
              <w:t>Class B common stock, $0.00001 par value per share; 310,000,000 shares authorized as of June 30, 2021 and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w w:val="99"/>
              </w:rPr>
              <w:t>December 31, 2020; 70,387,791 and 87,369,554 shares issued and outstanding as of June 30, 2021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1,103,305</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(148,163)</w:t>
            </w:r>
          </w:p>
        </w:tc>
      </w:tr>
      <w:tr>
        <w:trPr>
          <w:trHeight w:val="236"/>
        </w:trPr>
        <w:tc>
          <w:tcPr>
            <w:tcW w:w="84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912,879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957,432</w:t>
            </w: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2,076,733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1,890,285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891" w:right="339" w:bottom="94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946" w:gutter="0" w:footer="0" w:header="0"/>
          <w:type w:val="continuous"/>
        </w:sectPr>
      </w:pPr>
    </w:p>
    <w:bookmarkStart w:id="4" w:name="page5"/>
    <w:bookmarkEnd w:id="4"/>
    <w:p>
      <w:pPr>
        <w:ind w:left="4940"/>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6"/>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140,012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271,260</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55,357</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215,903</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51,269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96,484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37"/>
        </w:trPr>
        <w:tc>
          <w:tcPr>
            <w:tcW w:w="564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110,480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351,050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211,471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64"/>
        </w:trPr>
        <w:tc>
          <w:tcPr>
            <w:tcW w:w="5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(loss)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w w:val="92"/>
              </w:rPr>
              <w:t>Weighted average shares used in calculating basic net (loss) income per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44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308,019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299,267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307,032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297,361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w w:val="90"/>
              </w:rPr>
              <w:t>Weighted average shares used in calculating diluted net (loss) income per</w:t>
            </w:r>
          </w:p>
        </w:tc>
        <w:tc>
          <w:tcPr>
            <w:tcW w:w="3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330,847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329,402</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6"/>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26"/>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Arial" w:cs="Arial" w:eastAsia="Arial" w:hAnsi="Arial"/>
                <w:sz w:val="14"/>
                <w:szCs w:val="14"/>
                <w:b w:val="1"/>
                <w:bCs w:val="1"/>
                <w:color w:val="auto"/>
                <w:w w:val="83"/>
              </w:rPr>
              <w:t>2020</w:t>
            </w:r>
          </w:p>
        </w:tc>
      </w:tr>
      <w:tr>
        <w:trPr>
          <w:trHeight w:val="26"/>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580" w:type="dxa"/>
            <w:vAlign w:val="bottom"/>
          </w:tcPr>
          <w:p>
            <w:pPr>
              <w:ind w:left="240"/>
              <w:spacing w:after="0"/>
              <w:rPr>
                <w:sz w:val="20"/>
                <w:szCs w:val="20"/>
                <w:color w:val="auto"/>
              </w:rPr>
            </w:pPr>
            <w:r>
              <w:rPr>
                <w:rFonts w:ascii="Arial" w:cs="Arial" w:eastAsia="Arial" w:hAnsi="Arial"/>
                <w:sz w:val="18"/>
                <w:szCs w:val="18"/>
                <w:color w:val="auto"/>
                <w:w w:val="98"/>
              </w:rPr>
              <w:t>Unrealized (loss) income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w:t>
            </w:r>
          </w:p>
        </w:tc>
      </w:tr>
      <w:tr>
        <w:trPr>
          <w:trHeight w:val="27"/>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840" w:type="dxa"/>
            <w:vAlign w:val="bottom"/>
            <w:gridSpan w:val="3"/>
          </w:tcPr>
          <w:p>
            <w:pPr>
              <w:jc w:val="center"/>
              <w:ind w:left="805"/>
              <w:spacing w:after="0"/>
              <w:rPr>
                <w:sz w:val="20"/>
                <w:szCs w:val="20"/>
                <w:color w:val="auto"/>
              </w:rPr>
            </w:pPr>
            <w:r>
              <w:rPr>
                <w:rFonts w:ascii="Arial" w:cs="Arial" w:eastAsia="Arial" w:hAnsi="Arial"/>
                <w:sz w:val="11"/>
                <w:szCs w:val="11"/>
                <w:b w:val="1"/>
                <w:bCs w:val="1"/>
                <w:color w:val="auto"/>
                <w:w w:val="86"/>
              </w:rPr>
              <w:t>Class A and Class B</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0"/>
        </w:trPr>
        <w:tc>
          <w:tcPr>
            <w:tcW w:w="2860" w:type="dxa"/>
            <w:vAlign w:val="bottom"/>
          </w:tcPr>
          <w:p>
            <w:pPr>
              <w:spacing w:after="0"/>
              <w:rPr>
                <w:sz w:val="12"/>
                <w:szCs w:val="12"/>
                <w:color w:val="auto"/>
              </w:rPr>
            </w:pPr>
          </w:p>
        </w:tc>
        <w:tc>
          <w:tcPr>
            <w:tcW w:w="1840" w:type="dxa"/>
            <w:vAlign w:val="bottom"/>
            <w:gridSpan w:val="3"/>
          </w:tcPr>
          <w:p>
            <w:pPr>
              <w:jc w:val="center"/>
              <w:ind w:left="785"/>
              <w:spacing w:after="0"/>
              <w:rPr>
                <w:sz w:val="20"/>
                <w:szCs w:val="20"/>
                <w:color w:val="auto"/>
              </w:rPr>
            </w:pPr>
            <w:r>
              <w:rPr>
                <w:rFonts w:ascii="Arial" w:cs="Arial" w:eastAsia="Arial" w:hAnsi="Arial"/>
                <w:sz w:val="11"/>
                <w:szCs w:val="11"/>
                <w:b w:val="1"/>
                <w:bCs w:val="1"/>
                <w:color w:val="auto"/>
                <w:w w:val="86"/>
              </w:rPr>
              <w:t>Common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
        </w:trPr>
        <w:tc>
          <w:tcPr>
            <w:tcW w:w="28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860" w:type="dxa"/>
            <w:vAlign w:val="bottom"/>
          </w:tcPr>
          <w:p>
            <w:pPr>
              <w:spacing w:after="0"/>
              <w:rPr>
                <w:sz w:val="19"/>
                <w:szCs w:val="19"/>
                <w:color w:val="auto"/>
              </w:rPr>
            </w:pPr>
          </w:p>
        </w:tc>
        <w:tc>
          <w:tcPr>
            <w:tcW w:w="1420" w:type="dxa"/>
            <w:vAlign w:val="bottom"/>
            <w:gridSpan w:val="2"/>
          </w:tcPr>
          <w:p>
            <w:pPr>
              <w:ind w:left="50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19"/>
                <w:szCs w:val="19"/>
                <w:color w:val="auto"/>
              </w:rPr>
            </w:pPr>
          </w:p>
        </w:tc>
        <w:tc>
          <w:tcPr>
            <w:tcW w:w="860" w:type="dxa"/>
            <w:vAlign w:val="bottom"/>
          </w:tcPr>
          <w:p>
            <w:pPr>
              <w:jc w:val="right"/>
              <w:ind w:right="361"/>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9"/>
                <w:szCs w:val="19"/>
                <w:color w:val="auto"/>
              </w:rPr>
            </w:pPr>
          </w:p>
        </w:tc>
      </w:tr>
      <w:tr>
        <w:trPr>
          <w:trHeight w:val="22"/>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6"/>
                <w:szCs w:val="16"/>
                <w:color w:val="auto"/>
              </w:rPr>
              <w:t>BALANCE—March 31, 2021</w:t>
            </w:r>
          </w:p>
        </w:tc>
        <w:tc>
          <w:tcPr>
            <w:tcW w:w="1300" w:type="dxa"/>
            <w:vAlign w:val="bottom"/>
          </w:tcPr>
          <w:p>
            <w:pPr>
              <w:jc w:val="right"/>
              <w:spacing w:after="0"/>
              <w:rPr>
                <w:sz w:val="20"/>
                <w:szCs w:val="20"/>
                <w:color w:val="auto"/>
              </w:rPr>
            </w:pPr>
            <w:r>
              <w:rPr>
                <w:rFonts w:ascii="Arial" w:cs="Arial" w:eastAsia="Arial" w:hAnsi="Arial"/>
                <w:sz w:val="16"/>
                <w:szCs w:val="16"/>
                <w:color w:val="auto"/>
              </w:rPr>
              <w:t>307,804,350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1,210,516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440,858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w w:val="97"/>
              </w:rPr>
              <w:t>Issuance of restricted shares of common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stock from acquisitions</w:t>
            </w:r>
          </w:p>
        </w:tc>
        <w:tc>
          <w:tcPr>
            <w:tcW w:w="1300" w:type="dxa"/>
            <w:vAlign w:val="bottom"/>
          </w:tcPr>
          <w:p>
            <w:pPr>
              <w:jc w:val="right"/>
              <w:spacing w:after="0"/>
              <w:rPr>
                <w:sz w:val="20"/>
                <w:szCs w:val="20"/>
                <w:color w:val="auto"/>
              </w:rPr>
            </w:pPr>
            <w:r>
              <w:rPr>
                <w:rFonts w:ascii="Arial" w:cs="Arial" w:eastAsia="Arial" w:hAnsi="Arial"/>
                <w:sz w:val="16"/>
                <w:szCs w:val="16"/>
                <w:color w:val="auto"/>
              </w:rPr>
              <w:t>245,761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rPr>
              <w:t>Issuance of common stock under the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300" w:type="dxa"/>
            <w:vAlign w:val="bottom"/>
          </w:tcPr>
          <w:p>
            <w:pPr>
              <w:jc w:val="right"/>
              <w:spacing w:after="0"/>
              <w:rPr>
                <w:sz w:val="20"/>
                <w:szCs w:val="20"/>
                <w:color w:val="auto"/>
              </w:rPr>
            </w:pPr>
            <w:r>
              <w:rPr>
                <w:rFonts w:ascii="Arial" w:cs="Arial" w:eastAsia="Arial" w:hAnsi="Arial"/>
                <w:sz w:val="16"/>
                <w:szCs w:val="16"/>
                <w:color w:val="auto"/>
              </w:rPr>
              <w:t>139,649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56"/>
        </w:trPr>
        <w:tc>
          <w:tcPr>
            <w:tcW w:w="2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BALANCE—June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309,841,134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49"/>
        </w:trPr>
        <w:tc>
          <w:tcPr>
            <w:tcW w:w="2860" w:type="dxa"/>
            <w:vAlign w:val="bottom"/>
          </w:tcPr>
          <w:p>
            <w:pPr>
              <w:spacing w:after="0"/>
              <w:rPr>
                <w:sz w:val="24"/>
                <w:szCs w:val="24"/>
                <w:color w:val="auto"/>
              </w:rPr>
            </w:pPr>
          </w:p>
        </w:tc>
        <w:tc>
          <w:tcPr>
            <w:tcW w:w="1840" w:type="dxa"/>
            <w:vAlign w:val="bottom"/>
            <w:gridSpan w:val="3"/>
          </w:tcPr>
          <w:p>
            <w:pPr>
              <w:jc w:val="center"/>
              <w:ind w:left="765"/>
              <w:spacing w:after="0"/>
              <w:rPr>
                <w:sz w:val="20"/>
                <w:szCs w:val="20"/>
                <w:color w:val="auto"/>
              </w:rPr>
            </w:pPr>
            <w:r>
              <w:rPr>
                <w:rFonts w:ascii="Arial" w:cs="Arial" w:eastAsia="Arial" w:hAnsi="Arial"/>
                <w:sz w:val="11"/>
                <w:szCs w:val="11"/>
                <w:b w:val="1"/>
                <w:bCs w:val="1"/>
                <w:color w:val="auto"/>
                <w:w w:val="86"/>
              </w:rPr>
              <w:t>Class A and Class B</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0"/>
        </w:trPr>
        <w:tc>
          <w:tcPr>
            <w:tcW w:w="2860" w:type="dxa"/>
            <w:vAlign w:val="bottom"/>
          </w:tcPr>
          <w:p>
            <w:pPr>
              <w:spacing w:after="0"/>
              <w:rPr>
                <w:sz w:val="12"/>
                <w:szCs w:val="12"/>
                <w:color w:val="auto"/>
              </w:rPr>
            </w:pPr>
          </w:p>
        </w:tc>
        <w:tc>
          <w:tcPr>
            <w:tcW w:w="1840" w:type="dxa"/>
            <w:vAlign w:val="bottom"/>
            <w:gridSpan w:val="3"/>
          </w:tcPr>
          <w:p>
            <w:pPr>
              <w:jc w:val="center"/>
              <w:ind w:left="785"/>
              <w:spacing w:after="0"/>
              <w:rPr>
                <w:sz w:val="20"/>
                <w:szCs w:val="20"/>
                <w:color w:val="auto"/>
              </w:rPr>
            </w:pPr>
            <w:r>
              <w:rPr>
                <w:rFonts w:ascii="Arial" w:cs="Arial" w:eastAsia="Arial" w:hAnsi="Arial"/>
                <w:sz w:val="11"/>
                <w:szCs w:val="11"/>
                <w:b w:val="1"/>
                <w:bCs w:val="1"/>
                <w:color w:val="auto"/>
                <w:w w:val="86"/>
              </w:rPr>
              <w:t>Common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
        </w:trPr>
        <w:tc>
          <w:tcPr>
            <w:tcW w:w="28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5"/>
        </w:trPr>
        <w:tc>
          <w:tcPr>
            <w:tcW w:w="2860" w:type="dxa"/>
            <w:vAlign w:val="bottom"/>
          </w:tcPr>
          <w:p>
            <w:pPr>
              <w:spacing w:after="0"/>
              <w:rPr>
                <w:sz w:val="18"/>
                <w:szCs w:val="18"/>
                <w:color w:val="auto"/>
              </w:rPr>
            </w:pPr>
          </w:p>
        </w:tc>
        <w:tc>
          <w:tcPr>
            <w:tcW w:w="1420" w:type="dxa"/>
            <w:vAlign w:val="bottom"/>
            <w:gridSpan w:val="2"/>
          </w:tcPr>
          <w:p>
            <w:pPr>
              <w:ind w:left="50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18"/>
                <w:szCs w:val="18"/>
                <w:color w:val="auto"/>
              </w:rPr>
            </w:pPr>
          </w:p>
        </w:tc>
        <w:tc>
          <w:tcPr>
            <w:tcW w:w="860" w:type="dxa"/>
            <w:vAlign w:val="bottom"/>
          </w:tcPr>
          <w:p>
            <w:pPr>
              <w:jc w:val="right"/>
              <w:ind w:right="361"/>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8"/>
                <w:szCs w:val="18"/>
                <w:color w:val="auto"/>
              </w:rPr>
            </w:pPr>
          </w:p>
        </w:tc>
      </w:tr>
      <w:tr>
        <w:trPr>
          <w:trHeight w:val="22"/>
        </w:trPr>
        <w:tc>
          <w:tcPr>
            <w:tcW w:w="2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2860" w:type="dxa"/>
            <w:vAlign w:val="bottom"/>
          </w:tcPr>
          <w:p>
            <w:pPr>
              <w:ind w:left="100"/>
              <w:spacing w:after="0"/>
              <w:rPr>
                <w:sz w:val="20"/>
                <w:szCs w:val="20"/>
                <w:color w:val="auto"/>
              </w:rPr>
            </w:pPr>
            <w:r>
              <w:rPr>
                <w:rFonts w:ascii="Arial" w:cs="Arial" w:eastAsia="Arial" w:hAnsi="Arial"/>
                <w:sz w:val="16"/>
                <w:szCs w:val="16"/>
                <w:color w:val="auto"/>
              </w:rPr>
              <w:t>BALANCE—March 31, 2020</w:t>
            </w:r>
          </w:p>
        </w:tc>
        <w:tc>
          <w:tcPr>
            <w:tcW w:w="1300" w:type="dxa"/>
            <w:vAlign w:val="bottom"/>
          </w:tcPr>
          <w:p>
            <w:pPr>
              <w:jc w:val="right"/>
              <w:spacing w:after="0"/>
              <w:rPr>
                <w:sz w:val="20"/>
                <w:szCs w:val="20"/>
                <w:color w:val="auto"/>
              </w:rPr>
            </w:pPr>
            <w:r>
              <w:rPr>
                <w:rFonts w:ascii="Arial" w:cs="Arial" w:eastAsia="Arial" w:hAnsi="Arial"/>
                <w:sz w:val="16"/>
                <w:szCs w:val="16"/>
                <w:color w:val="auto"/>
              </w:rPr>
              <w:t>298,734,720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2860" w:type="dxa"/>
            <w:vAlign w:val="bottom"/>
          </w:tcPr>
          <w:p>
            <w:pPr>
              <w:ind w:left="100"/>
              <w:spacing w:after="0"/>
              <w:rPr>
                <w:sz w:val="20"/>
                <w:szCs w:val="20"/>
                <w:color w:val="auto"/>
              </w:rPr>
            </w:pPr>
            <w:r>
              <w:rPr>
                <w:rFonts w:ascii="Arial" w:cs="Arial" w:eastAsia="Arial" w:hAnsi="Arial"/>
                <w:sz w:val="16"/>
                <w:szCs w:val="16"/>
                <w:color w:val="auto"/>
                <w:w w:val="93"/>
              </w:rPr>
              <w:t>Issuance of common stock upon exercise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10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3,075,059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43"/>
        </w:trPr>
        <w:tc>
          <w:tcPr>
            <w:tcW w:w="2860" w:type="dxa"/>
            <w:vAlign w:val="bottom"/>
          </w:tcPr>
          <w:p>
            <w:pPr>
              <w:ind w:left="100"/>
              <w:spacing w:after="0"/>
              <w:rPr>
                <w:sz w:val="20"/>
                <w:szCs w:val="20"/>
                <w:color w:val="auto"/>
              </w:rPr>
            </w:pPr>
            <w:r>
              <w:rPr>
                <w:rFonts w:ascii="Arial" w:cs="Arial" w:eastAsia="Arial" w:hAnsi="Arial"/>
                <w:sz w:val="16"/>
                <w:szCs w:val="16"/>
                <w:color w:val="auto"/>
                <w:w w:val="97"/>
              </w:rPr>
              <w:t>Vesting of early exercised stock options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57"/>
        </w:trPr>
        <w:tc>
          <w:tcPr>
            <w:tcW w:w="2860" w:type="dxa"/>
            <w:vAlign w:val="bottom"/>
          </w:tcPr>
          <w:p>
            <w:pPr>
              <w:ind w:left="10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12"/>
        </w:trPr>
        <w:tc>
          <w:tcPr>
            <w:tcW w:w="2860" w:type="dxa"/>
            <w:vAlign w:val="bottom"/>
          </w:tcPr>
          <w:p>
            <w:pPr>
              <w:ind w:left="100"/>
              <w:spacing w:after="0"/>
              <w:rPr>
                <w:sz w:val="20"/>
                <w:szCs w:val="20"/>
                <w:color w:val="auto"/>
              </w:rPr>
            </w:pPr>
            <w:r>
              <w:rPr>
                <w:rFonts w:ascii="Arial" w:cs="Arial" w:eastAsia="Arial" w:hAnsi="Arial"/>
                <w:sz w:val="16"/>
                <w:szCs w:val="16"/>
                <w:color w:val="auto"/>
                <w:w w:val="95"/>
              </w:rPr>
              <w:t>Issuance of restricted shares of common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860" w:type="dxa"/>
            <w:vAlign w:val="bottom"/>
          </w:tcPr>
          <w:p>
            <w:pPr>
              <w:ind w:left="100"/>
              <w:spacing w:after="0"/>
              <w:rPr>
                <w:sz w:val="20"/>
                <w:szCs w:val="20"/>
                <w:color w:val="auto"/>
              </w:rPr>
            </w:pPr>
            <w:r>
              <w:rPr>
                <w:rFonts w:ascii="Arial" w:cs="Arial" w:eastAsia="Arial" w:hAnsi="Arial"/>
                <w:sz w:val="16"/>
                <w:szCs w:val="16"/>
                <w:color w:val="auto"/>
              </w:rPr>
              <w:t>stock from acquisition</w:t>
            </w:r>
          </w:p>
        </w:tc>
        <w:tc>
          <w:tcPr>
            <w:tcW w:w="1300" w:type="dxa"/>
            <w:vAlign w:val="bottom"/>
          </w:tcPr>
          <w:p>
            <w:pPr>
              <w:jc w:val="right"/>
              <w:spacing w:after="0"/>
              <w:rPr>
                <w:sz w:val="20"/>
                <w:szCs w:val="20"/>
                <w:color w:val="auto"/>
              </w:rPr>
            </w:pPr>
            <w:r>
              <w:rPr>
                <w:rFonts w:ascii="Arial" w:cs="Arial" w:eastAsia="Arial" w:hAnsi="Arial"/>
                <w:sz w:val="16"/>
                <w:szCs w:val="16"/>
                <w:color w:val="auto"/>
              </w:rPr>
              <w:t>120,992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26"/>
        </w:trPr>
        <w:tc>
          <w:tcPr>
            <w:tcW w:w="2860" w:type="dxa"/>
            <w:vAlign w:val="bottom"/>
          </w:tcPr>
          <w:p>
            <w:pPr>
              <w:ind w:left="100"/>
              <w:spacing w:after="0"/>
              <w:rPr>
                <w:sz w:val="20"/>
                <w:szCs w:val="20"/>
                <w:color w:val="auto"/>
              </w:rPr>
            </w:pPr>
            <w:r>
              <w:rPr>
                <w:rFonts w:ascii="Arial" w:cs="Arial" w:eastAsia="Arial" w:hAnsi="Arial"/>
                <w:sz w:val="16"/>
                <w:szCs w:val="16"/>
                <w:color w:val="auto"/>
              </w:rPr>
              <w:t>Issuance of common stock under the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9"/>
        </w:trPr>
        <w:tc>
          <w:tcPr>
            <w:tcW w:w="2860" w:type="dxa"/>
            <w:vAlign w:val="bottom"/>
          </w:tcPr>
          <w:p>
            <w:pPr>
              <w:ind w:left="100"/>
              <w:spacing w:after="0"/>
              <w:rPr>
                <w:sz w:val="20"/>
                <w:szCs w:val="20"/>
                <w:color w:val="auto"/>
              </w:rPr>
            </w:pPr>
            <w:r>
              <w:rPr>
                <w:rFonts w:ascii="Arial" w:cs="Arial" w:eastAsia="Arial" w:hAnsi="Arial"/>
                <w:sz w:val="16"/>
                <w:szCs w:val="16"/>
                <w:color w:val="auto"/>
              </w:rPr>
              <w:t>Employee Stock Purchase Plan, net of</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6"/>
        </w:trPr>
        <w:tc>
          <w:tcPr>
            <w:tcW w:w="2860" w:type="dxa"/>
            <w:vAlign w:val="bottom"/>
          </w:tcPr>
          <w:p>
            <w:pPr>
              <w:ind w:left="100"/>
              <w:spacing w:after="0"/>
              <w:rPr>
                <w:sz w:val="20"/>
                <w:szCs w:val="20"/>
                <w:color w:val="auto"/>
              </w:rPr>
            </w:pPr>
            <w:r>
              <w:rPr>
                <w:rFonts w:ascii="Arial" w:cs="Arial" w:eastAsia="Arial" w:hAnsi="Arial"/>
                <w:sz w:val="16"/>
                <w:szCs w:val="16"/>
                <w:color w:val="auto"/>
              </w:rPr>
              <w:t>shares withheld for taxes</w:t>
            </w:r>
          </w:p>
        </w:tc>
        <w:tc>
          <w:tcPr>
            <w:tcW w:w="1300" w:type="dxa"/>
            <w:vAlign w:val="bottom"/>
          </w:tcPr>
          <w:p>
            <w:pPr>
              <w:jc w:val="right"/>
              <w:spacing w:after="0"/>
              <w:rPr>
                <w:sz w:val="20"/>
                <w:szCs w:val="20"/>
                <w:color w:val="auto"/>
              </w:rPr>
            </w:pPr>
            <w:r>
              <w:rPr>
                <w:rFonts w:ascii="Arial" w:cs="Arial" w:eastAsia="Arial" w:hAnsi="Arial"/>
                <w:sz w:val="16"/>
                <w:szCs w:val="16"/>
                <w:color w:val="auto"/>
              </w:rPr>
              <w:t>320,104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43"/>
        </w:trPr>
        <w:tc>
          <w:tcPr>
            <w:tcW w:w="28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26"/>
        </w:trPr>
        <w:tc>
          <w:tcPr>
            <w:tcW w:w="2860" w:type="dxa"/>
            <w:vAlign w:val="bottom"/>
          </w:tcPr>
          <w:p>
            <w:pPr>
              <w:ind w:left="100"/>
              <w:spacing w:after="0"/>
              <w:rPr>
                <w:sz w:val="20"/>
                <w:szCs w:val="20"/>
                <w:color w:val="auto"/>
              </w:rPr>
            </w:pPr>
            <w:r>
              <w:rPr>
                <w:rFonts w:ascii="Arial" w:cs="Arial" w:eastAsia="Arial" w:hAnsi="Arial"/>
                <w:sz w:val="16"/>
                <w:szCs w:val="16"/>
                <w:color w:val="auto"/>
              </w:rPr>
              <w:t>Equity component of the 2025</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9"/>
        </w:trPr>
        <w:tc>
          <w:tcPr>
            <w:tcW w:w="2860" w:type="dxa"/>
            <w:vAlign w:val="bottom"/>
          </w:tcPr>
          <w:p>
            <w:pPr>
              <w:ind w:left="100"/>
              <w:spacing w:after="0"/>
              <w:rPr>
                <w:sz w:val="20"/>
                <w:szCs w:val="20"/>
                <w:color w:val="auto"/>
              </w:rPr>
            </w:pPr>
            <w:r>
              <w:rPr>
                <w:rFonts w:ascii="Arial" w:cs="Arial" w:eastAsia="Arial" w:hAnsi="Arial"/>
                <w:sz w:val="16"/>
                <w:szCs w:val="16"/>
                <w:color w:val="auto"/>
                <w:w w:val="93"/>
              </w:rPr>
              <w:t>Convertible Senior Notes, net of issuance</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6"/>
        </w:trPr>
        <w:tc>
          <w:tcPr>
            <w:tcW w:w="2860" w:type="dxa"/>
            <w:vAlign w:val="bottom"/>
          </w:tcPr>
          <w:p>
            <w:pPr>
              <w:ind w:left="100"/>
              <w:spacing w:after="0"/>
              <w:rPr>
                <w:sz w:val="20"/>
                <w:szCs w:val="20"/>
                <w:color w:val="auto"/>
              </w:rPr>
            </w:pPr>
            <w:r>
              <w:rPr>
                <w:rFonts w:ascii="Arial" w:cs="Arial" w:eastAsia="Arial" w:hAnsi="Arial"/>
                <w:sz w:val="16"/>
                <w:szCs w:val="16"/>
                <w:color w:val="auto"/>
              </w:rPr>
              <w:t>costs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26"/>
        </w:trPr>
        <w:tc>
          <w:tcPr>
            <w:tcW w:w="2860" w:type="dxa"/>
            <w:vAlign w:val="bottom"/>
          </w:tcPr>
          <w:p>
            <w:pPr>
              <w:ind w:left="100"/>
              <w:spacing w:after="0"/>
              <w:rPr>
                <w:sz w:val="20"/>
                <w:szCs w:val="20"/>
                <w:color w:val="auto"/>
              </w:rPr>
            </w:pPr>
            <w:r>
              <w:rPr>
                <w:rFonts w:ascii="Arial" w:cs="Arial" w:eastAsia="Arial" w:hAnsi="Arial"/>
                <w:sz w:val="16"/>
                <w:szCs w:val="16"/>
                <w:color w:val="auto"/>
                <w:w w:val="94"/>
              </w:rPr>
              <w:t>Purchase of capped calls related to 2025</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100"/>
              <w:spacing w:after="0"/>
              <w:rPr>
                <w:sz w:val="20"/>
                <w:szCs w:val="20"/>
                <w:color w:val="auto"/>
              </w:rPr>
            </w:pPr>
            <w:r>
              <w:rPr>
                <w:rFonts w:ascii="Arial" w:cs="Arial" w:eastAsia="Arial" w:hAnsi="Arial"/>
                <w:sz w:val="16"/>
                <w:szCs w:val="16"/>
                <w:color w:val="auto"/>
              </w:rPr>
              <w:t>Convertible Senior Notes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26"/>
        </w:trPr>
        <w:tc>
          <w:tcPr>
            <w:tcW w:w="2860" w:type="dxa"/>
            <w:vAlign w:val="bottom"/>
          </w:tcPr>
          <w:p>
            <w:pPr>
              <w:ind w:left="100"/>
              <w:spacing w:after="0"/>
              <w:rPr>
                <w:sz w:val="20"/>
                <w:szCs w:val="20"/>
                <w:color w:val="auto"/>
              </w:rPr>
            </w:pPr>
            <w:r>
              <w:rPr>
                <w:rFonts w:ascii="Arial" w:cs="Arial" w:eastAsia="Arial" w:hAnsi="Arial"/>
                <w:sz w:val="16"/>
                <w:szCs w:val="16"/>
                <w:color w:val="auto"/>
              </w:rPr>
              <w:t>Changes in accumulated other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100"/>
              <w:spacing w:after="0"/>
              <w:rPr>
                <w:sz w:val="20"/>
                <w:szCs w:val="20"/>
                <w:color w:val="auto"/>
              </w:rPr>
            </w:pPr>
            <w:r>
              <w:rPr>
                <w:rFonts w:ascii="Arial" w:cs="Arial" w:eastAsia="Arial" w:hAnsi="Arial"/>
                <w:sz w:val="16"/>
                <w:szCs w:val="16"/>
                <w:color w:val="auto"/>
              </w:rPr>
              <w:t>comprehensive (loss)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56"/>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r>
      <w:tr>
        <w:trPr>
          <w:trHeight w:val="243"/>
        </w:trPr>
        <w:tc>
          <w:tcPr>
            <w:tcW w:w="2860" w:type="dxa"/>
            <w:vAlign w:val="bottom"/>
          </w:tcPr>
          <w:p>
            <w:pPr>
              <w:ind w:left="100"/>
              <w:spacing w:after="0"/>
              <w:rPr>
                <w:sz w:val="20"/>
                <w:szCs w:val="20"/>
                <w:color w:val="auto"/>
              </w:rPr>
            </w:pPr>
            <w:r>
              <w:rPr>
                <w:rFonts w:ascii="Arial" w:cs="Arial" w:eastAsia="Arial" w:hAnsi="Arial"/>
                <w:sz w:val="16"/>
                <w:szCs w:val="16"/>
                <w:color w:val="auto"/>
              </w:rPr>
              <w:t>BALANCE—June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302,254,533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-3959860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-5682615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jc w:val="center"/>
              <w:ind w:right="445"/>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45"/>
              <w:spacing w:after="0"/>
              <w:rPr>
                <w:sz w:val="20"/>
                <w:szCs w:val="20"/>
                <w:color w:val="auto"/>
              </w:rPr>
            </w:pPr>
            <w:r>
              <w:rPr>
                <w:rFonts w:ascii="Arial" w:cs="Arial" w:eastAsia="Arial" w:hAnsi="Arial"/>
                <w:sz w:val="11"/>
                <w:szCs w:val="11"/>
                <w:b w:val="1"/>
                <w:bCs w:val="1"/>
                <w:color w:val="auto"/>
                <w:w w:val="91"/>
              </w:rPr>
              <w:t>Total</w:t>
            </w:r>
          </w:p>
        </w:tc>
      </w:tr>
      <w:tr>
        <w:trPr>
          <w:trHeight w:val="122"/>
        </w:trPr>
        <w:tc>
          <w:tcPr>
            <w:tcW w:w="1020" w:type="dxa"/>
            <w:vAlign w:val="bottom"/>
          </w:tcPr>
          <w:p>
            <w:pPr>
              <w:jc w:val="center"/>
              <w:ind w:right="445"/>
              <w:spacing w:after="0" w:line="122" w:lineRule="exact"/>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Other</w:t>
            </w:r>
          </w:p>
        </w:tc>
        <w:tc>
          <w:tcPr>
            <w:tcW w:w="220" w:type="dxa"/>
            <w:vAlign w:val="bottom"/>
          </w:tcPr>
          <w:p>
            <w:pPr>
              <w:spacing w:after="0"/>
              <w:rPr>
                <w:sz w:val="10"/>
                <w:szCs w:val="10"/>
                <w:color w:val="auto"/>
              </w:rPr>
            </w:pPr>
          </w:p>
        </w:tc>
        <w:tc>
          <w:tcPr>
            <w:tcW w:w="120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rPr>
                <w:sz w:val="10"/>
                <w:szCs w:val="10"/>
                <w:color w:val="auto"/>
              </w:rPr>
            </w:pPr>
          </w:p>
        </w:tc>
        <w:tc>
          <w:tcPr>
            <w:tcW w:w="1100" w:type="dxa"/>
            <w:vAlign w:val="bottom"/>
          </w:tcPr>
          <w:p>
            <w:pPr>
              <w:jc w:val="center"/>
              <w:ind w:right="125"/>
              <w:spacing w:after="0" w:line="122" w:lineRule="exact"/>
              <w:rPr>
                <w:sz w:val="20"/>
                <w:szCs w:val="20"/>
                <w:color w:val="auto"/>
              </w:rPr>
            </w:pPr>
            <w:r>
              <w:rPr>
                <w:rFonts w:ascii="Arial" w:cs="Arial" w:eastAsia="Arial" w:hAnsi="Arial"/>
                <w:sz w:val="11"/>
                <w:szCs w:val="11"/>
                <w:b w:val="1"/>
                <w:bCs w:val="1"/>
                <w:color w:val="auto"/>
                <w:w w:val="85"/>
              </w:rPr>
              <w:t>Stockholders'</w:t>
            </w:r>
          </w:p>
        </w:tc>
      </w:tr>
      <w:tr>
        <w:trPr>
          <w:trHeight w:val="140"/>
        </w:trPr>
        <w:tc>
          <w:tcPr>
            <w:tcW w:w="1020" w:type="dxa"/>
            <w:vAlign w:val="bottom"/>
          </w:tcPr>
          <w:p>
            <w:pPr>
              <w:jc w:val="center"/>
              <w:ind w:right="445"/>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Comprehensive Income</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Deficit</w:t>
            </w:r>
          </w:p>
        </w:tc>
        <w:tc>
          <w:tcPr>
            <w:tcW w:w="200" w:type="dxa"/>
            <w:vAlign w:val="bottom"/>
          </w:tcPr>
          <w:p>
            <w:pPr>
              <w:spacing w:after="0"/>
              <w:rPr>
                <w:sz w:val="12"/>
                <w:szCs w:val="12"/>
                <w:color w:val="auto"/>
              </w:rPr>
            </w:pPr>
          </w:p>
        </w:tc>
        <w:tc>
          <w:tcPr>
            <w:tcW w:w="1100" w:type="dxa"/>
            <w:vAlign w:val="bottom"/>
          </w:tcPr>
          <w:p>
            <w:pPr>
              <w:jc w:val="center"/>
              <w:ind w:right="145"/>
              <w:spacing w:after="0"/>
              <w:rPr>
                <w:sz w:val="20"/>
                <w:szCs w:val="20"/>
                <w:color w:val="auto"/>
              </w:rPr>
            </w:pPr>
            <w:r>
              <w:rPr>
                <w:rFonts w:ascii="Arial" w:cs="Arial" w:eastAsia="Arial" w:hAnsi="Arial"/>
                <w:sz w:val="11"/>
                <w:szCs w:val="11"/>
                <w:b w:val="1"/>
                <w:bCs w:val="1"/>
                <w:color w:val="auto"/>
                <w:w w:val="95"/>
              </w:rPr>
              <w:t>Equity</w:t>
            </w:r>
          </w:p>
        </w:tc>
      </w:tr>
      <w:tr>
        <w:trPr>
          <w:trHeight w:val="22"/>
        </w:trPr>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985,004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(144,429)</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841,330</w:t>
            </w:r>
          </w:p>
        </w:tc>
      </w:tr>
      <w:tr>
        <w:trPr>
          <w:trHeight w:val="432"/>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2,928</w:t>
            </w:r>
          </w:p>
        </w:tc>
      </w:tr>
      <w:tr>
        <w:trPr>
          <w:trHeight w:val="243"/>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43"/>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2"/>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31,329</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31,329</w:t>
            </w:r>
          </w:p>
        </w:tc>
      </w:tr>
      <w:tr>
        <w:trPr>
          <w:trHeight w:val="432"/>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9,794</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9,794</w:t>
            </w:r>
          </w:p>
        </w:tc>
      </w:tr>
      <w:tr>
        <w:trPr>
          <w:trHeight w:val="243"/>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36,574</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36,574</w:t>
            </w:r>
          </w:p>
        </w:tc>
      </w:tr>
      <w:tr>
        <w:trPr>
          <w:trHeight w:val="432"/>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6"/>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(9,362)</w:t>
            </w:r>
          </w:p>
        </w:tc>
      </w:tr>
      <w:tr>
        <w:trPr>
          <w:trHeight w:val="237"/>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1,065,835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(153,791)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912,879</w:t>
            </w:r>
          </w:p>
        </w:tc>
      </w:tr>
      <w:tr>
        <w:trPr>
          <w:trHeight w:val="27"/>
        </w:trPr>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6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2"/>
        </w:trPr>
        <w:tc>
          <w:tcPr>
            <w:tcW w:w="1020" w:type="dxa"/>
            <w:vAlign w:val="bottom"/>
          </w:tcPr>
          <w:p>
            <w:pPr>
              <w:jc w:val="center"/>
              <w:ind w:right="465"/>
              <w:spacing w:after="0" w:line="122"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Other</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65"/>
              <w:spacing w:after="0" w:line="122" w:lineRule="exact"/>
              <w:rPr>
                <w:sz w:val="20"/>
                <w:szCs w:val="20"/>
                <w:color w:val="auto"/>
              </w:rPr>
            </w:pPr>
            <w:r>
              <w:rPr>
                <w:rFonts w:ascii="Arial" w:cs="Arial" w:eastAsia="Arial" w:hAnsi="Arial"/>
                <w:sz w:val="11"/>
                <w:szCs w:val="11"/>
                <w:b w:val="1"/>
                <w:bCs w:val="1"/>
                <w:color w:val="auto"/>
                <w:w w:val="83"/>
              </w:rPr>
              <w:t>Total</w:t>
            </w:r>
          </w:p>
        </w:tc>
      </w:tr>
      <w:tr>
        <w:trPr>
          <w:trHeight w:val="121"/>
        </w:trPr>
        <w:tc>
          <w:tcPr>
            <w:tcW w:w="1020" w:type="dxa"/>
            <w:vAlign w:val="bottom"/>
          </w:tcPr>
          <w:p>
            <w:pPr>
              <w:jc w:val="center"/>
              <w:ind w:right="465"/>
              <w:spacing w:after="0" w:line="122"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10"/>
                <w:szCs w:val="10"/>
                <w:color w:val="auto"/>
              </w:rPr>
            </w:pPr>
          </w:p>
        </w:tc>
        <w:tc>
          <w:tcPr>
            <w:tcW w:w="13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220" w:type="dxa"/>
            <w:vAlign w:val="bottom"/>
          </w:tcPr>
          <w:p>
            <w:pPr>
              <w:spacing w:after="0"/>
              <w:rPr>
                <w:sz w:val="10"/>
                <w:szCs w:val="10"/>
                <w:color w:val="auto"/>
              </w:rPr>
            </w:pPr>
          </w:p>
        </w:tc>
        <w:tc>
          <w:tcPr>
            <w:tcW w:w="12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rPr>
                <w:sz w:val="10"/>
                <w:szCs w:val="10"/>
                <w:color w:val="auto"/>
              </w:rPr>
            </w:pPr>
          </w:p>
        </w:tc>
        <w:tc>
          <w:tcPr>
            <w:tcW w:w="1100" w:type="dxa"/>
            <w:vAlign w:val="bottom"/>
          </w:tcPr>
          <w:p>
            <w:pPr>
              <w:jc w:val="center"/>
              <w:ind w:right="165"/>
              <w:spacing w:after="0" w:line="122" w:lineRule="exact"/>
              <w:rPr>
                <w:sz w:val="20"/>
                <w:szCs w:val="20"/>
                <w:color w:val="auto"/>
              </w:rPr>
            </w:pPr>
            <w:r>
              <w:rPr>
                <w:rFonts w:ascii="Arial" w:cs="Arial" w:eastAsia="Arial" w:hAnsi="Arial"/>
                <w:sz w:val="11"/>
                <w:szCs w:val="11"/>
                <w:b w:val="1"/>
                <w:bCs w:val="1"/>
                <w:color w:val="auto"/>
                <w:w w:val="85"/>
              </w:rPr>
              <w:t>Stockholders'</w:t>
            </w:r>
          </w:p>
        </w:tc>
      </w:tr>
      <w:tr>
        <w:trPr>
          <w:trHeight w:val="140"/>
        </w:trPr>
        <w:tc>
          <w:tcPr>
            <w:tcW w:w="1020" w:type="dxa"/>
            <w:vAlign w:val="bottom"/>
          </w:tcPr>
          <w:p>
            <w:pPr>
              <w:jc w:val="center"/>
              <w:ind w:right="445"/>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(Loss) Income</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Deficit</w:t>
            </w:r>
          </w:p>
        </w:tc>
        <w:tc>
          <w:tcPr>
            <w:tcW w:w="200" w:type="dxa"/>
            <w:vAlign w:val="bottom"/>
          </w:tcPr>
          <w:p>
            <w:pPr>
              <w:spacing w:after="0"/>
              <w:rPr>
                <w:sz w:val="12"/>
                <w:szCs w:val="12"/>
                <w:color w:val="auto"/>
              </w:rPr>
            </w:pPr>
          </w:p>
        </w:tc>
        <w:tc>
          <w:tcPr>
            <w:tcW w:w="1100" w:type="dxa"/>
            <w:vAlign w:val="bottom"/>
          </w:tcPr>
          <w:p>
            <w:pPr>
              <w:jc w:val="center"/>
              <w:ind w:right="145"/>
              <w:spacing w:after="0"/>
              <w:rPr>
                <w:sz w:val="20"/>
                <w:szCs w:val="20"/>
                <w:color w:val="auto"/>
              </w:rPr>
            </w:pPr>
            <w:r>
              <w:rPr>
                <w:rFonts w:ascii="Arial" w:cs="Arial" w:eastAsia="Arial" w:hAnsi="Arial"/>
                <w:sz w:val="11"/>
                <w:szCs w:val="11"/>
                <w:b w:val="1"/>
                <w:bCs w:val="1"/>
                <w:color w:val="auto"/>
                <w:w w:val="95"/>
              </w:rPr>
              <w:t>Equity</w:t>
            </w:r>
          </w:p>
        </w:tc>
      </w:tr>
      <w:tr>
        <w:trPr>
          <w:trHeight w:val="22"/>
        </w:trPr>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921,091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(117,137)</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802,895</w:t>
            </w:r>
          </w:p>
        </w:tc>
      </w:tr>
      <w:tr>
        <w:trPr>
          <w:trHeight w:val="432"/>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4,422</w:t>
            </w:r>
          </w:p>
        </w:tc>
      </w:tr>
      <w:tr>
        <w:trPr>
          <w:trHeight w:val="243"/>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57"/>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18"/>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5,169</w:t>
            </w:r>
          </w:p>
        </w:tc>
      </w:tr>
      <w:tr>
        <w:trPr>
          <w:trHeight w:val="621"/>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6,703</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6,703</w:t>
            </w:r>
          </w:p>
        </w:tc>
      </w:tr>
      <w:tr>
        <w:trPr>
          <w:trHeight w:val="243"/>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17,032</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17,032</w:t>
            </w:r>
          </w:p>
        </w:tc>
      </w:tr>
      <w:tr>
        <w:trPr>
          <w:trHeight w:val="621"/>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162,570</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162,570</w:t>
            </w:r>
          </w:p>
        </w:tc>
      </w:tr>
      <w:tr>
        <w:trPr>
          <w:trHeight w:val="432"/>
        </w:trPr>
        <w:tc>
          <w:tcPr>
            <w:tcW w:w="1020" w:type="dxa"/>
            <w:vAlign w:val="bottom"/>
          </w:tcPr>
          <w:p>
            <w:pPr>
              <w:jc w:val="right"/>
              <w:ind w:right="65"/>
              <w:spacing w:after="0"/>
              <w:rPr>
                <w:sz w:val="20"/>
                <w:szCs w:val="20"/>
                <w:color w:val="auto"/>
              </w:rPr>
            </w:pPr>
            <w:r>
              <w:rPr>
                <w:rFonts w:ascii="Arial" w:cs="Arial" w:eastAsia="Arial" w:hAnsi="Arial"/>
                <w:sz w:val="16"/>
                <w:szCs w:val="16"/>
                <w:color w:val="auto"/>
              </w:rPr>
              <w:t>(89,625)</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(89,625)</w:t>
            </w:r>
          </w:p>
        </w:tc>
      </w:tr>
      <w:tr>
        <w:trPr>
          <w:trHeight w:val="432"/>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3,127</w:t>
            </w:r>
          </w:p>
        </w:tc>
      </w:tr>
      <w:tr>
        <w:trPr>
          <w:trHeight w:val="256"/>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36"/>
        </w:trPr>
        <w:tc>
          <w:tcPr>
            <w:tcW w:w="1020" w:type="dxa"/>
            <w:vAlign w:val="bottom"/>
          </w:tcPr>
          <w:p>
            <w:pPr>
              <w:jc w:val="right"/>
              <w:ind w:right="105"/>
              <w:spacing w:after="0"/>
              <w:rPr>
                <w:sz w:val="20"/>
                <w:szCs w:val="20"/>
                <w:color w:val="auto"/>
              </w:rPr>
            </w:pPr>
            <w:r>
              <w:rPr>
                <w:rFonts w:ascii="Arial" w:cs="Arial" w:eastAsia="Arial" w:hAnsi="Arial"/>
                <w:sz w:val="16"/>
                <w:szCs w:val="16"/>
                <w:color w:val="auto"/>
              </w:rPr>
              <w:t>1,027,656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(116,853)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912,871</w:t>
            </w:r>
          </w:p>
        </w:tc>
      </w:tr>
      <w:tr>
        <w:trPr>
          <w:trHeight w:val="27"/>
        </w:trPr>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-3642360</wp:posOffset>
            </wp:positionV>
            <wp:extent cx="831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-3616960</wp:posOffset>
            </wp:positionV>
            <wp:extent cx="831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-3805555</wp:posOffset>
            </wp:positionV>
            <wp:extent cx="831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-33655</wp:posOffset>
            </wp:positionV>
            <wp:extent cx="831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-8255</wp:posOffset>
            </wp:positionV>
            <wp:extent cx="8318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-196215</wp:posOffset>
            </wp:positionV>
            <wp:extent cx="831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300"/>
            <w:col w:w="516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40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Class A and Class B</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40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5"/>
                <w:szCs w:val="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5"/>
                <w:szCs w:val="5"/>
                <w:color w:val="auto"/>
              </w:rPr>
            </w:pPr>
          </w:p>
        </w:tc>
        <w:tc>
          <w:tcPr>
            <w:tcW w:w="11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79"/>
        </w:trPr>
        <w:tc>
          <w:tcPr>
            <w:tcW w:w="28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2020</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305,880,063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1,103,305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957,432</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Arial" w:cs="Arial" w:eastAsia="Arial" w:hAnsi="Arial"/>
                <w:sz w:val="16"/>
                <w:szCs w:val="16"/>
                <w:color w:val="auto"/>
              </w:rPr>
              <w:t>Effect of adoption of ASU 2020-06</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(156,268)</w:t>
            </w:r>
          </w:p>
        </w:tc>
        <w:tc>
          <w:tcPr>
            <w:tcW w:w="0" w:type="dxa"/>
            <w:vAlign w:val="bottom"/>
          </w:tcPr>
          <w:p>
            <w:pPr>
              <w:spacing w:after="0"/>
              <w:rPr>
                <w:sz w:val="1"/>
                <w:szCs w:val="1"/>
                <w:color w:val="auto"/>
              </w:rPr>
            </w:pPr>
          </w:p>
        </w:tc>
      </w:tr>
      <w:tr>
        <w:trPr>
          <w:trHeight w:val="212"/>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BALANCE—January 1, 2021</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305,880,063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930,235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801,164</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Arial" w:cs="Arial" w:eastAsia="Arial" w:hAnsi="Arial"/>
                <w:sz w:val="16"/>
                <w:szCs w:val="16"/>
                <w:color w:val="auto"/>
                <w:w w:val="95"/>
              </w:rPr>
              <w:t>Issuance of common stock upon exercise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2,530,629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5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Vesting of early exercised stock options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789,210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7"/>
              </w:rPr>
              <w:t>Issuance of restricted shares of common</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501,583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51,501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51,501</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from acquisitions</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under the</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139,649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color w:val="auto"/>
              </w:rPr>
              <w:t>9,794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9,794</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67,588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67,588</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Arial" w:cs="Arial" w:eastAsia="Arial" w:hAnsi="Arial"/>
                <w:sz w:val="16"/>
                <w:szCs w:val="16"/>
                <w:color w:val="auto"/>
              </w:rPr>
              <w:t>Change in accumulated other</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4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6"/>
                <w:szCs w:val="16"/>
                <w:color w:val="auto"/>
              </w:rPr>
              <w:t>BALANCE—June 30, 2021</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309,841,134</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1,065,835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(153,791)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912,879</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2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Class A and Class B</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2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740" w:type="dxa"/>
            <w:vAlign w:val="bottom"/>
          </w:tcPr>
          <w:p>
            <w:pPr>
              <w:spacing w:after="0"/>
              <w:rPr>
                <w:sz w:val="7"/>
                <w:szCs w:val="7"/>
                <w:color w:val="auto"/>
              </w:rPr>
            </w:pPr>
          </w:p>
        </w:tc>
        <w:tc>
          <w:tcPr>
            <w:tcW w:w="224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7"/>
                <w:szCs w:val="7"/>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7"/>
                <w:szCs w:val="7"/>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7"/>
                <w:szCs w:val="7"/>
                <w:color w:val="auto"/>
              </w:rPr>
            </w:pPr>
          </w:p>
        </w:tc>
        <w:tc>
          <w:tcPr>
            <w:tcW w:w="146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Comprehensive Income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80" w:type="dxa"/>
            <w:vAlign w:val="bottom"/>
          </w:tcPr>
          <w:p>
            <w:pPr>
              <w:spacing w:after="0"/>
              <w:rPr>
                <w:sz w:val="16"/>
                <w:szCs w:val="16"/>
                <w:color w:val="auto"/>
              </w:rPr>
            </w:pPr>
          </w:p>
        </w:tc>
        <w:tc>
          <w:tcPr>
            <w:tcW w:w="1460" w:type="dxa"/>
            <w:vAlign w:val="bottom"/>
          </w:tcPr>
          <w:p>
            <w:pPr>
              <w:jc w:val="center"/>
              <w:ind w:right="20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296,386,950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782,341</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upon</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5,422,829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7,235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7,235</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Vesting of early exercised stock options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restricted shares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120,992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from acquisition</w:t>
            </w: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under the</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Arial" w:cs="Arial" w:eastAsia="Arial" w:hAnsi="Arial"/>
                <w:sz w:val="16"/>
                <w:szCs w:val="16"/>
                <w:color w:val="auto"/>
                <w:w w:val="98"/>
              </w:rPr>
              <w:t>Employee Stock Purchase Plan, net of</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320,104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29,195</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w w:val="99"/>
              </w:rPr>
              <w:t>Equity component of 2025 Convertible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162,570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162,570</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Senior Notes, net</w:t>
            </w: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Purchases of capped calls related to</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(89,625)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(89,625)</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Convertible Senior Notes</w:t>
            </w: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rPr>
              <w:t>Change in accumulated other</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6,763</w:t>
            </w: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Arial" w:cs="Arial" w:eastAsia="Arial" w:hAnsi="Arial"/>
                <w:sz w:val="16"/>
                <w:szCs w:val="16"/>
                <w:color w:val="auto"/>
              </w:rPr>
              <w:t>BALANCE—June 30,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302,254,533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1,027,656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(116,853)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912,871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60" w:type="dxa"/>
            <w:vAlign w:val="bottom"/>
          </w:tcPr>
          <w:p>
            <w:pPr>
              <w:spacing w:after="0"/>
              <w:rPr>
                <w:sz w:val="14"/>
                <w:szCs w:val="14"/>
                <w:color w:val="auto"/>
              </w:rPr>
            </w:pPr>
          </w:p>
        </w:tc>
        <w:tc>
          <w:tcPr>
            <w:tcW w:w="2720" w:type="dxa"/>
            <w:vAlign w:val="bottom"/>
            <w:gridSpan w:val="5"/>
          </w:tcPr>
          <w:p>
            <w:pPr>
              <w:jc w:val="right"/>
              <w:ind w:right="557"/>
              <w:spacing w:after="0"/>
              <w:rPr>
                <w:sz w:val="20"/>
                <w:szCs w:val="20"/>
                <w:color w:val="auto"/>
              </w:rPr>
            </w:pPr>
            <w:r>
              <w:rPr>
                <w:rFonts w:ascii="Arial" w:cs="Arial" w:eastAsia="Arial" w:hAnsi="Arial"/>
                <w:sz w:val="13"/>
                <w:szCs w:val="13"/>
                <w:b w:val="1"/>
                <w:bCs w:val="1"/>
                <w:color w:val="auto"/>
              </w:rPr>
              <w:t>Six Months Ended June 30,</w:t>
            </w:r>
          </w:p>
        </w:tc>
      </w:tr>
      <w:tr>
        <w:trPr>
          <w:trHeight w:val="29"/>
        </w:trPr>
        <w:tc>
          <w:tcPr>
            <w:tcW w:w="8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Arial" w:cs="Arial" w:eastAsia="Arial" w:hAnsi="Arial"/>
                <w:sz w:val="13"/>
                <w:szCs w:val="13"/>
                <w:b w:val="1"/>
                <w:bCs w:val="1"/>
                <w:color w:val="auto"/>
              </w:rPr>
              <w:t>2020</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Net (loss) income</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(22,430)</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6,763</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7,395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discounts or premiums on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8,113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1,460</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Amortization of issuance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deferred contract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4,627</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Stock-based compensation, net of amounts capitalized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63,376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28,894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Non-cash lease expense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6,551</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Allowance for credit losses on accounts receivable</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2,001</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Loss on disposal of 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receivable, net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(24,908)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(23,684)</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Deferred contract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(16,701)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(11,237)</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(6,481)</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7,372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2,692</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7,308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1,648</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56,578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26,787</w:t>
            </w:r>
          </w:p>
        </w:tc>
      </w:tr>
      <w:tr>
        <w:trPr>
          <w:trHeight w:val="167"/>
        </w:trPr>
        <w:tc>
          <w:tcPr>
            <w:tcW w:w="8360" w:type="dxa"/>
            <w:vAlign w:val="bottom"/>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103,373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48,993</w:t>
            </w:r>
          </w:p>
        </w:tc>
      </w:tr>
      <w:tr>
        <w:trPr>
          <w:trHeight w:val="68"/>
        </w:trPr>
        <w:tc>
          <w:tcPr>
            <w:tcW w:w="836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3"/>
        </w:trPr>
        <w:tc>
          <w:tcPr>
            <w:tcW w:w="83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CASH FLOWS FROM INVESTING ACTIVITIES:</w:t>
            </w:r>
          </w:p>
        </w:tc>
        <w:tc>
          <w:tcPr>
            <w:tcW w:w="7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(490,983)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(1,203,513)</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Maturities of marketable securities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570,206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121,854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sale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41,715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Purchases of property and equipment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(2,924)</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(12,392)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(8,154)</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Cash paid for acquisition of businesses; net of cash acquired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(200,348)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(2,363)</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(96,029)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(1,095,100)</w:t>
            </w:r>
          </w:p>
        </w:tc>
      </w:tr>
      <w:tr>
        <w:trPr>
          <w:trHeight w:val="34"/>
        </w:trPr>
        <w:tc>
          <w:tcPr>
            <w:tcW w:w="83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7,235</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Initial public offering costs</w:t>
            </w:r>
          </w:p>
        </w:tc>
        <w:tc>
          <w:tcPr>
            <w:tcW w:w="7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(421)</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7,680</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7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730,681</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 of capped call related to convertible senior notes</w:t>
            </w:r>
          </w:p>
        </w:tc>
        <w:tc>
          <w:tcPr>
            <w:tcW w:w="7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(89,625)</w:t>
            </w:r>
          </w:p>
        </w:tc>
      </w:tr>
      <w:tr>
        <w:trPr>
          <w:trHeight w:val="166"/>
        </w:trPr>
        <w:tc>
          <w:tcPr>
            <w:tcW w:w="8360" w:type="dxa"/>
            <w:vAlign w:val="bottom"/>
          </w:tcPr>
          <w:p>
            <w:pPr>
              <w:ind w:left="1000"/>
              <w:spacing w:after="0"/>
              <w:rPr>
                <w:sz w:val="20"/>
                <w:szCs w:val="20"/>
                <w:color w:val="auto"/>
              </w:rPr>
            </w:pPr>
            <w:r>
              <w:rPr>
                <w:rFonts w:ascii="Arial" w:cs="Arial" w:eastAsia="Arial" w:hAnsi="Arial"/>
                <w:sz w:val="13"/>
                <w:szCs w:val="13"/>
                <w:color w:val="auto"/>
              </w:rPr>
              <w:t>Net cash provided by financing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15,711</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654,691</w:t>
            </w:r>
          </w:p>
        </w:tc>
      </w:tr>
      <w:tr>
        <w:trPr>
          <w:trHeight w:val="69"/>
        </w:trPr>
        <w:tc>
          <w:tcPr>
            <w:tcW w:w="836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3"/>
        </w:trPr>
        <w:tc>
          <w:tcPr>
            <w:tcW w:w="83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7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(662)</w:t>
            </w: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(113)</w:t>
            </w:r>
          </w:p>
        </w:tc>
      </w:tr>
      <w:tr>
        <w:trPr>
          <w:trHeight w:val="64"/>
        </w:trPr>
        <w:tc>
          <w:tcPr>
            <w:tcW w:w="836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r>
      <w:tr>
        <w:trPr>
          <w:trHeight w:val="173"/>
        </w:trPr>
        <w:tc>
          <w:tcPr>
            <w:tcW w:w="8360" w:type="dxa"/>
            <w:vAlign w:val="bottom"/>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(391,529)</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228,711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601,189</w:t>
            </w:r>
          </w:p>
        </w:tc>
      </w:tr>
      <w:tr>
        <w:trPr>
          <w:trHeight w:val="195"/>
        </w:trPr>
        <w:tc>
          <w:tcPr>
            <w:tcW w:w="83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CASH—End of period</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251,104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209,660</w:t>
            </w:r>
          </w:p>
        </w:tc>
      </w:tr>
      <w:tr>
        <w:trPr>
          <w:trHeight w:val="47"/>
        </w:trPr>
        <w:tc>
          <w:tcPr>
            <w:tcW w:w="836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3"/>
        </w:trPr>
        <w:tc>
          <w:tcPr>
            <w:tcW w:w="83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paid for income taxes</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54"/>
        </w:trPr>
        <w:tc>
          <w:tcPr>
            <w:tcW w:w="8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18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Accrued property and equipment purchases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814</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Vesting of early exercised options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588</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Convertible senior notes issuance costs included in accounts payable and accrued liabilities</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474</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Deferred tax liability related to convertible senior notes issuance</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(10,502)</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Deferred tax liability related to unrealized gain on marketable securities</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51,501</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5,169</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Acquisition holdback</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1,500</w:t>
            </w:r>
          </w:p>
        </w:tc>
      </w:tr>
      <w:tr>
        <w:trPr>
          <w:trHeight w:val="54"/>
        </w:trPr>
        <w:tc>
          <w:tcPr>
            <w:tcW w:w="8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161"/>
        </w:trPr>
        <w:tc>
          <w:tcPr>
            <w:tcW w:w="83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5"/>
              </w:rPr>
              <w:t>RECONCILIATION OF CASH, CASH EQUIVALENTS AND RESTRICTED CASH WITHIN THE CONDENSED CONSOLIDATED BALANCE SHEETS</w:t>
            </w: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8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 THE AMOUNTS SHOWN IN THE STATEMENTS OF CASH FLOWS ABOVE:</w:t>
            </w:r>
          </w:p>
        </w:tc>
        <w:tc>
          <w:tcPr>
            <w:tcW w:w="7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247,442</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206,202</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Restricted cash – Including amounts in prepaid expense and other current assets and other assets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3,458</w:t>
            </w:r>
          </w:p>
        </w:tc>
      </w:tr>
      <w:tr>
        <w:trPr>
          <w:trHeight w:val="195"/>
        </w:trPr>
        <w:tc>
          <w:tcPr>
            <w:tcW w:w="8360" w:type="dxa"/>
            <w:vAlign w:val="bottom"/>
          </w:tcPr>
          <w:p>
            <w:pPr>
              <w:ind w:left="220"/>
              <w:spacing w:after="0"/>
              <w:rPr>
                <w:sz w:val="20"/>
                <w:szCs w:val="20"/>
                <w:color w:val="auto"/>
              </w:rPr>
            </w:pPr>
            <w:r>
              <w:rPr>
                <w:rFonts w:ascii="Arial" w:cs="Arial" w:eastAsia="Arial" w:hAnsi="Arial"/>
                <w:sz w:val="13"/>
                <w:szCs w:val="13"/>
                <w:color w:val="auto"/>
              </w:rPr>
              <w:t>Total cash, cash equivalents and restricted cash</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251,104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209,660</w:t>
            </w:r>
          </w:p>
        </w:tc>
      </w:tr>
      <w:tr>
        <w:trPr>
          <w:trHeight w:val="22"/>
        </w:trPr>
        <w:tc>
          <w:tcPr>
            <w:tcW w:w="8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080"/>
          </w:cols>
          <w:pgMar w:left="320" w:top="378" w:right="499" w:bottom="1440" w:gutter="0" w:footer="0" w:header="0"/>
        </w:sectPr>
      </w:pP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8" w:right="4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2020, as filed with the SEC on March 1, 2021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No. 2020-06”), which simplifies the accounting for certain financial instruments with characteristics of liabilities and equity, including convertible instruments and contracts in an entity's own equity. Among other changes, ASU No. 2020-06 removes from GAAP the liability and equity separation model for convertible instruments with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52" w:lineRule="auto"/>
        <w:rPr>
          <w:sz w:val="20"/>
          <w:szCs w:val="20"/>
          <w:color w:val="auto"/>
        </w:rPr>
      </w:pPr>
      <w:r>
        <w:rPr>
          <w:rFonts w:ascii="Arial" w:cs="Arial" w:eastAsia="Arial" w:hAnsi="Arial"/>
          <w:sz w:val="17"/>
          <w:szCs w:val="17"/>
          <w:color w:val="auto"/>
        </w:rPr>
        <w:t>cash conversion feature, and as a result, after adoption, entities will no longer separately present in equity an embedded conversion feature for such convertible debt instruments. Similarly, the debt discount, that is equal to the carrying value of the embedded conversion feature upon issuance,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Additionally, ASU No. 2020-06 requires the application of the if-converted method to calculate the impact of convertible instruments on diluted earnings per share and include the effect of share settlement for instruments that may be settled in cash or shares, except for certain liability-classified share-based payment awards. ASU No. 2020-06 is effective for fiscal years beginning after December 15, 2021, with early adoption permitted for fiscal years beginning after December 15, 2020 and can be adopted on either a fully retrospective or modified retrospective basis. The Company early adopted ASU No. 2020-06 on January 1, 2021, using the modified retrospective basis. Adoption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June 30, 2021 and December 31, 2020 (in thousands):</w:t>
      </w: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June 30, 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35"/>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872,824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873,180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25,739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192,111</w:t>
            </w:r>
          </w:p>
        </w:tc>
      </w:tr>
      <w:tr>
        <w:trPr>
          <w:trHeight w:val="248"/>
        </w:trPr>
        <w:tc>
          <w:tcPr>
            <w:tcW w:w="5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1,162,717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4"/>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4"/>
        </w:trPr>
        <w:tc>
          <w:tcPr>
            <w:tcW w:w="56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debt securities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926,836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927,850</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47,256</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108,294</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209,132</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1,292,532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June 30, 2021, the fair values of available-for-sale marketable securities, by remaining contractual maturity, were as follows (in thousands):</w:t>
      </w:r>
    </w:p>
    <w:p>
      <w:pPr>
        <w:spacing w:after="0" w:line="168"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848,137</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314,580</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1,162,717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 and losses on marketable securities are presented net of tax.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June 30, 2021 and December 31, 2020, and indicate the fair value hierarchy of the valuation inputs utilized to determine such fair value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Fair Value Measurement as of June 30, 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227,317</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227,317</w:t>
            </w: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873,180</w:t>
            </w: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25,739</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71,687</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227,317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1,162,717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1,390,034</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0"/>
        </w:trPr>
        <w:tc>
          <w:tcPr>
            <w:tcW w:w="5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w w:val="92"/>
              </w:rPr>
              <w:t>Fair Value Measurement as of December 31, 2020</w:t>
            </w:r>
          </w:p>
        </w:tc>
        <w:tc>
          <w:tcPr>
            <w:tcW w:w="1020" w:type="dxa"/>
            <w:vAlign w:val="bottom"/>
            <w:tcBorders>
              <w:bottom w:val="single" w:sz="8" w:color="auto"/>
            </w:tcBorders>
          </w:tcPr>
          <w:p>
            <w:pPr>
              <w:spacing w:after="0"/>
              <w:rPr>
                <w:sz w:val="24"/>
                <w:szCs w:val="24"/>
                <w:color w:val="auto"/>
              </w:rPr>
            </w:pPr>
          </w:p>
        </w:tc>
      </w:tr>
      <w:tr>
        <w:trPr>
          <w:trHeight w:val="187"/>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181,743</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181,743</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25,195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927,850</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108,294</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209,132</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181,743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1,317,727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1,499,470</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48,502</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82,718</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Depreciation and amortization expense was approximately $4.4 million and $8.4 million for the three and six months ended June 30, 2021, respectively. Depreciation and amortization expense was approximately $3.5 million and $7.0 million for the three and six months ended June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April 2021, the Company entered into a Stock Purchase Agreement whereby the Company acquired all of the issued and outstanding shares of a SaaS based security platform company. The consideration was approximately $220.0 million, comprising cash and Class A common stock. The acquisition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and accordingly, the total fair value of the purchase consideration was allocated to the tangible and intangible assets acquired and liabilities assumed based on their estimated fair values on the acquisition date. The total preliminary purchase price allocated to intangible assets and goodwill was $9.4 million and $207.1 million, respectively. The resulting goodwill is not deductible for income tax purposes. Intangible assets consisted of developed technology in the amount of $6.5 million and customer relationships in the amount of $2.9 million. The useful life for developed technology and customer relationships are three and four years, respectively. Additionally, there was a one-time severance charge of $1.3 million recorded on the acquisition date.</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purchase price allocation is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Goodwill resulted primarily from the expectation of enhancing the Company's current application security tools. The resulting goodwill is not deductible for income tax purposes. Pro forma results of operations for this acquisition have not been presented because they were not material to the condensed consolidated results of operations.</w:t>
      </w:r>
    </w:p>
    <w:p>
      <w:pPr>
        <w:spacing w:after="0" w:line="1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February 2021, the Company entered into a Stock Purchase Agreement whereby the Company acquired all of the issued and outstanding shares of a target company with the purchase price paid in cash and Class A common stock. The acquisition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purchase price was allocated to intangible assets in the amount of $1.7 million and goodwill in the amount of $34.3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condensed 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year ended December 31, 2020, the Company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92"/>
              </w:rPr>
              <w:t>June 30, 2021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81"/>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center"/>
              <w:ind w:right="281"/>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94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ind w:right="81"/>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81"/>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center"/>
              <w:ind w:right="281"/>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94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49"/>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amortization expense was approximately $1.1 million and $0.2 million for the three months ended June 30, 2021 and 2020, respectively, and $1.4 million and $0.4 million for the six months ended June 30, 2021 and 2020,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future amortization expense by year is expected to be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9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0" w:type="dxa"/>
            <w:vAlign w:val="bottom"/>
          </w:tcPr>
          <w:p>
            <w:pPr>
              <w:spacing w:after="0"/>
              <w:rPr>
                <w:sz w:val="1"/>
                <w:szCs w:val="1"/>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acquisitions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241,349</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258,682</w:t>
            </w: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980" w:hanging="486"/>
        <w:spacing w:after="0" w:line="263"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4" w:name="page15"/>
    <w:bookmarkEnd w:id="14"/>
    <w:p>
      <w:pPr>
        <w:ind w:left="980" w:right="20"/>
        <w:spacing w:after="0" w:line="277" w:lineRule="auto"/>
        <w:rPr>
          <w:sz w:val="20"/>
          <w:szCs w:val="20"/>
          <w:color w:val="auto"/>
        </w:rPr>
      </w:pPr>
      <w:r>
        <w:rPr>
          <w:rFonts w:ascii="Arial" w:cs="Arial" w:eastAsia="Arial" w:hAnsi="Arial"/>
          <w:sz w:val="18"/>
          <w:szCs w:val="18"/>
          <w:color w:val="auto"/>
        </w:rPr>
        <w:t>including, the last trading day of the immediately preceding calendar quarter is greater than or equal to 130% of the conversion price on each applicable trading day;</w:t>
      </w:r>
    </w:p>
    <w:p>
      <w:pPr>
        <w:spacing w:after="0" w:line="62" w:lineRule="exact"/>
        <w:rPr>
          <w:sz w:val="20"/>
          <w:szCs w:val="20"/>
          <w:color w:val="auto"/>
        </w:rPr>
      </w:pPr>
    </w:p>
    <w:p>
      <w:pPr>
        <w:jc w:val="both"/>
        <w:ind w:left="980" w:hanging="486"/>
        <w:spacing w:after="0" w:line="286" w:lineRule="auto"/>
        <w:tabs>
          <w:tab w:leader="none" w:pos="974"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980" w:hanging="486"/>
        <w:spacing w:after="0" w:line="277" w:lineRule="auto"/>
        <w:tabs>
          <w:tab w:leader="none" w:pos="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8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June 30, 2021, the conditions allowing holders of the 2025 Notes to convert have not been met. The 2025 Notes were therefore not convertible during the three months ended June 30, 2021 and were classified as long-term debt on the Company’s condensed consolidated balance sheets.</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accounting for the issuance of the 2025 Notes, the 2025 Notes were separated into liability and equity components through December 31, 2020.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was amortized to interest expense using the effective interest rate method. The carrying amount of the equity component representing the conversion option was $177.2 million. The equity component was recorded in additional paid-in capital.</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On January 1, 2021 the Company adopted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a $173.1 million decrease to the opening balance of additional paid-in capital, and a $156.3 million increase to the opening balance of Convertible senior notes, net on the consolidated balance sheet.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1640" w:type="dxa"/>
            <w:vAlign w:val="bottom"/>
            <w:tcBorders>
              <w:bottom w:val="single" w:sz="8" w:color="CCEEFF"/>
            </w:tcBorders>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11"/>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Principal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747,500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747,500</w:t>
            </w:r>
          </w:p>
        </w:tc>
      </w:tr>
      <w:tr>
        <w:trPr>
          <w:trHeight w:val="229"/>
        </w:trPr>
        <w:tc>
          <w:tcPr>
            <w:tcW w:w="79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Unamortized debt discount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(159,547)</w:t>
            </w:r>
          </w:p>
        </w:tc>
      </w:tr>
      <w:tr>
        <w:trPr>
          <w:trHeight w:val="230"/>
        </w:trPr>
        <w:tc>
          <w:tcPr>
            <w:tcW w:w="79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Unamortized debt issuance costs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r>
      <w:tr>
        <w:trPr>
          <w:trHeight w:val="223"/>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carrying amount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575,864</w:t>
            </w:r>
          </w:p>
        </w:tc>
      </w:tr>
      <w:tr>
        <w:trPr>
          <w:trHeight w:val="223"/>
        </w:trPr>
        <w:tc>
          <w:tcPr>
            <w:tcW w:w="794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173,070</w:t>
            </w:r>
          </w:p>
        </w:tc>
      </w:tr>
      <w:tr>
        <w:trPr>
          <w:trHeight w:val="21"/>
        </w:trPr>
        <w:tc>
          <w:tcPr>
            <w:tcW w:w="1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5"/>
        </w:trPr>
        <w:tc>
          <w:tcPr>
            <w:tcW w:w="1640" w:type="dxa"/>
            <w:vAlign w:val="bottom"/>
            <w:tcBorders>
              <w:bottom w:val="single" w:sz="8" w:color="auto"/>
            </w:tcBorders>
          </w:tcPr>
          <w:p>
            <w:pPr>
              <w:spacing w:after="0"/>
              <w:rPr>
                <w:sz w:val="13"/>
                <w:szCs w:val="13"/>
                <w:color w:val="auto"/>
              </w:rPr>
            </w:pPr>
          </w:p>
        </w:tc>
        <w:tc>
          <w:tcPr>
            <w:tcW w:w="6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noted above, December 31, 2020 amounts have not been adjusted due to the adoption of ASU 2020-06 under the modified retrospective method.</w:t>
      </w:r>
    </w:p>
    <w:p>
      <w:pPr>
        <w:spacing w:after="0" w:line="2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2021, the total estimated fair value of the 2025 Notes was approximately $1,003.2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interest expense related to the 2025 Notes for the three and six months ended June 30, 2021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1040" w:type="dxa"/>
            <w:vAlign w:val="bottom"/>
          </w:tcPr>
          <w:p>
            <w:pPr>
              <w:spacing w:after="0"/>
              <w:rPr>
                <w:sz w:val="14"/>
                <w:szCs w:val="14"/>
                <w:color w:val="auto"/>
              </w:rPr>
            </w:pPr>
          </w:p>
        </w:tc>
      </w:tr>
      <w:tr>
        <w:trPr>
          <w:trHeight w:val="188"/>
        </w:trPr>
        <w:tc>
          <w:tcPr>
            <w:tcW w:w="16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4"/>
        </w:trPr>
        <w:tc>
          <w:tcPr>
            <w:tcW w:w="164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21"/>
                <w:szCs w:val="21"/>
                <w:b w:val="1"/>
                <w:bCs w:val="1"/>
                <w:color w:val="auto"/>
                <w:vertAlign w:val="superscript"/>
              </w:rPr>
              <w:t>(1)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4"/>
              <w:spacing w:after="0" w:line="184" w:lineRule="exact"/>
              <w:rPr>
                <w:sz w:val="20"/>
                <w:szCs w:val="20"/>
                <w:color w:val="auto"/>
              </w:rPr>
            </w:pPr>
            <w:r>
              <w:rPr>
                <w:rFonts w:ascii="Arial" w:cs="Arial" w:eastAsia="Arial" w:hAnsi="Arial"/>
                <w:sz w:val="14"/>
                <w:szCs w:val="14"/>
                <w:b w:val="1"/>
                <w:bCs w:val="1"/>
                <w:color w:val="auto"/>
                <w:w w:val="84"/>
              </w:rPr>
              <w:t xml:space="preserve">2020 </w:t>
            </w:r>
            <w:r>
              <w:rPr>
                <w:rFonts w:ascii="Arial" w:cs="Arial" w:eastAsia="Arial" w:hAnsi="Arial"/>
                <w:sz w:val="21"/>
                <w:szCs w:val="21"/>
                <w:b w:val="1"/>
                <w:bCs w:val="1"/>
                <w:color w:val="auto"/>
                <w:w w:val="84"/>
                <w:vertAlign w:val="superscript"/>
              </w:rPr>
              <w:t>(1)</w:t>
            </w: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Amortization of debt discount</w:t>
            </w: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2,340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2,557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r>
      <w:tr>
        <w:trPr>
          <w:trHeight w:val="21"/>
        </w:trPr>
        <w:tc>
          <w:tcPr>
            <w:tcW w:w="1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5"/>
        </w:trPr>
        <w:tc>
          <w:tcPr>
            <w:tcW w:w="164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noted above, December 31, 2020 amounts have not been adjusted due to the adoption of ASU 2020-06 under the modified retrospective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—During the six months ended June 30, 2021, other than certain non-cancelable operating leases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Note 9,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material changes outside the ordinary course of business to the Company's contractual obligations and commitments from those disclosed in the Annual Report.</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401(k) Plan</w:t>
      </w:r>
      <w:r>
        <w:rPr>
          <w:rFonts w:ascii="Arial" w:cs="Arial" w:eastAsia="Arial" w:hAnsi="Arial"/>
          <w:sz w:val="16"/>
          <w:szCs w:val="16"/>
          <w:color w:val="auto"/>
        </w:rPr>
        <w:t>—The Company sponsors a 401(k) defined contribution plan covering all eligible U.S. employees. Contributions to the 401(k) plan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discretionary. The Company did not make any matching contributions to the 401(k) plan for the three and six months ended June 30, 2021 and 2020.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2021 and 2031.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2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r>
      <w:tr>
        <w:trPr>
          <w:trHeight w:val="188"/>
        </w:trPr>
        <w:tc>
          <w:tcPr>
            <w:tcW w:w="5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6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1"/>
                <w:szCs w:val="21"/>
                <w:color w:val="auto"/>
                <w:vertAlign w:val="superscript"/>
              </w:rPr>
              <w:t>(1)</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4,764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9,520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1,454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36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0" w:lineRule="exact"/>
        <w:rPr>
          <w:sz w:val="20"/>
          <w:szCs w:val="20"/>
          <w:color w:val="auto"/>
        </w:rPr>
      </w:pPr>
    </w:p>
    <w:p>
      <w:pPr>
        <w:ind w:left="340" w:right="340" w:hanging="332"/>
        <w:spacing w:after="0" w:line="273" w:lineRule="auto"/>
        <w:tabs>
          <w:tab w:leader="none" w:pos="338"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non-cash lease expense of $4.1 million and $3.4 million for the three months ended June 30, 2021 and 2020, respectively, and $8.1 million and $6.6 million for the six months ended June 30, 2021 and 2020,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FF0FC"/>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9,603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8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512"/>
        </w:trPr>
        <w:tc>
          <w:tcPr>
            <w:tcW w:w="8480" w:type="dxa"/>
            <w:vAlign w:val="bottom"/>
          </w:tcPr>
          <w:p>
            <w:pPr>
              <w:ind w:left="500"/>
              <w:spacing w:after="0"/>
              <w:rPr>
                <w:sz w:val="20"/>
                <w:szCs w:val="20"/>
                <w:color w:val="auto"/>
              </w:rPr>
            </w:pPr>
            <w:r>
              <w:rPr>
                <w:rFonts w:ascii="Arial" w:cs="Arial" w:eastAsia="Arial" w:hAnsi="Arial"/>
                <w:sz w:val="18"/>
                <w:szCs w:val="18"/>
                <w:color w:val="auto"/>
                <w:w w:val="92"/>
              </w:rPr>
              <w:t>Maturities of lease liabilities by fiscal year for the Company’s operating leases are as follows (in thousands):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48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4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20,099</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2026 and beyond</w:t>
            </w:r>
          </w:p>
        </w:tc>
        <w:tc>
          <w:tcPr>
            <w:tcW w:w="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12,746</w:t>
            </w:r>
          </w:p>
        </w:tc>
        <w:tc>
          <w:tcPr>
            <w:tcW w:w="0" w:type="dxa"/>
            <w:vAlign w:val="bottom"/>
          </w:tcPr>
          <w:p>
            <w:pPr>
              <w:spacing w:after="0"/>
              <w:rPr>
                <w:sz w:val="1"/>
                <w:szCs w:val="1"/>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16</w:t>
            </w:r>
          </w:p>
        </w:tc>
        <w:tc>
          <w:tcPr>
            <w:tcW w:w="8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jc w:val="both"/>
        <w:ind w:firstLine="486"/>
        <w:spacing w:after="0" w:line="263" w:lineRule="auto"/>
        <w:rPr>
          <w:sz w:val="20"/>
          <w:szCs w:val="20"/>
          <w:color w:val="auto"/>
        </w:rPr>
      </w:pPr>
      <w:r>
        <w:rPr>
          <w:rFonts w:ascii="Arial" w:cs="Arial" w:eastAsia="Arial" w:hAnsi="Arial"/>
          <w:sz w:val="18"/>
          <w:szCs w:val="18"/>
          <w:color w:val="auto"/>
        </w:rPr>
        <w:t>As of June 30, 2021, the Company had three additional operating leases that are set to commence in the second half of 2021, which are excluded from the table above. These three additional leases have total undiscounted future payments of $25.9 million with a weighted average lease term of 7.2 years.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460" w:type="dxa"/>
            <w:vAlign w:val="bottom"/>
          </w:tcPr>
          <w:p>
            <w:pPr>
              <w:jc w:val="right"/>
              <w:ind w:right="399"/>
              <w:spacing w:after="0"/>
              <w:rPr>
                <w:sz w:val="20"/>
                <w:szCs w:val="20"/>
                <w:color w:val="auto"/>
              </w:rPr>
            </w:pPr>
            <w:r>
              <w:rPr>
                <w:rFonts w:ascii="Arial" w:cs="Arial" w:eastAsia="Arial" w:hAnsi="Arial"/>
                <w:sz w:val="14"/>
                <w:szCs w:val="14"/>
                <w:b w:val="1"/>
                <w:bCs w:val="1"/>
                <w:color w:val="auto"/>
              </w:rPr>
              <w:t>June 30,</w:t>
            </w:r>
          </w:p>
        </w:tc>
      </w:tr>
      <w:tr>
        <w:trPr>
          <w:trHeight w:val="188"/>
        </w:trPr>
        <w:tc>
          <w:tcPr>
            <w:tcW w:w="9780" w:type="dxa"/>
            <w:vAlign w:val="bottom"/>
            <w:tcBorders>
              <w:bottom w:val="single" w:sz="8" w:color="CFF0FC"/>
            </w:tcBorders>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24"/>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4.69 %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by location is determined by the billing address of the customer. The following table sets forth revenue by geographic area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205,488</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121,013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65,772</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271,260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Revenue recognized during the three months ended June 30, 2021 and 2020, which was included in the deferred revenue balances at the beginning of each such period, was $108.4 million and $64.9 million, respectively. Revenue recognized during the six months ended June 30, 2021 and 2020 that was included in the deferred revenue balances at the beginning of each such period was $158.8 million and $100.8 million, respectively.</w:t>
      </w:r>
    </w:p>
    <w:p>
      <w:pPr>
        <w:spacing w:after="0" w:line="14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2021 and December 31, 2020, the aggregate transaction price allocated to remaining performance obligations was $583.3 million and $434.1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six months ended June 30, 2021 and 2020, the Company charged $0.7 million and $0.5 million, respectively, of accounts receivable deemed uncollectible against the allowance for credit losses.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June 30, 2021 and December 31, 2020, unbilled accounts receivable of approximately $29.7 million and $20.1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jc w:val="both"/>
        <w:ind w:firstLine="486"/>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Deferred contract costs on the Company’s condensed consolidated balance sheets were $49.2 million and $40.4 million as of June 30, 2021 and December 31, 2020, respectively. Amortization expense was $4.1 million and $2.4 million for the three months ended June 30, 2021 and 2020, respectively, and was $7.9 million and $4.6 million for the six months ended June 30, 2021 and 2020, respectively.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136"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Amount</w:t>
      </w:r>
    </w:p>
    <w:p>
      <w:pPr>
        <w:sectPr>
          <w:pgSz w:w="11900" w:h="16838" w:orient="portrait"/>
          <w:cols w:equalWidth="0" w:num="1">
            <w:col w:w="11240"/>
          </w:cols>
          <w:pgMar w:left="320" w:top="111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deferred contract costs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and Class B Common Stock</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745" w:hanging="745"/>
        <w:spacing w:after="0"/>
        <w:tabs>
          <w:tab w:leader="none" w:pos="745" w:val="left"/>
        </w:tabs>
        <w:numPr>
          <w:ilvl w:val="0"/>
          <w:numId w:val="9"/>
        </w:numPr>
        <w:rPr>
          <w:rFonts w:ascii="Arial" w:cs="Arial" w:eastAsia="Arial" w:hAnsi="Arial"/>
          <w:sz w:val="17"/>
          <w:szCs w:val="17"/>
          <w:color w:val="auto"/>
        </w:rPr>
      </w:pPr>
      <w:r>
        <w:rPr>
          <w:rFonts w:ascii="Arial" w:cs="Arial" w:eastAsia="Arial" w:hAnsi="Arial"/>
          <w:sz w:val="17"/>
          <w:szCs w:val="17"/>
          <w:color w:val="auto"/>
        </w:rPr>
        <w:t>40,388</w:t>
      </w:r>
    </w:p>
    <w:p>
      <w:pPr>
        <w:spacing w:after="0" w:line="34" w:lineRule="exact"/>
        <w:rPr>
          <w:rFonts w:ascii="Arial" w:cs="Arial" w:eastAsia="Arial" w:hAnsi="Arial"/>
          <w:sz w:val="17"/>
          <w:szCs w:val="17"/>
          <w:color w:val="auto"/>
        </w:rPr>
      </w:pPr>
    </w:p>
    <w:p>
      <w:pPr>
        <w:ind w:left="745"/>
        <w:spacing w:after="0"/>
        <w:rPr>
          <w:rFonts w:ascii="Arial" w:cs="Arial" w:eastAsia="Arial" w:hAnsi="Arial"/>
          <w:sz w:val="17"/>
          <w:szCs w:val="17"/>
          <w:color w:val="auto"/>
        </w:rPr>
      </w:pPr>
      <w:r>
        <w:rPr>
          <w:rFonts w:ascii="Arial" w:cs="Arial" w:eastAsia="Arial" w:hAnsi="Arial"/>
          <w:sz w:val="17"/>
          <w:szCs w:val="17"/>
          <w:color w:val="auto"/>
        </w:rPr>
        <w:t>16,701</w:t>
      </w:r>
    </w:p>
    <w:p>
      <w:pPr>
        <w:spacing w:after="0" w:line="34" w:lineRule="exact"/>
        <w:rPr>
          <w:rFonts w:ascii="Arial" w:cs="Arial" w:eastAsia="Arial" w:hAnsi="Arial"/>
          <w:sz w:val="17"/>
          <w:szCs w:val="17"/>
          <w:color w:val="auto"/>
        </w:rPr>
      </w:pPr>
    </w:p>
    <w:p>
      <w:pPr>
        <w:ind w:left="745"/>
        <w:spacing w:after="0"/>
        <w:rPr>
          <w:rFonts w:ascii="Arial" w:cs="Arial" w:eastAsia="Arial" w:hAnsi="Arial"/>
          <w:sz w:val="17"/>
          <w:szCs w:val="17"/>
          <w:color w:val="auto"/>
        </w:rPr>
      </w:pPr>
      <w:r>
        <w:rPr>
          <w:rFonts w:ascii="Arial" w:cs="Arial" w:eastAsia="Arial" w:hAnsi="Arial"/>
          <w:sz w:val="17"/>
          <w:szCs w:val="17"/>
          <w:color w:val="auto"/>
        </w:rPr>
        <w:t>(7,853)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840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7" w:lineRule="exact"/>
        <w:rPr>
          <w:sz w:val="20"/>
          <w:szCs w:val="20"/>
          <w:color w:val="auto"/>
        </w:rPr>
      </w:pPr>
    </w:p>
    <w:p>
      <w:pPr>
        <w:ind w:left="745" w:hanging="745"/>
        <w:spacing w:after="0"/>
        <w:tabs>
          <w:tab w:leader="none" w:pos="7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49,236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840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840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87" w:lineRule="exact"/>
        <w:rPr>
          <w:sz w:val="20"/>
          <w:szCs w:val="20"/>
          <w:color w:val="auto"/>
        </w:rPr>
      </w:pPr>
    </w:p>
    <w:p>
      <w:pPr>
        <w:sectPr>
          <w:pgSz w:w="11900" w:h="16838" w:orient="portrait"/>
          <w:cols w:equalWidth="0" w:num="2">
            <w:col w:w="9215" w:space="720"/>
            <w:col w:w="1305"/>
          </w:cols>
          <w:pgMar w:left="320" w:top="1111" w:right="339" w:bottom="1440" w:gutter="0" w:footer="0" w:header="0"/>
          <w:type w:val="continuous"/>
        </w:sectPr>
      </w:pPr>
    </w:p>
    <w:p>
      <w:pPr>
        <w:spacing w:after="0" w:line="4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three and six months ended June 30, 2021, 5,001,619 shares and 18,016,072 shares of Class B common stock were converted into Class A common stock, respectively.</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2021, the Company had authorized 2,000,000,000 shares of Class A common stock and 310,000,000 shares of Class B common stock, each at a par value per share of $0.00001, of which 239,453,343 shares of Class A common stock and 70,387,791 shares of Class B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Under the 2019 Plan, the Board and any other committee or subcommittee of the Board may grant stock options, stock appreciation rights, restricted stock awards, restricted stock units (“RSUs”), and performance-based and other awards, each equity award valued or based on the Company’s Class A common stock, to employees,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directors, consultants, and advisors of the Company. As of June 30, 2021, there were 55,888,272 shares available for grant under the 2019 Plan.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 and weighted-average exercise prices: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Number Of</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Intrinsic Value</w:t>
            </w:r>
          </w:p>
        </w:tc>
      </w:tr>
      <w:tr>
        <w:trPr>
          <w:trHeight w:val="186"/>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outstanding—December 31, 2020</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27,068,323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2,575,069</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(2,530,629)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(262,294)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88"/>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outstanding—June 30,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24,275,400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2,444,482</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Ending Exercisable—June 30, 2021</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16,916,961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1,730,262</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2021, there were 34,251 shares of Class A common stock and 24,241,149 shares of Class B common stock issuable upon the exercise of options outstanding. As of December 31, 2020, there were 34,759 shares of Class A common stock and 27,033,564 shares of Class B common stock issuable upon the exercise of options outstanding.</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$46.5 million and $60.6 million as of June 30, 2021 and December 31, 2020, respectively. The weighted-average period over which this compensation cost related to unvested employee awards will be recognized is 1.7 years and 2.0 years as of June 30, 2021 and December 31, 2020, respectively.</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There were no options granted during the six months ended June 30, 2021. The weighted-average grant-date fair value of options granted during the six months ended June 30, 2020 was $16.55. The Company received approximately $6.2 million and $7.2 million in cash proceeds from options exercised during the six months ended June 30, 2021 and 2020, respectively. The intrinsic value of options exercised during the six months ended June 30, 2021 and 2020 was approximately $229.6 million and $268.6 million, respectively. The aggregate fair value of options vested during the six months ended June 30, 2021 and 2020 was $14.5 million and $8.5 million, respectively.</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options for 94,500 and 438,750 shares of Class B common stock as of June 30, 2021 and December 31,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848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Value</w:t>
            </w:r>
          </w:p>
        </w:tc>
      </w:tr>
      <w:tr>
        <w:trPr>
          <w:trHeight w:val="25"/>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2020</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5,166,720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Awarded</w:t>
            </w:r>
          </w:p>
        </w:tc>
        <w:tc>
          <w:tcPr>
            <w:tcW w:w="1320" w:type="dxa"/>
            <w:vAlign w:val="bottom"/>
          </w:tcPr>
          <w:p>
            <w:pPr>
              <w:jc w:val="right"/>
              <w:spacing w:after="0"/>
              <w:rPr>
                <w:sz w:val="20"/>
                <w:szCs w:val="20"/>
                <w:color w:val="auto"/>
              </w:rPr>
            </w:pPr>
            <w:r>
              <w:rPr>
                <w:rFonts w:ascii="Arial" w:cs="Arial" w:eastAsia="Arial" w:hAnsi="Arial"/>
                <w:sz w:val="18"/>
                <w:szCs w:val="18"/>
                <w:color w:val="auto"/>
              </w:rPr>
              <w:t>2,833,964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94.04</w:t>
            </w:r>
          </w:p>
        </w:tc>
      </w:tr>
      <w:tr>
        <w:trPr>
          <w:trHeight w:val="27"/>
        </w:trPr>
        <w:tc>
          <w:tcPr>
            <w:tcW w:w="8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(789,210)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45.53</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320" w:type="dxa"/>
            <w:vAlign w:val="bottom"/>
          </w:tcPr>
          <w:p>
            <w:pPr>
              <w:jc w:val="right"/>
              <w:spacing w:after="0"/>
              <w:rPr>
                <w:sz w:val="20"/>
                <w:szCs w:val="20"/>
                <w:color w:val="auto"/>
              </w:rPr>
            </w:pPr>
            <w:r>
              <w:rPr>
                <w:rFonts w:ascii="Arial" w:cs="Arial" w:eastAsia="Arial" w:hAnsi="Arial"/>
                <w:sz w:val="18"/>
                <w:szCs w:val="18"/>
                <w:color w:val="auto"/>
              </w:rPr>
              <w:t>(368,507)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58.67</w:t>
            </w:r>
          </w:p>
        </w:tc>
      </w:tr>
      <w:tr>
        <w:trPr>
          <w:trHeight w:val="27"/>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outstanding—June 30,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6,842,967</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75.46</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granted 244,445, 96,210, 117,538 and 245,761 restricted shares of Class A common stock in November 2019, June 2020, February 2021, and April 2021, respectively, in connection with acquisitions which are subject to service-based vesting conditions over approximately four years. Total compensation cost related to unvested RSUs and restricted shares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of common stock not yet recognized was approximately $502.3 million and $281.5 million as of June 30, 2021 and December 31, 2020, respectively. The weighted-average period over which this compensation cost related to unvested RSUs and restricted shares will be recognized is 3.2 years and 3.4 years as of June 30,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IPO (the “Final Prospectus”). As of June 30, 2021, 12,142,034 shares of Class A common stock remain available for grant under the ESPP.</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recognized $2.0 million and $3.6 million of stock-based compensation expense related to the ESPP during the three and six months ended June 30, 2021, respectively. As of June 30, 2021, $3.3 million has been withheld on behalf of employees for a future purchase under the ESPP due to the timing of payroll deductions. During the three months ended June 30, 2021, the Company issued 139,649 shares of Class A common stock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is recognized on a straight-line basis over the requisite service period and account for forfeitures as they occur.</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6"/>
        </w:trPr>
        <w:tc>
          <w:tcPr>
            <w:tcW w:w="4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25"/>
        </w:trPr>
        <w:tc>
          <w:tcPr>
            <w:tcW w:w="4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4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Arial" w:cs="Arial" w:eastAsia="Arial" w:hAnsi="Arial"/>
                <w:sz w:val="14"/>
                <w:szCs w:val="14"/>
                <w:b w:val="1"/>
                <w:bCs w:val="1"/>
                <w:color w:val="auto"/>
                <w:w w:val="83"/>
              </w:rPr>
              <w:t>2020</w:t>
            </w:r>
          </w:p>
        </w:tc>
      </w:tr>
      <w:tr>
        <w:trPr>
          <w:trHeight w:val="25"/>
        </w:trPr>
        <w:tc>
          <w:tcPr>
            <w:tcW w:w="484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638</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7"/>
        </w:trPr>
        <w:tc>
          <w:tcPr>
            <w:tcW w:w="4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13,616</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7,615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6,091</w:t>
            </w:r>
          </w:p>
        </w:tc>
      </w:tr>
      <w:tr>
        <w:trPr>
          <w:trHeight w:val="27"/>
        </w:trPr>
        <w:tc>
          <w:tcPr>
            <w:tcW w:w="484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8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34,515</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63,376</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28,894</w:t>
            </w: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484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36,574</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67,588</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29,195</w:t>
            </w: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26"/>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2020</w:t>
            </w:r>
          </w:p>
        </w:tc>
      </w:tr>
      <w:tr>
        <w:trPr>
          <w:trHeight w:val="26"/>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5,242</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3,823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7,002</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net</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5,292</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4,466</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11,065</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8,069</w:t>
            </w: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has an effective tax rate of 3.1% and 65.5% for the three months ended June 30, 2021 and 2020, respectively. The Company has incurred U.S. operating losses and has minimal profits in its foreign jurisdictions.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 tax reserve deemed</w:t>
      </w:r>
    </w:p>
    <w:p>
      <w:pPr>
        <w:spacing w:after="0" w:line="3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immaterial for each of the six months ended June 30, 2021 and 2020. The Company’s policy is to recognize interest and penalties related to uncertain tax positions in income tax expense. For the period ending June 30, 2021, the Company released a portion of its tax reserve due to the expiration of the statute of limitations. The Company recognized an income tax benefit of $0.6 million related to the release for the quarter. The Company is subject to U.S. federal tax authority, U.S. state tax authority and foreign tax authority examinations.</w:t>
      </w:r>
    </w:p>
    <w:p>
      <w:pPr>
        <w:spacing w:after="0" w:line="191"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No. 2020-06”), which simplifies the accounting for certain financial instruments with characteristics of liabilities and equity, including convertible instruments and contracts in an entity's own equity. The Company chose to early adopt ASU No. 2020-06 on January 1, 2021, using the modified retrospective basis. See Note 2, </w:t>
      </w:r>
      <w:r>
        <w:rPr>
          <w:rFonts w:ascii="Arial" w:cs="Arial" w:eastAsia="Arial" w:hAnsi="Arial"/>
          <w:sz w:val="18"/>
          <w:szCs w:val="18"/>
          <w:i w:val="1"/>
          <w:iCs w:val="1"/>
          <w:color w:val="auto"/>
        </w:rPr>
        <w:t>Basis of Presentation and Summary of Significant Accounting Policies—Accounting Policies Recently Adopted</w:t>
      </w:r>
      <w:r>
        <w:rPr>
          <w:rFonts w:ascii="Arial" w:cs="Arial" w:eastAsia="Arial" w:hAnsi="Arial"/>
          <w:sz w:val="18"/>
          <w:szCs w:val="18"/>
          <w:color w:val="auto"/>
        </w:rPr>
        <w:t xml:space="preserve"> for more information. The early adoption resulted in no material tax impact.</w:t>
      </w:r>
    </w:p>
    <w:p>
      <w:pPr>
        <w:spacing w:after="0" w:line="18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extenders. The Company evaluated the provisions of the Consolidated Appropriations Act, including but not limited to the Employee Retention Credit extension, the extension for the IRC Section 45S credit for paid family and medical leave, and the provision allowing a full deduction for certain business meals, and determined that there was no material impact for the three months ended June 30, 2021.</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11, 2021, the American Rescue Plan was enacted, which extends the period companies can claim an Employee Retention Credit, extends the IRC Section 162(m) limit on deductions for publicly traded companies, and repeals the election that allows US affiliate groups to allocate interest expense on a worldwide basis, among other provisions. The Company reviewed the provisions of the new law and determined it has no material impact for the three months ended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Income Per Share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Basic and diluted net (loss) income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shares of capital stock of the Company.</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Basic and diluted net (loss) income per share is computed using the weighted-average number of shares of common stock outstanding during the period. The undistributed earnings are allocated based on the contractual participation rights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income per share of Class A common stock, the undistributed earnings are equal to net (loss) income for that computation.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calculation of basic and diluted net (loss) income per share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Arial" w:cs="Arial" w:eastAsia="Arial" w:hAnsi="Arial"/>
                <w:sz w:val="14"/>
                <w:szCs w:val="14"/>
                <w:color w:val="auto"/>
              </w:rPr>
              <w:t>Basic net (loss) income per share:</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Numerator:</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220"/>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(7,163)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(16,777)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(5,653)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Denominator:</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220"/>
              <w:spacing w:after="0"/>
              <w:rPr>
                <w:sz w:val="20"/>
                <w:szCs w:val="20"/>
                <w:color w:val="auto"/>
              </w:rPr>
            </w:pPr>
            <w:r>
              <w:rPr>
                <w:rFonts w:ascii="Arial" w:cs="Arial" w:eastAsia="Arial" w:hAnsi="Arial"/>
                <w:sz w:val="14"/>
                <w:szCs w:val="14"/>
                <w:color w:val="auto"/>
              </w:rPr>
              <w:t>Weighted-average shares used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20"/>
              <w:spacing w:after="0"/>
              <w:rPr>
                <w:sz w:val="20"/>
                <w:szCs w:val="20"/>
                <w:color w:val="auto"/>
              </w:rPr>
            </w:pPr>
            <w:r>
              <w:rPr>
                <w:rFonts w:ascii="Arial" w:cs="Arial" w:eastAsia="Arial" w:hAnsi="Arial"/>
                <w:sz w:val="14"/>
                <w:szCs w:val="14"/>
                <w:color w:val="auto"/>
              </w:rPr>
              <w:t>calculating net (loss) income per share,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2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235,671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175,330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123,937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229,652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167,479</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net (loss) income per share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Diluted net (loss)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Numerator:</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260"/>
              <w:spacing w:after="0"/>
              <w:rPr>
                <w:sz w:val="20"/>
                <w:szCs w:val="20"/>
                <w:color w:val="auto"/>
              </w:rPr>
            </w:pPr>
            <w:r>
              <w:rPr>
                <w:rFonts w:ascii="Arial" w:cs="Arial" w:eastAsia="Arial" w:hAnsi="Arial"/>
                <w:sz w:val="14"/>
                <w:szCs w:val="14"/>
                <w:color w:val="auto"/>
              </w:rPr>
              <w:t>Allocation of distributed (loss) income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360"/>
              <w:spacing w:after="0"/>
              <w:rPr>
                <w:sz w:val="20"/>
                <w:szCs w:val="20"/>
                <w:color w:val="auto"/>
              </w:rPr>
            </w:pPr>
            <w:r>
              <w:rPr>
                <w:rFonts w:ascii="Arial" w:cs="Arial" w:eastAsia="Arial" w:hAnsi="Arial"/>
                <w:sz w:val="14"/>
                <w:szCs w:val="14"/>
                <w:color w:val="auto"/>
              </w:rPr>
              <w:t>for basic computation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(7,163)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(16,777)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(5,653)</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2,954</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Reallocation of undistributed (loss)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as a result of conversion of</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to Class A shares</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700" w:type="dxa"/>
            <w:vAlign w:val="bottom"/>
          </w:tcPr>
          <w:p>
            <w:pPr>
              <w:ind w:left="260"/>
              <w:spacing w:after="0"/>
              <w:rPr>
                <w:sz w:val="20"/>
                <w:szCs w:val="20"/>
                <w:color w:val="auto"/>
              </w:rPr>
            </w:pPr>
            <w:r>
              <w:rPr>
                <w:rFonts w:ascii="Arial" w:cs="Arial" w:eastAsia="Arial" w:hAnsi="Arial"/>
                <w:sz w:val="14"/>
                <w:szCs w:val="14"/>
                <w:color w:val="auto"/>
                <w:w w:val="97"/>
              </w:rPr>
              <w:t>Allocation of undistributed (loss) income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(9,362)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Denominator:</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180"/>
              <w:spacing w:after="0"/>
              <w:rPr>
                <w:sz w:val="20"/>
                <w:szCs w:val="20"/>
                <w:color w:val="auto"/>
              </w:rPr>
            </w:pPr>
            <w:r>
              <w:rPr>
                <w:rFonts w:ascii="Arial" w:cs="Arial" w:eastAsia="Arial" w:hAnsi="Arial"/>
                <w:sz w:val="14"/>
                <w:szCs w:val="14"/>
                <w:color w:val="auto"/>
                <w:w w:val="93"/>
              </w:rPr>
              <w:t>Number of shares used in basic calculation</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235,671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175,330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123,937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229,652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129,882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167,479</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effect of diluted</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securities:</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360"/>
              <w:spacing w:after="0"/>
              <w:rPr>
                <w:sz w:val="20"/>
                <w:szCs w:val="20"/>
                <w:color w:val="auto"/>
              </w:rPr>
            </w:pPr>
            <w:r>
              <w:rPr>
                <w:rFonts w:ascii="Arial" w:cs="Arial" w:eastAsia="Arial" w:hAnsi="Arial"/>
                <w:sz w:val="14"/>
                <w:szCs w:val="14"/>
                <w:color w:val="auto"/>
              </w:rPr>
              <w:t>Conversion of Class B to Class 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360"/>
              <w:spacing w:after="0"/>
              <w:rPr>
                <w:sz w:val="20"/>
                <w:szCs w:val="20"/>
                <w:color w:val="auto"/>
              </w:rPr>
            </w:pPr>
            <w:r>
              <w:rPr>
                <w:rFonts w:ascii="Arial" w:cs="Arial" w:eastAsia="Arial" w:hAnsi="Arial"/>
                <w:sz w:val="14"/>
                <w:szCs w:val="14"/>
                <w:color w:val="auto"/>
              </w:rPr>
              <w:t>common shares outstanding</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123,937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167,479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 stock options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tcPr>
          <w:p>
            <w:pPr>
              <w:ind w:left="360"/>
              <w:spacing w:after="0"/>
              <w:rPr>
                <w:sz w:val="20"/>
                <w:szCs w:val="20"/>
                <w:color w:val="auto"/>
              </w:rPr>
            </w:pPr>
            <w:r>
              <w:rPr>
                <w:rFonts w:ascii="Arial" w:cs="Arial" w:eastAsia="Arial" w:hAnsi="Arial"/>
                <w:sz w:val="14"/>
                <w:szCs w:val="14"/>
                <w:color w:val="auto"/>
              </w:rPr>
              <w:t>Employee stock purchase plan</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Unvested early exercises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00" w:type="dxa"/>
            <w:vAlign w:val="bottom"/>
          </w:tcPr>
          <w:p>
            <w:pPr>
              <w:ind w:left="360"/>
              <w:spacing w:after="0"/>
              <w:rPr>
                <w:sz w:val="20"/>
                <w:szCs w:val="20"/>
                <w:color w:val="auto"/>
              </w:rPr>
            </w:pPr>
            <w:r>
              <w:rPr>
                <w:rFonts w:ascii="Arial" w:cs="Arial" w:eastAsia="Arial" w:hAnsi="Arial"/>
                <w:sz w:val="14"/>
                <w:szCs w:val="14"/>
                <w:color w:val="auto"/>
              </w:rPr>
              <w:t>Restricted stock units</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Unvested restricted stock in connection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with acquisition</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00" w:type="dxa"/>
            <w:vAlign w:val="bottom"/>
          </w:tcPr>
          <w:p>
            <w:pPr>
              <w:ind w:left="520"/>
              <w:spacing w:after="0"/>
              <w:rPr>
                <w:sz w:val="20"/>
                <w:szCs w:val="20"/>
                <w:color w:val="auto"/>
              </w:rPr>
            </w:pPr>
            <w:r>
              <w:rPr>
                <w:rFonts w:ascii="Arial" w:cs="Arial" w:eastAsia="Arial" w:hAnsi="Arial"/>
                <w:sz w:val="14"/>
                <w:szCs w:val="14"/>
                <w:color w:val="auto"/>
              </w:rPr>
              <w:t>Number of shares used in diluted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520"/>
              <w:spacing w:after="0"/>
              <w:rPr>
                <w:sz w:val="20"/>
                <w:szCs w:val="20"/>
                <w:color w:val="auto"/>
              </w:rPr>
            </w:pPr>
            <w:r>
              <w:rPr>
                <w:rFonts w:ascii="Arial" w:cs="Arial" w:eastAsia="Arial" w:hAnsi="Arial"/>
                <w:sz w:val="14"/>
                <w:szCs w:val="14"/>
                <w:color w:val="auto"/>
              </w:rPr>
              <w:t>calculation</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330,847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123,937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307,032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329,402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167,479</w:t>
            </w: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(loss) income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80" w:type="dxa"/>
            <w:vAlign w:val="bottom"/>
            <w:gridSpan w:val="3"/>
          </w:tcPr>
          <w:p>
            <w:pPr>
              <w:ind w:left="960"/>
              <w:spacing w:after="0"/>
              <w:rPr>
                <w:sz w:val="20"/>
                <w:szCs w:val="20"/>
                <w:color w:val="auto"/>
              </w:rPr>
            </w:pPr>
            <w:r>
              <w:rPr>
                <w:rFonts w:ascii="Arial" w:cs="Arial" w:eastAsia="Arial" w:hAnsi="Arial"/>
                <w:sz w:val="14"/>
                <w:szCs w:val="14"/>
                <w:b w:val="1"/>
                <w:bCs w:val="1"/>
                <w:color w:val="auto"/>
                <w:w w:val="94"/>
              </w:rPr>
              <w:t>As of June 30,</w:t>
            </w:r>
          </w:p>
        </w:tc>
        <w:tc>
          <w:tcPr>
            <w:tcW w:w="880" w:type="dxa"/>
            <w:vAlign w:val="bottom"/>
          </w:tcPr>
          <w:p>
            <w:pPr>
              <w:spacing w:after="0"/>
              <w:rPr>
                <w:sz w:val="16"/>
                <w:szCs w:val="16"/>
                <w:color w:val="auto"/>
              </w:rPr>
            </w:pPr>
          </w:p>
        </w:tc>
      </w:tr>
      <w:tr>
        <w:trPr>
          <w:trHeight w:val="25"/>
        </w:trPr>
        <w:tc>
          <w:tcPr>
            <w:tcW w:w="84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480" w:type="dxa"/>
            <w:vAlign w:val="bottom"/>
          </w:tcPr>
          <w:p>
            <w:pPr>
              <w:spacing w:after="0"/>
              <w:rPr>
                <w:sz w:val="16"/>
                <w:szCs w:val="16"/>
                <w:color w:val="auto"/>
              </w:rPr>
            </w:pPr>
          </w:p>
        </w:tc>
        <w:tc>
          <w:tcPr>
            <w:tcW w:w="13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5"/>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8480" w:type="dxa"/>
            <w:vAlign w:val="bottom"/>
          </w:tcPr>
          <w:p>
            <w:pPr>
              <w:ind w:left="20"/>
              <w:spacing w:after="0"/>
              <w:rPr>
                <w:sz w:val="20"/>
                <w:szCs w:val="20"/>
                <w:color w:val="auto"/>
              </w:rPr>
            </w:pPr>
            <w:r>
              <w:rPr>
                <w:rFonts w:ascii="Arial" w:cs="Arial" w:eastAsia="Arial" w:hAnsi="Arial"/>
                <w:sz w:val="18"/>
                <w:szCs w:val="18"/>
                <w:color w:val="auto"/>
              </w:rPr>
              <w:t>Unvested early exercised stock options and restricted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ASU No. 2020-06 requires the application of the if-converted method to calculate the impact of convertible instruments on diluted earnings per share when the instruments may be settled in cash or shares. See Note 2, </w:t>
      </w:r>
      <w:r>
        <w:rPr>
          <w:rFonts w:ascii="Arial" w:cs="Arial" w:eastAsia="Arial" w:hAnsi="Arial"/>
          <w:sz w:val="18"/>
          <w:szCs w:val="18"/>
          <w:i w:val="1"/>
          <w:iCs w:val="1"/>
          <w:color w:val="auto"/>
        </w:rPr>
        <w:t>Basis of Presentation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i w:val="1"/>
          <w:iCs w:val="1"/>
          <w:color w:val="auto"/>
        </w:rPr>
        <w:t xml:space="preserve">Summary of Significant Accounting Policies—Accounting Policies Recently Adopted </w:t>
      </w:r>
      <w:r>
        <w:rPr>
          <w:rFonts w:ascii="Arial" w:cs="Arial" w:eastAsia="Arial" w:hAnsi="Arial"/>
          <w:sz w:val="17"/>
          <w:szCs w:val="17"/>
          <w:color w:val="auto"/>
        </w:rPr>
        <w:t>for more information. Although the Notes were not convertible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the Company calculated the potentially dilutive effect of the share conversion which is included in the table above.</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2020, or the Annual Report. This discussion, particularly information with respect to our future results of operations or financial condition, business strategy, plans and objectives of management for future operations and the potential impact that the ongoing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9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of June 30, 2021, we had $251.1 million in cash, cash equivalents and restricted cash and $1,162.7 million in marketable securities. We generated revenue of $233.5 million and $140.0 million in the three months ended June 30, 2021 and 2020, respectively, representing year-over-year growth of 67%. For the six months ended June 30, 2021 and 2020, our revenue was $432.1 million and $271.3 million, respectively, representing year-over-year growth of 59%. Substantially all of our revenue is subscription software sales. Our net (loss) income was $(9.4) million and $0.3 million for the three months ended June 30, 2021 and 2020, respectively, and $(22.4) million and $6.8 million for the six months ended June 30, 2021 and 2020, respectively. We generated operating cash flow of $103.4 million and $49.0 million in the six months ended June 30, 2021 and 2020, respectively. Our free cash flow was $86.8 million and $37.9 million in the six months ended June 30, 2021 and 2020, respectively. See the section titled “—Liquidity and Capital Resources—Non-GAAP Free Cash Flow” for additional information.</w:t>
      </w:r>
    </w:p>
    <w:p>
      <w:pPr>
        <w:spacing w:after="0" w:line="17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Since December 2019, a novel strain of coronavirus, which we refer to, together with other related strains of coronavirus, as “COVID-19”, has spread to multiple countries, including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its impact on industry events, and its effect on our customers, partners, suppliers and vendors and other parties with whom we do business, and the availability, distribution, and effectiveness of vaccines,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2021, we had approximately 16,400 customers spanning organizations of a broad range of sizes and industries, compared to approximately 12,100 as of June 30, 2020.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base of customers represents a significant opportunity for further sales expansion. As of June 30, 2021, we had 1,610 customers with annual run-rate revenue, or ARR, of $100,000 or more, representing 80% of our ARR, up from 1,015 customers as of June 30, 2020, representing 76%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June 30, 2021 and 2020,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our security platform in 2020. As of June 30, 2021,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approximately 75% of our customers were using more than one product, up from approximately 68% a year earlier. We believe these metrics indicate strong momentum in the uptake of our newer platform products.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28% and 24% of total revenue for the six months ended June 30, 2021 and 2020, respectively.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have sales presence internationally, including in Dublin, London, Amsterdam, Paris, Singapore, Sydney, Seoul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jc w:val="both"/>
        <w:ind w:firstLine="486"/>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Other income, net consists primarily of interest expense due on the 2025 Notes, and amortization of premiums on our marketable securities, partially offset by interest income, primarily due to income earned on money market funds included in cash and cash equivalents and on marketable securities.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Benefit from (provision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50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233,549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1"/>
                <w:szCs w:val="21"/>
                <w:color w:val="auto"/>
                <w:vertAlign w:val="superscript"/>
              </w:rPr>
              <w:t>(1)(2)(4)</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57,098</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28,878</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103,764</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55,357</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328,334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215,903</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1"/>
                <w:szCs w:val="21"/>
                <w:color w:val="auto"/>
                <w:vertAlign w:val="superscript"/>
              </w:rPr>
              <w:t>(1)(3)(4)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174,045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0" w:type="dxa"/>
            <w:vAlign w:val="bottom"/>
          </w:tcPr>
          <w:p>
            <w:pPr>
              <w:spacing w:after="0"/>
              <w:rPr>
                <w:sz w:val="1"/>
                <w:szCs w:val="1"/>
                <w:color w:val="auto"/>
              </w:rPr>
            </w:pPr>
          </w:p>
        </w:tc>
      </w:tr>
      <w:tr>
        <w:trPr>
          <w:trHeight w:val="270"/>
        </w:trPr>
        <w:tc>
          <w:tcPr>
            <w:tcW w:w="5620" w:type="dxa"/>
            <w:vAlign w:val="bottom"/>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1"/>
                <w:szCs w:val="21"/>
                <w:color w:val="auto"/>
                <w:vertAlign w:val="superscript"/>
              </w:rPr>
              <w:t>(1)(2)(3)(4)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51,269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134,765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96,484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1"/>
                <w:szCs w:val="21"/>
                <w:color w:val="auto"/>
                <w:vertAlign w:val="superscript"/>
              </w:rPr>
              <w:t>(1)(3)(4)</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42,240</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186,337</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110,480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351,050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211,471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56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2"/>
                <w:szCs w:val="22"/>
                <w:color w:val="auto"/>
              </w:rPr>
            </w:pPr>
          </w:p>
        </w:tc>
        <w:tc>
          <w:tcPr>
            <w:tcW w:w="150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6,606</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13,616</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34,515</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63,376</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28,894</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4"/>
                <w:szCs w:val="14"/>
                <w:color w:val="auto"/>
              </w:rPr>
              <w:t>(2)  Includes amortization of acquired intangibles expense as follows: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5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3"/>
                <w:szCs w:val="23"/>
                <w:color w:val="auto"/>
              </w:rPr>
            </w:pPr>
          </w:p>
        </w:tc>
        <w:tc>
          <w:tcPr>
            <w:tcW w:w="150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4"/>
          </w:tcPr>
          <w:p>
            <w:pPr>
              <w:jc w:val="center"/>
              <w:ind w:left="575"/>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(3) Includes non-cash benefit related to tax adjustment as follows: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6"/>
                <w:szCs w:val="16"/>
                <w:color w:val="auto"/>
              </w:rPr>
            </w:pPr>
          </w:p>
        </w:tc>
        <w:tc>
          <w:tcPr>
            <w:tcW w:w="2300" w:type="dxa"/>
            <w:vAlign w:val="bottom"/>
            <w:gridSpan w:val="4"/>
          </w:tcPr>
          <w:p>
            <w:pPr>
              <w:jc w:val="center"/>
              <w:ind w:right="35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tcBorders>
              <w:bottom w:val="single" w:sz="8" w:color="CCEEFF"/>
            </w:tcBorders>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64"/>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(4) Includes employer payroll taxes on employee stock transactions as follows: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5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3"/>
                <w:szCs w:val="23"/>
                <w:color w:val="auto"/>
              </w:rPr>
            </w:pPr>
          </w:p>
        </w:tc>
        <w:tc>
          <w:tcPr>
            <w:tcW w:w="15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FF0FC"/>
            </w:tcBorders>
            <w:shd w:val="clear" w:color="auto" w:fill="CFF0FC"/>
          </w:tcPr>
          <w:p>
            <w:pPr>
              <w:jc w:val="right"/>
              <w:ind w:right="62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2,776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2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5,167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8,336</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(5) Includes amortization of issuance costs as follows: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4"/>
                <w:szCs w:val="24"/>
                <w:color w:val="auto"/>
              </w:rPr>
            </w:pPr>
          </w:p>
        </w:tc>
        <w:tc>
          <w:tcPr>
            <w:tcW w:w="15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
        </w:trPr>
        <w:tc>
          <w:tcPr>
            <w:tcW w:w="56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000" w:type="dxa"/>
            <w:vAlign w:val="bottom"/>
            <w:gridSpan w:val="6"/>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3"/>
          </w:tcPr>
          <w:p>
            <w:pPr>
              <w:ind w:left="900"/>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120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80" w:type="dxa"/>
            <w:vAlign w:val="bottom"/>
            <w:gridSpan w:val="2"/>
          </w:tcPr>
          <w:p>
            <w:pPr>
              <w:ind w:left="5860"/>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60" w:type="dxa"/>
            <w:vAlign w:val="bottom"/>
            <w:gridSpan w:val="5"/>
          </w:tcPr>
          <w:p>
            <w:pPr>
              <w:ind w:left="80"/>
              <w:spacing w:after="0"/>
              <w:rPr>
                <w:sz w:val="20"/>
                <w:szCs w:val="20"/>
                <w:color w:val="auto"/>
              </w:rPr>
            </w:pPr>
            <w:r>
              <w:rPr>
                <w:rFonts w:ascii="Arial" w:cs="Arial" w:eastAsia="Arial" w:hAnsi="Arial"/>
                <w:sz w:val="14"/>
                <w:szCs w:val="14"/>
                <w:b w:val="1"/>
                <w:bCs w:val="1"/>
                <w:color w:val="auto"/>
              </w:rPr>
              <w:t>(as a percentage of total revenue</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Pr>
          <w:p>
            <w:pPr>
              <w:jc w:val="right"/>
              <w:ind w:right="1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3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Interest income and other income, net</w:t>
            </w:r>
          </w:p>
        </w:tc>
        <w:tc>
          <w:tcPr>
            <w:tcW w:w="52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4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8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5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233,549</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140,012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93,537</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$93.5 million, or 67%, for the three months ended June 30, 2021 compared to the three months ended June 30, 2020. Approximately 70% of the increase in revenue was attributable to growth from existing customers, and the remaining 30%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57,098</w:t>
            </w:r>
          </w:p>
        </w:tc>
        <w:tc>
          <w:tcPr>
            <w:tcW w:w="70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28,878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28,220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Arial" w:cs="Arial" w:eastAsia="Arial" w:hAnsi="Arial"/>
                <w:sz w:val="18"/>
                <w:szCs w:val="18"/>
                <w:color w:val="auto"/>
              </w:rPr>
              <w:t>76 %</w:t>
            </w:r>
          </w:p>
        </w:tc>
        <w:tc>
          <w:tcPr>
            <w:tcW w:w="106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Cost of revenue increased by $28.2 million, or 98%, for the three months ended June 30, 2021 compared to the three months ended June 30, 2020. This increase was primarily due to an increase of $24.7 million in third-party cloud infrastructure hosting and software costs, an increase of $1.6 million in personnel expenses as a result of increased headcount, and an increase of $1.2 million in depreciation and amortization.</w:t>
      </w:r>
    </w:p>
    <w:p>
      <w:pPr>
        <w:spacing w:after="0" w:line="16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gross margin decreased by 3% for the three months ended June 30, 2021 compared to the three months ended June 30, 2020, primarily as a result of increased spend with our third-party cloud infrastructure providers.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94,779</w:t>
            </w:r>
          </w:p>
        </w:tc>
        <w:tc>
          <w:tcPr>
            <w:tcW w:w="70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45,664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49,115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580" w:type="dxa"/>
            <w:vAlign w:val="bottom"/>
            <w:gridSpan w:val="2"/>
          </w:tcPr>
          <w:p>
            <w:pPr>
              <w:jc w:val="right"/>
              <w:ind w:right="439"/>
              <w:spacing w:after="0"/>
              <w:rPr>
                <w:sz w:val="20"/>
                <w:szCs w:val="20"/>
                <w:color w:val="auto"/>
              </w:rPr>
            </w:pPr>
            <w:r>
              <w:rPr>
                <w:rFonts w:ascii="Arial" w:cs="Arial" w:eastAsia="Arial" w:hAnsi="Arial"/>
                <w:sz w:val="18"/>
                <w:szCs w:val="18"/>
                <w:color w:val="auto"/>
              </w:rPr>
              <w:t>41 %</w:t>
            </w:r>
          </w:p>
        </w:tc>
        <w:tc>
          <w:tcPr>
            <w:tcW w:w="104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increased by $49.1 million, or 108%, for the three months ended June 30, 2021 compared to the three months ended June 30, 2020. This increase was primarily due to an increase of $36.4 million in personnel costs for our engineering, product and design teams as a result of increased headcount and acquisition-related service costs, an increase of $11.4 million in cloud hosting costs, an increase of $0.8 million in overhead costs, an increase of $0.6 million in other research and development costs.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70,412</w:t>
            </w:r>
          </w:p>
        </w:tc>
        <w:tc>
          <w:tcPr>
            <w:tcW w:w="70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51,269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19,143</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Arial" w:cs="Arial" w:eastAsia="Arial" w:hAnsi="Arial"/>
                <w:sz w:val="18"/>
                <w:szCs w:val="18"/>
                <w:color w:val="auto"/>
              </w:rPr>
              <w:t>30 %</w:t>
            </w:r>
          </w:p>
        </w:tc>
        <w:tc>
          <w:tcPr>
            <w:tcW w:w="10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Sales and marketing expense increased by $19.1 million, or 37%, for the three months ended June 30, 2021 compared to the three months ended June 30, 2020. This increase was primarily due to an increase of $15.3 million in personnel costs for our</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sales and marketing organization as a result of increased headcount and increased variable compensation for our sales personnel and an increase of $3.4 million in marketing and promotional activities.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6"/>
                <w:szCs w:val="16"/>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21,146</w:t>
            </w:r>
          </w:p>
        </w:tc>
        <w:tc>
          <w:tcPr>
            <w:tcW w:w="72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13,547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7,599</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600" w:type="dxa"/>
            <w:vAlign w:val="bottom"/>
            <w:gridSpan w:val="2"/>
          </w:tcPr>
          <w:p>
            <w:pPr>
              <w:jc w:val="right"/>
              <w:ind w:right="439"/>
              <w:spacing w:after="0"/>
              <w:rPr>
                <w:sz w:val="20"/>
                <w:szCs w:val="20"/>
                <w:color w:val="auto"/>
              </w:rPr>
            </w:pPr>
            <w:r>
              <w:rPr>
                <w:rFonts w:ascii="Arial" w:cs="Arial" w:eastAsia="Arial" w:hAnsi="Arial"/>
                <w:sz w:val="18"/>
                <w:szCs w:val="18"/>
                <w:color w:val="auto"/>
              </w:rPr>
              <w:t>9 %</w:t>
            </w: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General and administrative expense increased by $7.6 million, or 56%, for the three months ended June 30, 2021 compared to the three months ended June 30, 2020. This increase was primarily due to an increase of $6.9 million in personnel costs as a result of increased headcount, an increase of $0.4 million related to outside professional services, and an increase of $0.4 million related to information system and services costs. These amounts were partially offset by a decrease of $0.4 million related to bad debt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2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center"/>
              <w:ind w:right="602"/>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242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0"/>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CFF0FC"/>
            </w:tcBorders>
            <w:shd w:val="clear" w:color="auto" w:fill="CFF0FC"/>
          </w:tcPr>
          <w:p>
            <w:pPr>
              <w:jc w:val="right"/>
              <w:ind w:right="70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228</w:t>
            </w:r>
          </w:p>
        </w:tc>
        <w:tc>
          <w:tcPr>
            <w:tcW w:w="1200" w:type="dxa"/>
            <w:vAlign w:val="bottom"/>
            <w:tcBorders>
              <w:bottom w:val="single" w:sz="8" w:color="CFF0FC"/>
            </w:tcBorders>
            <w:shd w:val="clear" w:color="auto" w:fill="CFF0FC"/>
          </w:tcPr>
          <w:p>
            <w:pPr>
              <w:jc w:val="right"/>
              <w:ind w:right="70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172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00" w:type="dxa"/>
            <w:vAlign w:val="bottom"/>
          </w:tcPr>
          <w:p>
            <w:pPr>
              <w:spacing w:after="0"/>
              <w:rPr>
                <w:sz w:val="21"/>
                <w:szCs w:val="21"/>
                <w:color w:val="auto"/>
              </w:rPr>
            </w:pPr>
          </w:p>
        </w:tc>
        <w:tc>
          <w:tcPr>
            <w:tcW w:w="1520" w:type="dxa"/>
            <w:vAlign w:val="bottom"/>
            <w:gridSpan w:val="2"/>
          </w:tcPr>
          <w:p>
            <w:pPr>
              <w:jc w:val="right"/>
              <w:ind w:right="942"/>
              <w:spacing w:after="0"/>
              <w:rPr>
                <w:sz w:val="20"/>
                <w:szCs w:val="20"/>
                <w:color w:val="auto"/>
              </w:rPr>
            </w:pPr>
            <w:r>
              <w:rPr>
                <w:rFonts w:ascii="Arial" w:cs="Arial" w:eastAsia="Arial" w:hAnsi="Arial"/>
                <w:sz w:val="18"/>
                <w:szCs w:val="18"/>
                <w:color w:val="auto"/>
              </w:rPr>
              <w:t>0 %</w:t>
            </w:r>
          </w:p>
        </w:tc>
        <w:tc>
          <w:tcPr>
            <w:tcW w:w="5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income, net increased by $0.1 million in the three months ended June 30, 2021 compared to the three months ended June 30, 2020. This increase was primarily due to a decrease of $1.5 million in interest expense related to our 2025 Notes and an increase of $0.9 million in interest income mainly due to income earned from investments in marketable securities and money market funds. These amounts were partially offset by an increase of $2.3 million interest expense related to amortization of premiums on our marketable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432,098</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271,260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160,838</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$160.8 million, or 59%, in the six months ended June 30, 2021 compared to the six months ended June 30, 2020. Approximately 70% of the increase in revenue was attributable to the growth from existing customers, and the remaining 30%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103,764</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55,357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48,407</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740" w:type="dxa"/>
            <w:vAlign w:val="bottom"/>
            <w:gridSpan w:val="2"/>
          </w:tcPr>
          <w:p>
            <w:pPr>
              <w:jc w:val="right"/>
              <w:ind w:right="579"/>
              <w:spacing w:after="0"/>
              <w:rPr>
                <w:sz w:val="20"/>
                <w:szCs w:val="20"/>
                <w:color w:val="auto"/>
              </w:rPr>
            </w:pPr>
            <w:r>
              <w:rPr>
                <w:rFonts w:ascii="Arial" w:cs="Arial" w:eastAsia="Arial" w:hAnsi="Arial"/>
                <w:sz w:val="18"/>
                <w:szCs w:val="18"/>
                <w:color w:val="auto"/>
              </w:rPr>
              <w:t>76 %</w:t>
            </w:r>
          </w:p>
        </w:tc>
        <w:tc>
          <w:tcPr>
            <w:tcW w:w="9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Cost of revenue increased by $48.4 million, or 87%, in the six months ended June 30, 2021 compared to the six months ended June 30, 2020. This increase was primarily due to an increase of $42.9 million in third-party cloud infrastructure hosting</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and software costs, an increase of $3.2 million in personnel expenses as a result of increased headcount, an increase of $1.3 million of depreciation and amortization, and an increase of $0.9 million of credit card processing fees and allocated overhead costs.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decreased 4% for the six months ended June 30, 2021 compared to the six months ended June 30, 2020, primarily as a result of increased investments to expand the capacity of our third-party cloud infrastructure providers.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174,045</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86,488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87,557</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740" w:type="dxa"/>
            <w:vAlign w:val="bottom"/>
            <w:gridSpan w:val="2"/>
          </w:tcPr>
          <w:p>
            <w:pPr>
              <w:jc w:val="right"/>
              <w:ind w:right="599"/>
              <w:spacing w:after="0"/>
              <w:rPr>
                <w:sz w:val="20"/>
                <w:szCs w:val="20"/>
                <w:color w:val="auto"/>
              </w:rPr>
            </w:pPr>
            <w:r>
              <w:rPr>
                <w:rFonts w:ascii="Arial" w:cs="Arial" w:eastAsia="Arial" w:hAnsi="Arial"/>
                <w:sz w:val="18"/>
                <w:szCs w:val="18"/>
                <w:color w:val="auto"/>
              </w:rPr>
              <w:t>40 %</w:t>
            </w:r>
          </w:p>
        </w:tc>
        <w:tc>
          <w:tcPr>
            <w:tcW w:w="88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Research and development expense increased by $87.6 million, or 101%, in the six months ended June 30, 2021 compared to the six months ended June 30, 2020. This increase was primarily due to an increase of $65.2 million in personnel costs for our engineering, product and design teams as a result of increased headcount and acquisition-related service costs and an increase of $21.9 million in cloud hosting costs.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6"/>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4"/>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5"/>
                <w:szCs w:val="15"/>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170"/>
        </w:trPr>
        <w:tc>
          <w:tcPr>
            <w:tcW w:w="53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134,765</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96,484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38,281</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740" w:type="dxa"/>
            <w:vAlign w:val="bottom"/>
            <w:gridSpan w:val="2"/>
          </w:tcPr>
          <w:p>
            <w:pPr>
              <w:jc w:val="right"/>
              <w:ind w:right="599"/>
              <w:spacing w:after="0"/>
              <w:rPr>
                <w:sz w:val="20"/>
                <w:szCs w:val="20"/>
                <w:color w:val="auto"/>
              </w:rPr>
            </w:pPr>
            <w:r>
              <w:rPr>
                <w:rFonts w:ascii="Arial" w:cs="Arial" w:eastAsia="Arial" w:hAnsi="Arial"/>
                <w:sz w:val="18"/>
                <w:szCs w:val="18"/>
                <w:color w:val="auto"/>
              </w:rPr>
              <w:t>31 %</w:t>
            </w:r>
          </w:p>
        </w:tc>
        <w:tc>
          <w:tcPr>
            <w:tcW w:w="88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 increased by $38.3 million, or 40%, in the six months ended June 30, 2021 compared to the six months ended June 30, 2020. This increase was primarily due to an increase of $32.6 million in personnel costs for our sales and marketing organization as a result of increased headcount and increased variable compensation for our sales personnel, an increase of $6.6 million in marketing and promotional activities. These amounts were partially offset by a decrease of $1.2 million related to allocated overhead costs.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42,240</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28,499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13,741</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3"/>
                <w:szCs w:val="23"/>
                <w:color w:val="auto"/>
              </w:rPr>
            </w:pPr>
          </w:p>
        </w:tc>
        <w:tc>
          <w:tcPr>
            <w:tcW w:w="1740" w:type="dxa"/>
            <w:vAlign w:val="bottom"/>
            <w:gridSpan w:val="2"/>
          </w:tcPr>
          <w:p>
            <w:pPr>
              <w:jc w:val="right"/>
              <w:ind w:right="599"/>
              <w:spacing w:after="0"/>
              <w:rPr>
                <w:sz w:val="20"/>
                <w:szCs w:val="20"/>
                <w:color w:val="auto"/>
              </w:rPr>
            </w:pPr>
            <w:r>
              <w:rPr>
                <w:rFonts w:ascii="Arial" w:cs="Arial" w:eastAsia="Arial" w:hAnsi="Arial"/>
                <w:sz w:val="18"/>
                <w:szCs w:val="18"/>
                <w:color w:val="auto"/>
              </w:rPr>
              <w:t>10 %</w:t>
            </w:r>
          </w:p>
        </w:tc>
        <w:tc>
          <w:tcPr>
            <w:tcW w:w="88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General and administrative expense increased by $13.7 million, or 48%, in the six months ended June 30, 2021 compared to the six months ended June 30, 2020. This increase was primarily due to an increase of $10.8 million in personnel expenses as a result of increased headcount, an increase of $2.4 million related to outside professional fees primarily related to legal, finance, and insurance, and an increase of $2.0 million related to other costs and allocated overhead costs to support the growing business. These amounts were partially offset by a decrease of $1.5 million related to bad debt expense.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880" w:type="dxa"/>
            <w:vAlign w:val="bottom"/>
            <w:tcBorders>
              <w:bottom w:val="single" w:sz="8" w:color="CFF0FC"/>
            </w:tcBorders>
            <w:shd w:val="clear" w:color="auto" w:fill="CFF0FC"/>
          </w:tcPr>
          <w:p>
            <w:pPr>
              <w:jc w:val="right"/>
              <w:ind w:right="6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529</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spacing w:after="0"/>
              <w:rPr>
                <w:sz w:val="23"/>
                <w:szCs w:val="23"/>
                <w:color w:val="auto"/>
              </w:rPr>
            </w:pPr>
          </w:p>
        </w:tc>
        <w:tc>
          <w:tcPr>
            <w:tcW w:w="1200" w:type="dxa"/>
            <w:vAlign w:val="bottom"/>
            <w:gridSpan w:val="2"/>
          </w:tcPr>
          <w:p>
            <w:pPr>
              <w:jc w:val="right"/>
              <w:ind w:right="599"/>
              <w:spacing w:after="0"/>
              <w:rPr>
                <w:sz w:val="20"/>
                <w:szCs w:val="20"/>
                <w:color w:val="auto"/>
              </w:rPr>
            </w:pPr>
            <w:r>
              <w:rPr>
                <w:rFonts w:ascii="Arial" w:cs="Arial" w:eastAsia="Arial" w:hAnsi="Arial"/>
                <w:sz w:val="18"/>
                <w:szCs w:val="18"/>
                <w:color w:val="auto"/>
              </w:rPr>
              <w:t>0 %</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Other income, net decreased by $2.5 million in the six months ended June 30, 2021 compared to the six months ended June 30, 2020. For the six months ended June 30, 2021, the decrease was primarily due to an increase of $6.0 million in interest expense related to amortization of premiums on our marketable securities. This amount was partially offset by an increase of $3.0 million related to interest income, mainly due to income earned from investments in marketable securities and money market funds and a decrease of $0.4 million of interest expense related to our 2025 Notes.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issuance of equity and debt securities.</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June 2020, we issued $747.5 million aggregate principal amount of the 2025 Notes in a private placement to qualified institutional buyers pursuant to Rule 144A under the Securities Act. The 2025 Notes will mature on June 15, 2025, unless earlier converted, redeemed or repurchased.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we had $247.4 million in cash and cash equivalents, and $1,162.7 million in marketable securities.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commercial debt securities, certificates of deposit, U.S. government treasury and commercial paper.</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the continuing market adoption of our platform, and the current uncertainty in the global markets resulting from the ongoing COVID-19 pandemic on our customers’ businesses and operations.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 substantial source of our cash from operations is from our deferred revenue, which is included in the liabilities section of our condensed consolidated balance sheet. Deferred revenue consists of the unearned portion of customer billings, which will be recognized as revenue in accordance with our revenue recognition policy. As of June 30, 2021, we had deferred revenue of $265.9 million, of which $264.7 million was recorded as a current liability and expected to be recognized as revenue in the next 12 months, provided all other revenue recognition criteria have been met.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41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r>
      <w:tr>
        <w:trPr>
          <w:trHeight w:val="23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103,373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48,993</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(96,029)</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(1,095,100)</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4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15,711</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654,691</w:t>
            </w:r>
          </w:p>
        </w:tc>
      </w:tr>
      <w:tr>
        <w:trPr>
          <w:trHeight w:val="864"/>
        </w:trPr>
        <w:tc>
          <w:tcPr>
            <w:tcW w:w="4120" w:type="dxa"/>
            <w:vAlign w:val="bottom"/>
          </w:tcPr>
          <w:p>
            <w:pPr>
              <w:spacing w:after="0"/>
              <w:rPr>
                <w:sz w:val="24"/>
                <w:szCs w:val="24"/>
                <w:color w:val="auto"/>
              </w:rPr>
            </w:pPr>
          </w:p>
        </w:tc>
        <w:tc>
          <w:tcPr>
            <w:tcW w:w="4360" w:type="dxa"/>
            <w:vAlign w:val="bottom"/>
          </w:tcPr>
          <w:p>
            <w:pPr>
              <w:jc w:val="right"/>
              <w:ind w:right="267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8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Cash provided by operating activities for the six months ended June 30, 2021 of $103.4 million was primarily related to our net loss of $22.4 million, adjusted for non-cash charges of $99.6 million and net cash inflows of $26.2 million provided by changes in our operating assets and liabilities. Non-cash charges primarily consisted of stock-based compensation, depreciation and amortization of property and equipment, amortization of acquired intangibles, amortization of discounts or premiums on marketable securities, non-cash lease expense, amortization of deferred contract costs, and amortization of issuance costs related to our 2025 Notes. The main drivers of the changes in operating assets and liabilities were related to a $56.6 million increase in deferred revenue, resulting primarily from increased billings for subscriptions, a $7.4 million increase in accounts payable, and a $7.3 million increase in accrued expenses and other liabilities. These amounts were partially offset by a $24.9 million increase in accounts receivable, due to increases in sales, $16.7 million increase in deferred contract costs related to commissions paid on new bookings, a $2.5 million increase in prepaid expenses and other current assets, primarily driven by prepaid rent, and a $0.9 million increase in other assets.</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Cash provided by operating activities for the six months ended June 30, 2020 of $49.0 million was primarily related to our net income of $6.8 million, adjusted for non-cash charges of $53.4 million and net cash outflows of $11.2 million used in changes in our operating assets and liabilities. Non-cash charges primarily consisted of stock-based compensation, depreciation and amortization of property and equipment, and amortization of acquired intangibles. The main drivers of the changes in operating assets and liabilities were related to a $26.8 million increase in deferred revenue, resulting primarily from increased billings for subscriptions, a $2.7 million increase in accounts payable, and a $1.6 million increase in accrued expenses and other liabilities. These amounts were partially offset by a $23.7 million increase in accounts receivable, net, due to increases in sales, a $11.2 million increase in deferred contract costs related to commissions paid on new bookings, a $6.5 million increase in prepaid expenses and other current assets, primarily driven by prepaid hosting services, and a $0.9 million increase in other assets.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used in investing activities for the six months ended June 30, 2021 was $96.0 million, and was primarily the result of investment in marketable securities of $491.0 million, a $12.4 million increase in capitalization of software development costs, a $4.2 million increase in capital expenditures to purchase property and equipment to support office space and site operations, and $200.3 million paid for acquisitions. These amounts were partially offset by proceeds of $570.2 million and $41.7 million from maturities and sales of marketable securities, respectively.</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Cash used in investing activities for the six months ended June 30, 2020 was $1,095.1 million, and was primarily the result of investment in marketable securities of $1,203.5 million, an $8.2 million increase in capitalization of software development costs, a $2.9 million increase in capital expenditures to purchase property and equipment to support additional office space and site operations, and $2.4 million paid for an acquisition. These amounts were partially offset by $121.9 million paid for maturities of marketable securities.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provided by financing activities for the six months ended June 30, 2021 was $15.7 million and was primarily the result of proceeds from the issuance of Class A common stock under the ESPP in the amount of $9.8 million and proceeds from the exercise of stock options in the amount of $6.2 million. These amounts were partially offset by $0.2 million of taxes paid in connection with the ESPP.</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Cash provided by financing activities for the six months ended June 30, 2020 was $654.7 million and was primarily attributable to proceeds from the issuance of the 2025 Notes in the amount of $730.7 million, net of issuance costs, proceeds from the issuance of Class A common stock under the ESPP in the amount of $7.7 million and proceeds from the exercise of stock options in the amount of $7.2 million. These amounts were partially offset by an $89.6 million purchase of the capped call in connection with the issuance of the 2025 Notes, $0.9 million of taxes paid in connection with the ESPP, and $0.4 million of the initial public offering, or IPO,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jc w:val="both"/>
        <w:ind w:firstLine="486"/>
        <w:spacing w:after="0" w:line="269" w:lineRule="auto"/>
        <w:rPr>
          <w:sz w:val="20"/>
          <w:szCs w:val="20"/>
          <w:color w:val="auto"/>
        </w:rPr>
      </w:pPr>
      <w:r>
        <w:rPr>
          <w:rFonts w:ascii="Arial" w:cs="Arial" w:eastAsia="Arial" w:hAnsi="Arial"/>
          <w:sz w:val="17"/>
          <w:szCs w:val="17"/>
          <w:color w:val="auto"/>
        </w:rPr>
        <w:t>We report our financial results in accordance with GAAP. To supplement our condensed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7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48,993</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w w:val="94"/>
              </w:rPr>
              <w:t>(2,924)</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4"/>
              </w:rPr>
              <w:t>(8,154)</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37,915</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purchase commitments to our cloud hosting providers and other vendors, and obligations to pay the 2025 Notes’ coupons and principal.</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During the six months ended June 30, 2021, other than certain non-cancelable operating leases described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our Notes to Unaudited Condensed Consolidated Financial Statements included in Part I, Item 1 of this Quarterly Report on Form 10-Q, there were no other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2021,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jc w:val="both"/>
        <w:ind w:firstLine="486"/>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As of June 30, 2021, we had $227.3 million in cash equivalents and $1,162.7 million in marketable securities, </w:t>
      </w:r>
      <w:r>
        <w:rPr>
          <w:rFonts w:ascii="Arial" w:cs="Arial" w:eastAsia="Arial" w:hAnsi="Arial"/>
          <w:sz w:val="17"/>
          <w:szCs w:val="17"/>
          <w:color w:val="333333"/>
        </w:rPr>
        <w:t>which consisted</w:t>
      </w:r>
      <w:r>
        <w:rPr>
          <w:rFonts w:ascii="Arial" w:cs="Arial" w:eastAsia="Arial" w:hAnsi="Arial"/>
          <w:sz w:val="17"/>
          <w:szCs w:val="17"/>
          <w:color w:val="auto"/>
        </w:rPr>
        <w:t xml:space="preserve"> of commercial debt, certificates of deposit, U.S. government treasury and agency securities, and commercial paper</w:t>
      </w:r>
      <w:r>
        <w:rPr>
          <w:rFonts w:ascii="Arial" w:cs="Arial" w:eastAsia="Arial" w:hAnsi="Arial"/>
          <w:sz w:val="17"/>
          <w:szCs w:val="17"/>
          <w:color w:val="333333"/>
        </w:rPr>
        <w:t>. In addition, we had</w:t>
      </w:r>
      <w:r>
        <w:rPr>
          <w:rFonts w:ascii="Arial" w:cs="Arial" w:eastAsia="Arial" w:hAnsi="Arial"/>
          <w:sz w:val="17"/>
          <w:szCs w:val="17"/>
          <w:color w:val="auto"/>
        </w:rPr>
        <w:t xml:space="preserve"> $3.7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Arial" w:cs="Arial" w:eastAsia="Arial" w:hAnsi="Arial"/>
          <w:sz w:val="17"/>
          <w:szCs w:val="17"/>
          <w:color w:val="333333"/>
        </w:rPr>
        <w:t>Our investments are exposed to market risk due to a fluctuation in interest</w:t>
      </w:r>
      <w:r>
        <w:rPr>
          <w:rFonts w:ascii="Arial" w:cs="Arial" w:eastAsia="Arial" w:hAnsi="Arial"/>
          <w:sz w:val="17"/>
          <w:szCs w:val="17"/>
          <w:color w:val="auto"/>
        </w:rPr>
        <w:t xml:space="preserve"> </w:t>
      </w:r>
      <w:r>
        <w:rPr>
          <w:rFonts w:ascii="Arial" w:cs="Arial" w:eastAsia="Arial" w:hAnsi="Arial"/>
          <w:sz w:val="17"/>
          <w:szCs w:val="17"/>
          <w:color w:val="333333"/>
        </w:rPr>
        <w:t xml:space="preserve">rates, which may affect our interest income and the fair market value of our investments. </w:t>
      </w:r>
      <w:r>
        <w:rPr>
          <w:rFonts w:ascii="Arial" w:cs="Arial" w:eastAsia="Arial" w:hAnsi="Arial"/>
          <w:sz w:val="17"/>
          <w:szCs w:val="17"/>
          <w:color w:val="000000"/>
        </w:rPr>
        <w:t>As of June 30, 2021, a hypothetical 10% relative change in</w:t>
      </w:r>
      <w:r>
        <w:rPr>
          <w:rFonts w:ascii="Arial" w:cs="Arial" w:eastAsia="Arial" w:hAnsi="Arial"/>
          <w:sz w:val="17"/>
          <w:szCs w:val="17"/>
          <w:color w:val="333333"/>
        </w:rPr>
        <w:t xml:space="preserve"> </w:t>
      </w:r>
      <w:r>
        <w:rPr>
          <w:rFonts w:ascii="Arial" w:cs="Arial" w:eastAsia="Arial" w:hAnsi="Arial"/>
          <w:sz w:val="17"/>
          <w:szCs w:val="17"/>
          <w:color w:val="000000"/>
        </w:rPr>
        <w:t>interest rates would not have a material impact on our condensed consolidated financial statements.</w:t>
      </w:r>
    </w:p>
    <w:p>
      <w:pPr>
        <w:spacing w:after="0" w:line="17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Australia, Germany, the Netherlands, and Spain.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2021.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ind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require additional capital to support the growth of our business, and this capital might not be available on acceptable terms, if at all.</w:t>
      </w:r>
    </w:p>
    <w:p>
      <w:pPr>
        <w:spacing w:after="0" w:line="140"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attract new customers, our business, financial condition and results of operations will be adversely affected.</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78"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ongoing COVID-19 pandemic may continue to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 While the rollout of COVID-19 vaccines has begun, the timing and speed of vaccination rollouts and the lifting of shelter-in-place requirements and movement restrictions varies from location to location, is evolving, and to varying degrees remains unknown.</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we have taken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Although we have recently and may continue to selectively reopen certain of our offices and hold in-person meetings and events in compliance with applicable government orders and guidelines, the majority of our employees continue to work remotely and in-person meetings remain limited.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8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as well as the uncertainty around the duration of business disruptions, the timing of the vaccine rollouts, and the efficacy of the vaccines, including against variants that emerge,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revenue was $432.1 million, $271.3 million, $603.5 million and $362.8 million for the six months ended June 30, 2021 and 2020 and the years ended December 31, 2020 and 2019,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9"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1" w:name="page42"/>
    <w:bookmarkEnd w:id="41"/>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generated net (loss) income of $(22.4) million and $6.8 million for the six months ended June 30, 2021 and 2020, respectively. We generated net loss of $(24.5) million and $(16.7) million for the years ended December 31, 2020 and 2019, respectively. As of June 30, 2021, we had an accumulated deficit of $153.8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214" w:lineRule="exact"/>
        <w:rPr>
          <w:sz w:val="20"/>
          <w:szCs w:val="20"/>
          <w:color w:val="auto"/>
        </w:rPr>
      </w:pPr>
    </w:p>
    <w:p>
      <w:pPr>
        <w:jc w:val="both"/>
        <w:ind w:right="280" w:firstLine="648"/>
        <w:spacing w:after="0" w:line="248"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and sub-processors to help us deliver services to our customers. These vendors may store or process personal information on our behalf.</w:t>
      </w:r>
    </w:p>
    <w:p>
      <w:pPr>
        <w:spacing w:after="0" w:line="21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platform and products involve the storage and transmission of data, including personal information, and security breaches or unauthorized access to our platform and products, or those of our third-party service providers,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most of our employees are working remotely due to the COVID-19 pandemic, which may pose additional data security risks (including, for example, an increase in phishing and spam emails we began experiencing during 2020).</w:t>
      </w:r>
    </w:p>
    <w:p>
      <w:pPr>
        <w:spacing w:after="0" w:line="1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6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22"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and physical facilities could be breached,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employees or service providers may inadvertently misconfigure resources or misdirect certain communications that lead to security incidents for which we must then expend effort and incur expenses to correct.</w:t>
      </w:r>
    </w:p>
    <w:p>
      <w:pPr>
        <w:spacing w:after="0" w:line="19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adversely affect our business, financial condition and results of operations. These risks are likely to increase as we continue to grow and process, store, and transmit increasingly large amounts of data.</w:t>
      </w:r>
    </w:p>
    <w:p>
      <w:pPr>
        <w:spacing w:after="0" w:line="1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9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ind w:firstLine="486"/>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w:t>
      </w:r>
      <w:r>
        <w:rPr>
          <w:rFonts w:ascii="Arial" w:cs="Arial" w:eastAsia="Arial" w:hAnsi="Arial"/>
          <w:sz w:val="16"/>
          <w:szCs w:val="16"/>
          <w:color w:val="333333"/>
        </w:rPr>
        <w:t>outbreaks of contagious diseases,</w:t>
      </w:r>
      <w:r>
        <w:rPr>
          <w:rFonts w:ascii="Arial" w:cs="Arial" w:eastAsia="Arial" w:hAnsi="Arial"/>
          <w:sz w:val="16"/>
          <w:szCs w:val="16"/>
          <w:color w:val="auto"/>
        </w:rPr>
        <w:t xml:space="preserve">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platform capabilities. In addition to product and technology competition, we face pricing competition. Some of our competitors offer their solutions at a lower price, which has resulted in, and may continue to result in, pricing pressures.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jc w:val="both"/>
        <w:ind w:firstLine="486"/>
        <w:spacing w:after="0" w:line="257" w:lineRule="auto"/>
        <w:rPr>
          <w:sz w:val="20"/>
          <w:szCs w:val="20"/>
          <w:color w:val="auto"/>
        </w:rPr>
      </w:pPr>
      <w:r>
        <w:rPr>
          <w:rFonts w:ascii="Arial" w:cs="Arial" w:eastAsia="Arial" w:hAnsi="Arial"/>
          <w:sz w:val="18"/>
          <w:szCs w:val="18"/>
          <w:color w:val="auto"/>
        </w:rPr>
        <w:t xml:space="preserve">We have legal and contractual obligations regarding the protection of confidentiality and appropriate use of personal information, confidential information, </w:t>
      </w:r>
      <w:r>
        <w:rPr>
          <w:rFonts w:ascii="Arial" w:cs="Arial" w:eastAsia="Arial" w:hAnsi="Arial"/>
          <w:sz w:val="18"/>
          <w:szCs w:val="18"/>
          <w:color w:val="333333"/>
        </w:rPr>
        <w:t>and other proprietary</w:t>
      </w:r>
      <w:r>
        <w:rPr>
          <w:rFonts w:ascii="Arial" w:cs="Arial" w:eastAsia="Arial" w:hAnsi="Arial"/>
          <w:sz w:val="18"/>
          <w:szCs w:val="18"/>
          <w:color w:val="auto"/>
        </w:rPr>
        <w:t xml:space="preserve"> information.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215"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The European Economic Area, or EEA, Switzerland and the United Kingdom, collectively “Europe,” adopted the General Data Protection Regulation, or GDPR, which contains numerous requirements and changes from previously existing law, including more robust obligations on data processors and heavier documentation requirements for data protection compliance programs by companies.</w:t>
      </w:r>
    </w:p>
    <w:p>
      <w:pPr>
        <w:spacing w:after="0" w:line="18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In addition, European data protection laws including the GDPR also generally prohibit the transfer of personal information from Europe to the United States and most other countries unless the parties to the transfer have established a legal basis for the transfer and implemented specific safeguards to protect the transferred personal information. One of the primary mechanisms allowing U.S. companies to import personal information from Europe in compliance with the GDPR has been certification to the EU-U.S. Privacy Shield and Swiss-U.S. Privacy Shield frameworks administered by the U.S. Department of Commerce. However, the Court of Justice of the European Union, in its recent “Schrems II” ruling, invalidated the EU-U.S. Privacy Shield framework. The Swiss Federal Data Protection and Information Commissioner also recently opined that the Swiss-U.S. Privacy Shield is inadequate for transfers of data from Switzerland to the United States. Inability to import personal information from Europe to the United States may decrease demand for our products and services as our customers that are subject to the GDPR may seek alternatives that do not involve personal information transfers out of Europe.</w:t>
      </w:r>
    </w:p>
    <w:p>
      <w:pPr>
        <w:spacing w:after="0" w:line="19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7"/>
          <w:szCs w:val="17"/>
          <w:color w:val="auto"/>
        </w:rPr>
        <w:t>The Schrems II decision also raised questions about whether one of the primary alternatives to the EU-U.S. Privacy Shield, namely, the European Commission’s Standard Contractual Clauses, or “SCCs,” can lawfully be used for personal information transfers from Europe to the United States or most other countries. At present, there are few, if any, viable alternatives to the SCCs. On June 4, 2021, the European Commission adopted new SCCs under the GDPR for personal data transfers outside the EEA. Under this legal mechanism, we may have obligations to conduct transfer impact assessments for such cross-border data transfers and implement additional security measures, which increases the difficulty of selling to European customers and may lead to longer sales cycles. We expect to rely on the new SCCs, which may require us to expend significant resources to update our contractual arrangements and to comply with such obligations. While we have taken steps to mitigate the impact on us with respect to transfers of data, such as implementing SCCs, the efficacy and longevity of these transfer mechanisms remains uncertain.</w:t>
      </w:r>
    </w:p>
    <w:p>
      <w:pPr>
        <w:jc w:val="both"/>
        <w:ind w:firstLine="486"/>
        <w:spacing w:after="0" w:line="232" w:lineRule="auto"/>
        <w:rPr>
          <w:sz w:val="20"/>
          <w:szCs w:val="20"/>
          <w:color w:val="auto"/>
        </w:rPr>
      </w:pPr>
      <w:r>
        <w:rPr>
          <w:rFonts w:ascii="Arial" w:cs="Arial" w:eastAsia="Arial" w:hAnsi="Arial"/>
          <w:sz w:val="17"/>
          <w:szCs w:val="17"/>
          <w:color w:val="auto"/>
        </w:rPr>
        <w:t>Further, the United Kingdom’s decision to leave the European Union, often referred to as Brexit, has created uncertainty with regard to data protection regulation in the United Kingdom and particularly whether the transfer of personal information from the EEA to the United Kingdom will be lawful under the GDPR. On June 28, 2021, the European Commission issued an adequacy decision under the GDPR which allows transfers (other than those carried out for the purposes of United Kingdom immigration control) of personal data from the EEA to the United Kingdom to continue without restriction for a period of four years ending June 27, 2025. After that period, the adequacy decision may be renewed, however, only if the United Kingdom continues to ensure an adequate level of data protection. During these four years, the European Commission will continue to monitor the legal situation in the United Kingdom and could intervene at any point if the United Kingdom deviates from the level of data protection in place at the time of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SCCs, to enable transfers of personal data from the EEA to the United Kingdom to continue.</w:t>
      </w:r>
    </w:p>
    <w:p>
      <w:pPr>
        <w:jc w:val="both"/>
        <w:ind w:firstLine="486"/>
        <w:spacing w:after="0" w:line="225" w:lineRule="auto"/>
        <w:rPr>
          <w:sz w:val="20"/>
          <w:szCs w:val="20"/>
          <w:color w:val="auto"/>
        </w:rPr>
      </w:pPr>
      <w:r>
        <w:rPr>
          <w:rFonts w:ascii="Arial" w:cs="Arial" w:eastAsia="Arial" w:hAnsi="Arial"/>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Inability to import personal information from Europe to the United States may significantly and negatively impact our business operations, including by lowering sales on our platform due to the difficultly of establishing a lawful basis for personal information transfers out of Europe, or requiring us to increase our data processing capabilities in Europe or elsewhere at significant expense.</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GDPR, the European Commission has another draft regulation in the approval process, known as the Regulation on Privacy and Electronic Communications, or ePrivacy Regulation, that would replace the current ePrivacy Directive. Originally planned to be adopted and implemented at the same time as the GDPR, the ePrivacy Regulation continues to be delayed. While the new legislation contains protections for those using communications services (for example, protections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against online tracking technologies), the timing of its proposed enactment following the GDPR means that additional time and effort may need to be spent addressing differences between the ePrivacy Regulation and the GDPR. New rules related to the ePrivacy Regulation may negatively impact our platform and products and our relationships with our customers, including by increasing the cost of online marketing, reducing our revenue, and causing us to expend significant resources to change the way we market our products. Following Brexit, it is unclear whether, and if so how, the United Kingdom will introduce any or all of the ePrivacy Regulation into law in the United Kingdom.</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Complying with the GDPR and the ePrivacy Regulation, when it becomes effective, may cause us to incur substantial operational costs or require us to change our business practices. Despite our efforts to bring practices into compliance with the GDPR and ePrivacy Regulation (before the effective date),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18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Recently, for example, Brazil enacted the General Data Protection Law, New Zealand enacted the New Zealand Privacy Act, China released its draft Personal Information Protection Law, and Canada introduced the Digital Charter Implementation Act.</w:t>
      </w:r>
    </w:p>
    <w:p>
      <w:pPr>
        <w:spacing w:after="0" w:line="1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Domestic laws in this area are also complex and developing rapidly. In the United States, rules and regulations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regulatory requirements.</w:t>
      </w:r>
    </w:p>
    <w:p>
      <w:pPr>
        <w:spacing w:after="0" w:line="19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Just this year, Virginia passed its Consumer Data Protection Act, and Colorado passed the Colorado Privacy Act, both of which differ from the CPRA and become effective in 2023.</w:t>
      </w:r>
    </w:p>
    <w:p>
      <w:pPr>
        <w:spacing w:after="0" w:line="16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8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termination may adversely affect our ability to contract with other government customers as well as our reputation,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As of December 31, 2020, we had NOL carryforwards for federal and state income tax purposes of approximately $263.2 million and $177.5 million, respectively, which may be available to offset taxable income in the future, and which expire in various years beginning in 2031 for federal purposes and 2028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jc w:val="both"/>
        <w:ind w:firstLine="486"/>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platform capabilities, delay introductions of new solutions, result in our substituting inferior or more costly technologies into our products, or injure our reputation.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63" w:lineRule="exact"/>
        <w:rPr>
          <w:sz w:val="20"/>
          <w:szCs w:val="20"/>
          <w:color w:val="auto"/>
        </w:rPr>
      </w:pPr>
    </w:p>
    <w:p>
      <w:pPr>
        <w:ind w:left="98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jc w:val="both"/>
        <w:spacing w:after="0" w:line="287" w:lineRule="auto"/>
        <w:rPr>
          <w:sz w:val="20"/>
          <w:szCs w:val="20"/>
          <w:color w:val="auto"/>
        </w:rPr>
      </w:pPr>
      <w:r>
        <w:rPr>
          <w:rFonts w:ascii="Arial" w:cs="Arial" w:eastAsia="Arial" w:hAnsi="Arial"/>
          <w:sz w:val="16"/>
          <w:szCs w:val="16"/>
          <w:color w:val="auto"/>
        </w:rPr>
        <w:t>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28% and 24% for the six months ended June 30, 2021 and 2020,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2021, approximately 38% of our full-time employees were located outside of the United States, 42%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ind w:left="980" w:right="60" w:hanging="486"/>
        <w:spacing w:after="0" w:line="263"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333333"/>
        </w:rPr>
        <w:t>an outbreak of a contagious disease</w:t>
      </w:r>
      <w:r>
        <w:rPr>
          <w:rFonts w:ascii="Arial" w:cs="Arial" w:eastAsia="Arial" w:hAnsi="Arial"/>
          <w:sz w:val="18"/>
          <w:szCs w:val="18"/>
          <w:color w:val="000000"/>
        </w:rPr>
        <w:t>,</w:t>
      </w:r>
      <w:r>
        <w:rPr>
          <w:rFonts w:ascii="Arial" w:cs="Arial" w:eastAsia="Arial" w:hAnsi="Arial"/>
          <w:sz w:val="18"/>
          <w:szCs w:val="18"/>
          <w:color w:val="333333"/>
        </w:rPr>
        <w:t xml:space="preserv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60" w:name="page61"/>
    <w:bookmarkEnd w:id="60"/>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June 30, 2021, our outstanding shares of Class B common stock represented approximately 75% of the voting power of our outstanding capital stock. As a result, the holders of our Class B common stock, which includes certain of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Further, as of June 30, 2021,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If one or more of these analysts cease coverage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us or fail to publish reports on us regularly, demand for our Class A common stock could decrease, which might cause our stock price to decline and could decrease the trading volume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incurred significant legal, accounting, insurance, and other expenses as a public company, which we expect to further increase because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for the fiscal year ending December 31, 2021.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98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ind w:left="980" w:right="2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2025 Notes, if triggered, may adversely affect our financial condition and operating results.</w:t>
      </w:r>
    </w:p>
    <w:p>
      <w:pPr>
        <w:spacing w:after="0" w:line="23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the event the conditional conversion feature of the 2025 Notes is triggered, holders of the 2025 Notes will be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9, 2021, we issued 245,761 shares of Class A common stock as consideration in an acquisition. The issuance was deemed exempt from registration under the Securities Act pursuant to the exemption provided by Section 4(a)(2) of the Securities Act as a transaction by an issuer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w:t>
      </w:r>
    </w:p>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those disclosed in the Final Prospectus for our IPO dated as of September 18, 2019 and filed with the SEC pursuant to Rule 424(b)(4) on September 19, 2019.</w:t>
      </w:r>
    </w:p>
    <w:p>
      <w:pPr>
        <w:spacing w:after="0" w:line="166" w:lineRule="exact"/>
        <w:rPr>
          <w:sz w:val="20"/>
          <w:szCs w:val="20"/>
          <w:color w:val="auto"/>
        </w:rPr>
      </w:pPr>
    </w:p>
    <w:p>
      <w:pPr>
        <w:ind w:left="500" w:right="8060" w:hanging="492"/>
        <w:spacing w:after="0" w:line="500" w:lineRule="auto"/>
        <w:tabs>
          <w:tab w:leader="none" w:pos="33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70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tcPr>
          <w:p>
            <w:pPr>
              <w:ind w:left="520"/>
              <w:spacing w:after="0"/>
              <w:rPr>
                <w:sz w:val="20"/>
                <w:szCs w:val="20"/>
                <w:color w:val="auto"/>
              </w:rPr>
            </w:pPr>
            <w:r>
              <w:rPr>
                <w:rFonts w:ascii="Arial" w:cs="Arial" w:eastAsia="Arial" w:hAnsi="Arial"/>
                <w:sz w:val="14"/>
                <w:szCs w:val="14"/>
                <w:b w:val="1"/>
                <w:bCs w:val="1"/>
                <w:color w:val="auto"/>
              </w:rPr>
              <w:t>File No.</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Arial" w:cs="Arial" w:eastAsia="Arial" w:hAnsi="Arial"/>
                <w:sz w:val="18"/>
                <w:szCs w:val="18"/>
                <w:color w:val="auto"/>
              </w:rPr>
              <w:t>001-39051</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88"/>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Incorporation of Datadog, Inc.</w:t>
              </w:r>
            </w:hyperlink>
          </w:p>
        </w:tc>
        <w:tc>
          <w:tcPr>
            <w:tcW w:w="10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right"/>
              <w:ind w:right="239"/>
              <w:spacing w:after="0"/>
              <w:rPr>
                <w:sz w:val="20"/>
                <w:szCs w:val="20"/>
                <w:color w:val="auto"/>
              </w:rPr>
            </w:pPr>
            <w:r>
              <w:rPr>
                <w:rFonts w:ascii="Arial" w:cs="Arial" w:eastAsia="Arial" w:hAnsi="Arial"/>
                <w:sz w:val="18"/>
                <w:szCs w:val="18"/>
                <w:color w:val="auto"/>
              </w:rPr>
              <w:t>333-233428</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69">
              <w:r>
                <w:rPr>
                  <w:rFonts w:ascii="Arial" w:cs="Arial" w:eastAsia="Arial" w:hAnsi="Arial"/>
                  <w:sz w:val="18"/>
                  <w:szCs w:val="18"/>
                  <w:color w:val="0000FF"/>
                  <w:w w:val="93"/>
                </w:rPr>
                <w:t>Certification of Principal Executive Officer</w:t>
              </w:r>
            </w:hyperlink>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Pursuant to Rules 13a-14(a) and 15d-14(a)</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w w:val="99"/>
              </w:rPr>
            </w:pPr>
            <w:hyperlink w:anchor="page69">
              <w:r>
                <w:rPr>
                  <w:rFonts w:ascii="Arial" w:cs="Arial" w:eastAsia="Arial" w:hAnsi="Arial"/>
                  <w:sz w:val="18"/>
                  <w:szCs w:val="18"/>
                  <w:color w:val="0000FF"/>
                  <w:w w:val="99"/>
                </w:rPr>
                <w:t>under the Securities Exchange Act of 1934, as</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Adopted Pursuant to Section 302 of the</w:t>
              </w:r>
            </w:hyperlink>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Sarbanes-Oxley Act of 2002.</w:t>
              </w:r>
            </w:hyperlink>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Principal Financial Officer</w:t>
              </w:r>
            </w:hyperlink>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Pursuant to Rules 13a-14(a) and 15d-14(a)</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w w:val="99"/>
              </w:rPr>
            </w:pPr>
            <w:hyperlink w:anchor="page70">
              <w:r>
                <w:rPr>
                  <w:rFonts w:ascii="Arial" w:cs="Arial" w:eastAsia="Arial" w:hAnsi="Arial"/>
                  <w:sz w:val="18"/>
                  <w:szCs w:val="18"/>
                  <w:color w:val="0000FF"/>
                  <w:w w:val="99"/>
                </w:rPr>
                <w:t>under the Securities Exchange Act of 1934, as</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Adopted Pursuant to Section 302 of the</w:t>
              </w:r>
            </w:hyperlink>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70">
              <w:r>
                <w:rPr>
                  <w:rFonts w:ascii="Arial" w:cs="Arial" w:eastAsia="Arial" w:hAnsi="Arial"/>
                  <w:sz w:val="18"/>
                  <w:szCs w:val="18"/>
                  <w:color w:val="0000FF"/>
                  <w:w w:val="90"/>
                </w:rPr>
                <w:t>Sarbanes-Oxley Act of 2002.</w:t>
              </w:r>
            </w:hyperlink>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71">
              <w:r>
                <w:rPr>
                  <w:rFonts w:ascii="Arial" w:cs="Arial" w:eastAsia="Arial" w:hAnsi="Arial"/>
                  <w:sz w:val="18"/>
                  <w:szCs w:val="18"/>
                  <w:color w:val="0000FF"/>
                  <w:w w:val="93"/>
                </w:rPr>
                <w:t>Certification of Principal Executive Officer</w:t>
              </w:r>
            </w:hyperlink>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Pursuant to 18 U.S.C. Section 1350, as Adopted</w:t>
              </w:r>
            </w:hyperlink>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w w:val="97"/>
              </w:rPr>
            </w:pPr>
            <w:hyperlink w:anchor="page71">
              <w:r>
                <w:rPr>
                  <w:rFonts w:ascii="Arial" w:cs="Arial" w:eastAsia="Arial" w:hAnsi="Arial"/>
                  <w:sz w:val="18"/>
                  <w:szCs w:val="18"/>
                  <w:color w:val="0000FF"/>
                  <w:w w:val="97"/>
                </w:rPr>
                <w:t>Pursuant to Section 906 of the Sarbanes-Oxley</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Act of 2002.</w:t>
              </w:r>
            </w:hyperlink>
          </w:p>
        </w:tc>
        <w:tc>
          <w:tcPr>
            <w:tcW w:w="2460" w:type="dxa"/>
            <w:vAlign w:val="bottom"/>
            <w:tcBorders>
              <w:top w:val="single" w:sz="8" w:color="0000FF"/>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Principal Financial Officer</w:t>
              </w:r>
            </w:hyperlink>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Pursuant to 18 U.S.C. Section 1350, as Adopted</w:t>
              </w:r>
            </w:hyperlink>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Pursuant to Section 906 of the Sarbanes-Oxley</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Act of 2002.</w:t>
              </w:r>
            </w:hyperlink>
          </w:p>
        </w:tc>
        <w:tc>
          <w:tcPr>
            <w:tcW w:w="2460" w:type="dxa"/>
            <w:vAlign w:val="bottom"/>
            <w:tcBorders>
              <w:top w:val="single" w:sz="8" w:color="0000FF"/>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w w:val="97"/>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2"/>
                <w:szCs w:val="22"/>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XBRL Taxonomy Extension Definition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2"/>
                <w:szCs w:val="22"/>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45" w:lineRule="exact"/>
        <w:rPr>
          <w:sz w:val="20"/>
          <w:szCs w:val="20"/>
          <w:color w:val="auto"/>
        </w:rPr>
      </w:pPr>
    </w:p>
    <w:p>
      <w:pPr>
        <w:ind w:left="420" w:right="20" w:hanging="412"/>
        <w:spacing w:after="0" w:line="235" w:lineRule="auto"/>
        <w:tabs>
          <w:tab w:leader="none" w:pos="415" w:val="left"/>
        </w:tabs>
        <w:numPr>
          <w:ilvl w:val="0"/>
          <w:numId w:val="29"/>
        </w:numPr>
        <w:rPr>
          <w:rFonts w:ascii="Arial" w:cs="Arial" w:eastAsia="Arial" w:hAnsi="Arial"/>
          <w:sz w:val="18"/>
          <w:szCs w:val="18"/>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Arial" w:cs="Arial" w:eastAsia="Arial" w:hAnsi="Arial"/>
                <w:sz w:val="18"/>
                <w:szCs w:val="18"/>
                <w:color w:val="auto"/>
              </w:rPr>
              <w:t>DATADOG, INC.</w:t>
            </w:r>
          </w:p>
        </w:tc>
      </w:tr>
      <w:tr>
        <w:trPr>
          <w:trHeight w:val="499"/>
        </w:trPr>
        <w:tc>
          <w:tcPr>
            <w:tcW w:w="3460" w:type="dxa"/>
            <w:vAlign w:val="bottom"/>
          </w:tcPr>
          <w:p>
            <w:pPr>
              <w:spacing w:after="0"/>
              <w:rPr>
                <w:sz w:val="20"/>
                <w:szCs w:val="20"/>
                <w:color w:val="auto"/>
              </w:rPr>
            </w:pPr>
            <w:r>
              <w:rPr>
                <w:rFonts w:ascii="Arial" w:cs="Arial" w:eastAsia="Arial" w:hAnsi="Arial"/>
                <w:sz w:val="18"/>
                <w:szCs w:val="18"/>
                <w:color w:val="auto"/>
              </w:rPr>
              <w:t>Date: August 6, 2021</w:t>
            </w:r>
          </w:p>
        </w:tc>
        <w:tc>
          <w:tcPr>
            <w:tcW w:w="2880" w:type="dxa"/>
            <w:vAlign w:val="bottom"/>
          </w:tcPr>
          <w:p>
            <w:pPr>
              <w:ind w:left="19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Olivier Pomel</w:t>
            </w:r>
          </w:p>
        </w:tc>
      </w:tr>
      <w:tr>
        <w:trPr>
          <w:trHeight w:val="222"/>
        </w:trPr>
        <w:tc>
          <w:tcPr>
            <w:tcW w:w="3460" w:type="dxa"/>
            <w:vAlign w:val="bottom"/>
          </w:tcPr>
          <w:p>
            <w:pPr>
              <w:spacing w:after="0"/>
              <w:rPr>
                <w:sz w:val="19"/>
                <w:szCs w:val="19"/>
                <w:color w:val="auto"/>
              </w:rPr>
            </w:pPr>
          </w:p>
        </w:tc>
        <w:tc>
          <w:tcPr>
            <w:tcW w:w="2880" w:type="dxa"/>
            <w:vAlign w:val="bottom"/>
          </w:tcPr>
          <w:p>
            <w:pPr>
              <w:ind w:left="190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176"/>
        </w:trPr>
        <w:tc>
          <w:tcPr>
            <w:tcW w:w="3460" w:type="dxa"/>
            <w:vAlign w:val="bottom"/>
          </w:tcPr>
          <w:p>
            <w:pPr>
              <w:spacing w:after="0"/>
              <w:rPr>
                <w:sz w:val="15"/>
                <w:szCs w:val="15"/>
                <w:color w:val="auto"/>
              </w:rPr>
            </w:pPr>
          </w:p>
        </w:tc>
        <w:tc>
          <w:tcPr>
            <w:tcW w:w="2880" w:type="dxa"/>
            <w:vAlign w:val="bottom"/>
          </w:tcPr>
          <w:p>
            <w:pPr>
              <w:ind w:left="190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5"/>
        </w:trPr>
        <w:tc>
          <w:tcPr>
            <w:tcW w:w="3460" w:type="dxa"/>
            <w:vAlign w:val="bottom"/>
          </w:tcPr>
          <w:p>
            <w:pPr>
              <w:spacing w:after="0"/>
              <w:rPr>
                <w:sz w:val="20"/>
                <w:szCs w:val="20"/>
                <w:color w:val="auto"/>
              </w:rPr>
            </w:pPr>
            <w:r>
              <w:rPr>
                <w:rFonts w:ascii="Arial" w:cs="Arial" w:eastAsia="Arial" w:hAnsi="Arial"/>
                <w:sz w:val="18"/>
                <w:szCs w:val="18"/>
                <w:color w:val="auto"/>
              </w:rPr>
              <w:t>Date: August 6, 2021</w:t>
            </w:r>
          </w:p>
        </w:tc>
        <w:tc>
          <w:tcPr>
            <w:tcW w:w="2880" w:type="dxa"/>
            <w:vAlign w:val="bottom"/>
          </w:tcPr>
          <w:p>
            <w:pPr>
              <w:ind w:left="19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Obstler</w:t>
            </w:r>
          </w:p>
        </w:tc>
      </w:tr>
      <w:tr>
        <w:trPr>
          <w:trHeight w:val="222"/>
        </w:trPr>
        <w:tc>
          <w:tcPr>
            <w:tcW w:w="3460" w:type="dxa"/>
            <w:vAlign w:val="bottom"/>
          </w:tcPr>
          <w:p>
            <w:pPr>
              <w:spacing w:after="0"/>
              <w:rPr>
                <w:sz w:val="19"/>
                <w:szCs w:val="19"/>
                <w:color w:val="auto"/>
              </w:rPr>
            </w:pPr>
          </w:p>
        </w:tc>
        <w:tc>
          <w:tcPr>
            <w:tcW w:w="2880" w:type="dxa"/>
            <w:vAlign w:val="bottom"/>
          </w:tcPr>
          <w:p>
            <w:pPr>
              <w:ind w:left="190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David Obstler</w:t>
            </w:r>
          </w:p>
        </w:tc>
      </w:tr>
      <w:tr>
        <w:trPr>
          <w:trHeight w:val="176"/>
        </w:trPr>
        <w:tc>
          <w:tcPr>
            <w:tcW w:w="3460" w:type="dxa"/>
            <w:vAlign w:val="bottom"/>
          </w:tcPr>
          <w:p>
            <w:pPr>
              <w:spacing w:after="0"/>
              <w:rPr>
                <w:sz w:val="15"/>
                <w:szCs w:val="15"/>
                <w:color w:val="auto"/>
              </w:rPr>
            </w:pPr>
          </w:p>
        </w:tc>
        <w:tc>
          <w:tcPr>
            <w:tcW w:w="2880" w:type="dxa"/>
            <w:vAlign w:val="bottom"/>
          </w:tcPr>
          <w:p>
            <w:pPr>
              <w:ind w:left="190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June 30, 2021;</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840" w:val="left"/>
          <w:tab w:leader="none" w:pos="710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032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 and Director</w:t>
      </w:r>
    </w:p>
    <w:p>
      <w:pPr>
        <w:spacing w:after="0" w:line="6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June 30, 2021;</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2021</w:t>
            </w:r>
          </w:p>
        </w:tc>
        <w:tc>
          <w:tcPr>
            <w:tcW w:w="326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June 30, 2021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2021</w:t>
            </w:r>
          </w:p>
        </w:tc>
        <w:tc>
          <w:tcPr>
            <w:tcW w:w="326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Olivier Pomel</w:t>
            </w:r>
          </w:p>
        </w:tc>
      </w:tr>
      <w:tr>
        <w:trPr>
          <w:trHeight w:val="218"/>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Olivier Pomel</w:t>
            </w:r>
          </w:p>
        </w:tc>
      </w:tr>
      <w:tr>
        <w:trPr>
          <w:trHeight w:val="233"/>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June 30, 2021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2021</w:t>
            </w:r>
          </w:p>
        </w:tc>
        <w:tc>
          <w:tcPr>
            <w:tcW w:w="326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3"/>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5" Type="http://schemas.openxmlformats.org/officeDocument/2006/relationships/hyperlink" Target="https://www.sec.gov/Archives/edgar/data/0001561550/000119312519252279/d803834dex31.htm" TargetMode="External"/><Relationship Id="rId106"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2021-08-06T11:59:38Z</dcterms:created>
  <dcterms:modified xsi:type="dcterms:W3CDTF">2021-08-06T11:59:38Z</dcterms:modified>
</cp:coreProperties>
</file>