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b w:val="1"/>
          <w:bCs w:val="1"/>
          <w:u w:val="single" w:color="auto"/>
          <w:color w:val="auto"/>
        </w:rPr>
        <w:t>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b w:val="1"/>
          <w:bCs w:val="1"/>
          <w:u w:val="single" w:color="auto"/>
          <w:color w:val="auto"/>
        </w:rPr>
        <w:t>______</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Datadog, Inc.</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350"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760" w:type="dxa"/>
            <w:vAlign w:val="bottom"/>
          </w:tcPr>
          <w:p>
            <w:pPr>
              <w:jc w:val="center"/>
              <w:ind w:left="17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tcPr>
          <w:p>
            <w:pPr>
              <w:jc w:val="right"/>
              <w:ind w:right="1703"/>
              <w:spacing w:after="0"/>
              <w:rPr>
                <w:sz w:val="20"/>
                <w:szCs w:val="20"/>
                <w:color w:val="auto"/>
              </w:rPr>
            </w:pPr>
            <w:r>
              <w:rPr>
                <w:rFonts w:ascii="Times New Roman" w:cs="Times New Roman" w:eastAsia="Times New Roman" w:hAnsi="Times New Roman"/>
                <w:sz w:val="18"/>
                <w:szCs w:val="18"/>
                <w:b w:val="1"/>
                <w:bCs w:val="1"/>
                <w:color w:val="auto"/>
              </w:rPr>
              <w:t>27-2825503</w:t>
            </w:r>
          </w:p>
        </w:tc>
        <w:tc>
          <w:tcPr>
            <w:tcW w:w="0" w:type="dxa"/>
            <w:vAlign w:val="bottom"/>
          </w:tcPr>
          <w:p>
            <w:pPr>
              <w:spacing w:after="0"/>
              <w:rPr>
                <w:sz w:val="1"/>
                <w:szCs w:val="1"/>
                <w:color w:val="auto"/>
              </w:rPr>
            </w:pPr>
          </w:p>
        </w:tc>
      </w:tr>
      <w:tr>
        <w:trPr>
          <w:trHeight w:val="205"/>
        </w:trPr>
        <w:tc>
          <w:tcPr>
            <w:tcW w:w="3760" w:type="dxa"/>
            <w:vAlign w:val="bottom"/>
          </w:tcPr>
          <w:p>
            <w:pPr>
              <w:jc w:val="center"/>
              <w:ind w:left="17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60" w:type="dxa"/>
            <w:vAlign w:val="bottom"/>
          </w:tcPr>
          <w:p>
            <w:pPr>
              <w:jc w:val="cente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0"/>
        </w:trPr>
        <w:tc>
          <w:tcPr>
            <w:tcW w:w="376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16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6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16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3340" w:type="dxa"/>
            <w:vAlign w:val="bottom"/>
          </w:tcPr>
          <w:p>
            <w:pPr>
              <w:jc w:val="right"/>
              <w:ind w:right="1923"/>
              <w:spacing w:after="0"/>
              <w:rPr>
                <w:sz w:val="20"/>
                <w:szCs w:val="20"/>
                <w:color w:val="auto"/>
              </w:rPr>
            </w:pPr>
            <w:r>
              <w:rPr>
                <w:rFonts w:ascii="Times New Roman" w:cs="Times New Roman" w:eastAsia="Times New Roman" w:hAnsi="Times New Roman"/>
                <w:sz w:val="18"/>
                <w:szCs w:val="18"/>
                <w:b w:val="1"/>
                <w:bCs w:val="1"/>
                <w:color w:val="auto"/>
              </w:rPr>
              <w:t>10018</w:t>
            </w:r>
          </w:p>
        </w:tc>
        <w:tc>
          <w:tcPr>
            <w:tcW w:w="0" w:type="dxa"/>
            <w:vAlign w:val="bottom"/>
          </w:tcPr>
          <w:p>
            <w:pPr>
              <w:spacing w:after="0"/>
              <w:rPr>
                <w:sz w:val="1"/>
                <w:szCs w:val="1"/>
                <w:color w:val="auto"/>
              </w:rPr>
            </w:pPr>
          </w:p>
        </w:tc>
      </w:tr>
      <w:tr>
        <w:trPr>
          <w:trHeight w:val="220"/>
        </w:trPr>
        <w:tc>
          <w:tcPr>
            <w:tcW w:w="7920" w:type="dxa"/>
            <w:vAlign w:val="bottom"/>
            <w:gridSpan w:val="3"/>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40" w:type="dxa"/>
            <w:vAlign w:val="bottom"/>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9"/>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(866) 329-4466</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376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2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420" w:type="dxa"/>
            <w:vAlign w:val="bottom"/>
          </w:tcPr>
          <w:p>
            <w:pPr>
              <w:spacing w:after="0"/>
              <w:rPr>
                <w:sz w:val="16"/>
                <w:szCs w:val="16"/>
                <w:color w:val="auto"/>
              </w:rPr>
            </w:pPr>
          </w:p>
        </w:tc>
        <w:tc>
          <w:tcPr>
            <w:tcW w:w="33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99"/>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3340" w:type="dxa"/>
            <w:vAlign w:val="bottom"/>
            <w:tcBorders>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p>
        </w:tc>
        <w:tc>
          <w:tcPr>
            <w:tcW w:w="3340" w:type="dxa"/>
            <w:vAlign w:val="bottom"/>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87" w:lineRule="exact"/>
        <w:rPr>
          <w:sz w:val="24"/>
          <w:szCs w:val="24"/>
          <w:color w:val="auto"/>
        </w:rPr>
      </w:pPr>
    </w:p>
    <w:p>
      <w:pPr>
        <w:jc w:val="both"/>
        <w:ind w:right="20"/>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4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right="40"/>
        <w:spacing w:after="0" w:line="23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2"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73"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registrant’s shares of Class A common stock as reported by The Nasdaq Global Select Market on June 30, 2024 was approximately $39.2 billion.</w:t>
      </w:r>
    </w:p>
    <w:p>
      <w:pPr>
        <w:spacing w:after="0" w:line="3" w:lineRule="exact"/>
        <w:rPr>
          <w:sz w:val="24"/>
          <w:szCs w:val="24"/>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As of February 6, 2025, there were 317,257,399 shares of the registrant’s Class A common stock and 25,506,617 shares of the registrant’s Class B common stock, each with a par value of $0.00001 per share, outstanding.</w:t>
      </w:r>
    </w:p>
    <w:p>
      <w:pPr>
        <w:jc w:val="center"/>
        <w:ind w:right="20"/>
        <w:spacing w:after="0"/>
        <w:rPr>
          <w:sz w:val="20"/>
          <w:szCs w:val="20"/>
          <w:color w:val="auto"/>
        </w:rPr>
      </w:pPr>
      <w:r>
        <w:rPr>
          <w:rFonts w:ascii="Times New Roman" w:cs="Times New Roman" w:eastAsia="Times New Roman" w:hAnsi="Times New Roman"/>
          <w:sz w:val="16"/>
          <w:szCs w:val="16"/>
          <w:b w:val="1"/>
          <w:bCs w:val="1"/>
          <w:color w:val="212529"/>
        </w:rPr>
        <w:t>DOCUMENTS INCORPORATED BY REFERENCE</w:t>
      </w:r>
    </w:p>
    <w:p>
      <w:pPr>
        <w:spacing w:after="0" w:line="75"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212529"/>
        </w:rPr>
        <w:t>Portions of the registrant’s Proxy Statement for its 2025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2024.</w:t>
      </w:r>
    </w:p>
    <w:p>
      <w:pPr>
        <w:sectPr>
          <w:pgSz w:w="11900" w:h="16838" w:orient="portrait"/>
          <w:cols w:equalWidth="0" w:num="1">
            <w:col w:w="11260"/>
          </w:cols>
          <w:pgMar w:left="320" w:top="1316" w:right="319" w:bottom="0" w:gutter="0" w:footer="0" w:header="0"/>
        </w:sectPr>
      </w:pPr>
    </w:p>
    <w:bookmarkStart w:id="1" w:name="page2"/>
    <w:bookmarkEnd w:id="1"/>
    <w:p>
      <w:pPr>
        <w:jc w:val="both"/>
        <w:spacing w:after="0" w:line="26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950595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DATADOG, INC.</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40" w:type="dxa"/>
            <w:vAlign w:val="bottom"/>
            <w:gridSpan w:val="11"/>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2024 ANNUAL REPORT ON FORM 10-K</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6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140" w:type="dxa"/>
            <w:vAlign w:val="bottom"/>
            <w:gridSpan w:val="20"/>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7"/>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740" w:type="dxa"/>
            <w:vAlign w:val="bottom"/>
            <w:gridSpan w:val="11"/>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780" w:type="dxa"/>
            <w:vAlign w:val="bottom"/>
            <w:gridSpan w:val="16"/>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7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6"/>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32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20" w:type="dxa"/>
            <w:vAlign w:val="bottom"/>
            <w:gridSpan w:val="1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r>
              <w:rPr>
                <w:rFonts w:ascii="Times New Roman" w:cs="Times New Roman" w:eastAsia="Times New Roman" w:hAnsi="Times New Roman"/>
                <w:sz w:val="18"/>
                <w:szCs w:val="18"/>
                <w:color w:val="000000"/>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7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18"/>
                <w:szCs w:val="18"/>
                <w:color w:val="auto"/>
              </w:rPr>
            </w:pPr>
          </w:p>
        </w:tc>
        <w:tc>
          <w:tcPr>
            <w:tcW w:w="4700" w:type="dxa"/>
            <w:vAlign w:val="bottom"/>
            <w:gridSpan w:val="7"/>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00" w:type="dxa"/>
            <w:vAlign w:val="bottom"/>
            <w:gridSpan w:val="2"/>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340" w:type="dxa"/>
            <w:vAlign w:val="bottom"/>
            <w:gridSpan w:val="4"/>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880" w:type="dxa"/>
            <w:vAlign w:val="bottom"/>
            <w:gridSpan w:val="9"/>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7"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and an investment in our Class A common stock are subject to various risks and uncertainties, the most significant of which are summarized below. You should consider carefully the summary below and the risks and uncertainties described in the “Risk Factors” section of this Annual Report on Form 10-K, as well as the other information contained in this Annual Report on Form 10-K, including our consolidated financial statements and related notes. The risks and uncertainties described below and in “Risk Factors” are not the only ones we face. Additional risks and uncertainties that we are unaware of, or that we currently believe are not material, may also become important factors that adversely affect our business. If any of such risks or others not specified below or in “Risk Factors” materialize, our business, financial condition and results of operations could be materially and adversely affected. In that case, the trading price of our Class A common stock could decline.</w:t>
      </w:r>
    </w:p>
    <w:p>
      <w:pPr>
        <w:spacing w:after="0" w:line="77" w:lineRule="exact"/>
        <w:rPr>
          <w:sz w:val="20"/>
          <w:szCs w:val="20"/>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6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1"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profitability;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statistical data, estimates and forecasts referenced throughout this Annual Report on Form 10-K are based on independent industry publications or other publicly available information, as well as information based on our internal sources. While we believe the industry and market data included in this Annual Report on Form 10-K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Annual Report on Form 10-K were prepared on our or on our affiliates’ behalf or at our expense. The industry in which we operate is subject to a high degree of uncertainty and risk due to a variety of factors, including those described in the section titled “Risk Factors” and “Special Note Regarding Forward-Looking Statements,” that could cause results to differ materially from those expressed in these publications and other publicly available information.</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 Gartner content referenced herein (the “Gartner Content”) represents research opinion or viewpoints published, as part of a syndicated subscription service, by Gartner, Inc. (“Gartner”), and are not representations of fact. The Gartner Content speaks as of its original publication date in December 2024 (and not as of the date of this Annual Report on Form 10-K) and the opinions expressed in the Gartner Content are subject to change without notice.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Software applications are transforming how organizations engage with customers and operate their businesses. Companies across all industries are re-platforming their businesses to cloud native or hybrid on-premise and cloud infrastructures to enable this digital transformation. Historically, engineering teams have been siloed, making the development of next generation applications in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 And while we continue to broaden our capabilities in observability, we have expanded our platform into use cases beyond observability, including cloud security, software delivery, and cloud service management.</w:t>
      </w:r>
    </w:p>
    <w:p>
      <w:pPr>
        <w:spacing w:after="0" w:line="18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With our founding goal of breaking down silos between Dev and Ops, we set out in 2010 to build a real-time data integration platform to turn chaos of having uncorrelated data from disparate sources into digestible and actionable insights. Since launching our first use case with Infrastructure Monitoring in 2012, we have expanded our platform rapidly, and today, we offer end-to-end monitoring and analytics, powered by a common data model that is extensible for use cases across observability, security, software delivery, and service management. In 2024, we launched Event Management to aggregate and consolidate alerts to accelerate remediation, and LLM Observability to help customers investigate how they can safely deploy and manage their models in production.</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proprietary platform combines the power of metrics, traces, logs, user sessions, security signals, and other data from a single agent and over 850 integrations to provide a unified view of infrastructure, application performance and the real-time events impacting performance. Datadog is designed to be cloud agnostic and easy to deploy, with hundreds of out-of-the-box integrations, a built-in understanding of modern technology stacks, and extensive customizations. Customers can deploy our platform across their entire infrastructure, making it ubiquitous and a daily part of the lives of developers, operations engineers, security professionals, and business leaders.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believe that our platform currently addresses a significant portion of the IT Operations Management market. According to Gartner, the IT Operations Management market represents a $81 billion opportunity in 2028.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 and Key Strengths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ind w:left="480" w:hanging="480"/>
        <w:spacing w:after="0" w:line="268"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Built for dynamic cloud and hybrid infrastructures</w:t>
      </w:r>
      <w:r>
        <w:rPr>
          <w:rFonts w:ascii="Times New Roman" w:cs="Times New Roman" w:eastAsia="Times New Roman" w:hAnsi="Times New Roman"/>
          <w:sz w:val="18"/>
          <w:szCs w:val="18"/>
          <w:color w:val="auto"/>
        </w:rPr>
        <w:t>. Our innovative platform was born in the cloud and was built to work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ephemeral cloud technologies such as microservices, containers and serverless computing. Our data model was built to work at cloud scale with highly dynamic data sets and processes trillions of events per hour.</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57"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Simple but not simplistic</w:t>
      </w:r>
      <w:r>
        <w:rPr>
          <w:rFonts w:ascii="Times New Roman" w:cs="Times New Roman" w:eastAsia="Times New Roman" w:hAnsi="Times New Roman"/>
          <w:sz w:val="18"/>
          <w:szCs w:val="18"/>
          <w:color w:val="auto"/>
        </w:rPr>
        <w:t>. Our platform is easy-to-use with out-of-the-box integrations, customizable drag-and-drop dashboards, real-time 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security professionals, product managers, product designers, platform engineers, customer support staff, and business users. As a result, our platform is integral to business operations and used every day, and our users find increasing value in the solution over time.</w:t>
      </w:r>
    </w:p>
    <w:p>
      <w:pPr>
        <w:spacing w:after="0" w:line="74" w:lineRule="exact"/>
        <w:rPr>
          <w:rFonts w:ascii="Times New Roman" w:cs="Times New Roman" w:eastAsia="Times New Roman" w:hAnsi="Times New Roman"/>
          <w:sz w:val="18"/>
          <w:szCs w:val="18"/>
          <w:color w:val="auto"/>
        </w:rPr>
      </w:pPr>
    </w:p>
    <w:p>
      <w:pPr>
        <w:jc w:val="both"/>
        <w:ind w:left="480" w:hanging="480"/>
        <w:spacing w:after="0" w:line="255"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data platform</w:t>
      </w:r>
      <w:r>
        <w:rPr>
          <w:rFonts w:ascii="Times New Roman" w:cs="Times New Roman" w:eastAsia="Times New Roman" w:hAnsi="Times New Roman"/>
          <w:sz w:val="18"/>
          <w:szCs w:val="18"/>
          <w:color w:val="auto"/>
        </w:rPr>
        <w:t>. We were the first to combine the “three pillars of observability” - metrics, traces, and logs - into a single end-to-end platform with the introduction of our log management solution in 2018. Today, our platform combines infrastructure monitoring, application performance monitoring, log management, user experience monitoring, security monitoring, cloud service management, and developer-focused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they provide the ability to view metrics, traces, logs, sessions, security signals, and other data side-by-side and to perform correlation analysis.</w:t>
      </w:r>
    </w:p>
    <w:p>
      <w:pPr>
        <w:spacing w:after="0" w:line="76" w:lineRule="exact"/>
        <w:rPr>
          <w:rFonts w:ascii="Times New Roman" w:cs="Times New Roman" w:eastAsia="Times New Roman" w:hAnsi="Times New Roman"/>
          <w:sz w:val="18"/>
          <w:szCs w:val="18"/>
          <w:color w:val="auto"/>
        </w:rPr>
      </w:pPr>
    </w:p>
    <w:p>
      <w:pPr>
        <w:jc w:val="both"/>
        <w:ind w:left="480" w:hanging="480"/>
        <w:spacing w:after="0" w:line="256"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Built for collaboration</w:t>
      </w:r>
      <w:r>
        <w:rPr>
          <w:rFonts w:ascii="Times New Roman" w:cs="Times New Roman" w:eastAsia="Times New Roman" w:hAnsi="Times New Roman"/>
          <w:sz w:val="18"/>
          <w:szCs w:val="18"/>
          <w:color w:val="auto"/>
        </w:rPr>
        <w:t>. Our platform was built to break down the silos between developers and operations teams in order to help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 Over time, as the use cases for our platform have expanded, the types of users that we can serve and help to collaborate have expanded as well, to include security professionals, product managers, product designers, platform engineers, customer support staff, and business users.</w:t>
      </w:r>
    </w:p>
    <w:p>
      <w:pPr>
        <w:spacing w:after="0" w:line="74" w:lineRule="exact"/>
        <w:rPr>
          <w:rFonts w:ascii="Times New Roman" w:cs="Times New Roman" w:eastAsia="Times New Roman" w:hAnsi="Times New Roman"/>
          <w:sz w:val="18"/>
          <w:szCs w:val="18"/>
          <w:color w:val="auto"/>
        </w:rPr>
      </w:pPr>
    </w:p>
    <w:p>
      <w:pPr>
        <w:ind w:left="480" w:hanging="480"/>
        <w:spacing w:after="0" w:line="286"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 agnostic</w:t>
      </w:r>
      <w:r>
        <w:rPr>
          <w:rFonts w:ascii="Times New Roman" w:cs="Times New Roman" w:eastAsia="Times New Roman" w:hAnsi="Times New Roman"/>
          <w:sz w:val="18"/>
          <w:szCs w:val="18"/>
          <w:color w:val="auto"/>
        </w:rPr>
        <w:t>. Our platform is designed to be deployable across all environments, including public cloud, private cloud, on-premise,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multi-cloud, and hybrid environments, allowing organizations to diversify their infrastructure and reduce single vendor dependence.</w:t>
      </w:r>
    </w:p>
    <w:p>
      <w:pPr>
        <w:spacing w:after="0" w:line="46"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Ubiquitous</w:t>
      </w:r>
      <w:r>
        <w:rPr>
          <w:rFonts w:ascii="Times New Roman" w:cs="Times New Roman" w:eastAsia="Times New Roman" w:hAnsi="Times New Roman"/>
          <w:sz w:val="18"/>
          <w:szCs w:val="18"/>
          <w:color w:val="auto"/>
        </w:rPr>
        <w:t>. Datadog is frequently deployed across a customer’s entire infrastructure, making it ubiquitous. Compared to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that are often used only by a few users in an organization’s IT operations team, Datadog is a daily part of the lives of developers, operations engineers and business leaders.</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59"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Integrates with our customers’ complex environments</w:t>
      </w:r>
      <w:r>
        <w:rPr>
          <w:rFonts w:ascii="Times New Roman" w:cs="Times New Roman" w:eastAsia="Times New Roman" w:hAnsi="Times New Roman"/>
          <w:sz w:val="18"/>
          <w:szCs w:val="18"/>
          <w:color w:val="auto"/>
        </w:rPr>
        <w:t>. We enable development and operations teams to harness the full spectrum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SaaS and open source tools. We have over 850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71" w:lineRule="exact"/>
        <w:rPr>
          <w:rFonts w:ascii="Times New Roman" w:cs="Times New Roman" w:eastAsia="Times New Roman" w:hAnsi="Times New Roman"/>
          <w:sz w:val="18"/>
          <w:szCs w:val="18"/>
          <w:color w:val="auto"/>
        </w:rPr>
      </w:pPr>
    </w:p>
    <w:p>
      <w:pPr>
        <w:jc w:val="both"/>
        <w:ind w:left="480" w:hanging="480"/>
        <w:spacing w:after="0" w:line="259"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Powered by robust machine-learning and artificial intelligence</w:t>
      </w:r>
      <w:r>
        <w:rPr>
          <w:rFonts w:ascii="Times New Roman" w:cs="Times New Roman" w:eastAsia="Times New Roman" w:hAnsi="Times New Roman"/>
          <w:sz w:val="18"/>
          <w:szCs w:val="18"/>
          <w:color w:val="auto"/>
        </w:rPr>
        <w:t>. Our platform ingests massive amounts of data into our unified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warehouse. We develop actionable insights using our advanced analytics capabilities. Our platform's Watchdog capabilities feature artificial intelligence and machine learning that can cross-correlate metrics, traces, logs, sessions, security signals, and other data to identify outliers and notify users of potential anomalies; discover and help resolve issues quickly with automated root cause analysis; augment the troubleshooting workflow with contextual insights; and minimize impact on customers.</w:t>
      </w:r>
    </w:p>
    <w:p>
      <w:pPr>
        <w:spacing w:after="0" w:line="71"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w:t>
      </w:r>
      <w:r>
        <w:rPr>
          <w:rFonts w:ascii="Times New Roman" w:cs="Times New Roman" w:eastAsia="Times New Roman" w:hAnsi="Times New Roman"/>
          <w:sz w:val="18"/>
          <w:szCs w:val="18"/>
          <w:color w:val="auto"/>
        </w:rPr>
        <w:t>. Our SaaS platform is delivered through the cloud. Our platform is massively scalable, currently monitoring trillions of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hour and millions of servers and containers at any point in time. We offer secure, easily accessible data retention at full granularity for extensive periods of time, which can provide customers with a complete view of their historical data.</w:t>
      </w:r>
    </w:p>
    <w:p>
      <w:pPr>
        <w:spacing w:after="0" w:line="200" w:lineRule="exact"/>
        <w:rPr>
          <w:sz w:val="20"/>
          <w:szCs w:val="20"/>
          <w:color w:val="auto"/>
        </w:rPr>
      </w:pPr>
    </w:p>
    <w:p>
      <w:pPr>
        <w:spacing w:after="0" w:line="31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Key Benefits to Our Customers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Organizations of all sizes, in all industries, both private and public, purchase our products for a variety of use cases. As of December 31, 2024, we had approximately 30,000 customers in over 150 countries. Our platform provides the following key benefits to our customers:</w:t>
      </w:r>
    </w:p>
    <w:p>
      <w:pPr>
        <w:spacing w:after="0" w:line="50" w:lineRule="exact"/>
        <w:rPr>
          <w:sz w:val="20"/>
          <w:szCs w:val="20"/>
          <w:color w:val="auto"/>
        </w:rPr>
      </w:pPr>
    </w:p>
    <w:p>
      <w:pPr>
        <w:jc w:val="both"/>
        <w:ind w:left="1460" w:hanging="480"/>
        <w:spacing w:after="0" w:line="262"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digital transformation</w:t>
      </w:r>
      <w:r>
        <w:rPr>
          <w:rFonts w:ascii="Times New Roman" w:cs="Times New Roman" w:eastAsia="Times New Roman" w:hAnsi="Times New Roman"/>
          <w:sz w:val="18"/>
          <w:szCs w:val="18"/>
          <w:color w:val="auto"/>
        </w:rPr>
        <w:t>. We enable customers to take full advantage of the cloud to develop and maintain mission-critical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Reduce time to problem detection and resolution</w:t>
      </w:r>
      <w:r>
        <w:rPr>
          <w:rFonts w:ascii="Times New Roman" w:cs="Times New Roman" w:eastAsia="Times New Roman" w:hAnsi="Times New Roman"/>
          <w:sz w:val="18"/>
          <w:szCs w:val="18"/>
          <w:color w:val="auto"/>
        </w:rPr>
        <w:t>. Using infrastructure, APM, log data, and data from integrations in our unified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our customers are able to quickly isolate the root cause of application issues in one place where they otherwise would be required to spend hours trying to investigate using multiple tools. The reduction in mean time to detection and mean time to resolution helps our customers avoid lost revenues and enhance customer experience.</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59"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Improve agility of development, operations, security and business teams</w:t>
      </w:r>
      <w:r>
        <w:rPr>
          <w:rFonts w:ascii="Times New Roman" w:cs="Times New Roman" w:eastAsia="Times New Roman" w:hAnsi="Times New Roman"/>
          <w:sz w:val="18"/>
          <w:szCs w:val="18"/>
          <w:color w:val="auto"/>
        </w:rPr>
        <w:t>. We eliminate the historical silos of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teams and provide a platform that enables efficient and agile development through the adoption of DevOps and DevSecOps. Our platform enables development, operations and security teams to collaborate closely with a shared understanding of data and analytics. This helps them develop a joint understanding of application performance and shared insights into the infrastructure supporting the applications.</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59"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Enable operational efficiency</w:t>
      </w:r>
      <w:r>
        <w:rPr>
          <w:rFonts w:ascii="Times New Roman" w:cs="Times New Roman" w:eastAsia="Times New Roman" w:hAnsi="Times New Roman"/>
          <w:sz w:val="18"/>
          <w:szCs w:val="18"/>
          <w:color w:val="auto"/>
        </w:rPr>
        <w:t>. Our solution is easy to install, which eliminates the need for heavy implementation costs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services. We have hundreds of integrations with key technologies, from which our customers can derive significant value, avoiding internal development costs and professional services required to create those integrations. Our customer-centric pricing model is tailored to customers’ desired usage needs. Our platform empowers customers to better understand the operational needs of their applications and IT environments, enabling greater efficiency in resource allocation and spend on cloud infrastructure.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113" w:lineRule="exact"/>
        <w:rPr>
          <w:sz w:val="20"/>
          <w:szCs w:val="20"/>
          <w:color w:val="auto"/>
        </w:rPr>
      </w:pPr>
    </w:p>
    <w:p>
      <w:pPr>
        <w:jc w:val="both"/>
        <w:ind w:left="1460" w:hanging="480"/>
        <w:spacing w:after="0" w:line="268"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customer base by acquiring new customers</w:t>
      </w:r>
      <w:r>
        <w:rPr>
          <w:rFonts w:ascii="Times New Roman" w:cs="Times New Roman" w:eastAsia="Times New Roman" w:hAnsi="Times New Roman"/>
          <w:sz w:val="18"/>
          <w:szCs w:val="18"/>
          <w:color w:val="auto"/>
        </w:rPr>
        <w:t>. Our market penetration is low. We believe there is a substantial opportunity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continue to grow our customer base. We intend to drive new customer additions by expanding our sales and marketing efforts in the markets we serve.</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within our existing customer base through broader deployments, new use cases and new product adoption</w:t>
      </w:r>
      <w:r>
        <w:rPr>
          <w:rFonts w:ascii="Times New Roman" w:cs="Times New Roman" w:eastAsia="Times New Roman" w:hAnsi="Times New Roman"/>
          <w:sz w:val="18"/>
          <w:szCs w:val="18"/>
          <w:color w:val="auto"/>
        </w:rPr>
        <w:t>. Our base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30,000 customers as of December 31, 2024 represents a significant opportunity for further sales expansion. We plan to continue to increase sales within our existing customer base through increased usage of our platform and the cross selling of additional products.</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55"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technology leadership through continued investment and new products</w:t>
      </w:r>
      <w:r>
        <w:rPr>
          <w:rFonts w:ascii="Times New Roman" w:cs="Times New Roman" w:eastAsia="Times New Roman" w:hAnsi="Times New Roman"/>
          <w:sz w:val="18"/>
          <w:szCs w:val="18"/>
          <w:color w:val="auto"/>
        </w:rPr>
        <w:t>. We intend to invest in expanding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functionality of our current platform and adding capabilities that address new market opportunities. We have a history of continued innovation. For example, in 2017 we launched APM; in 2018 we launched Log Management; in 2019 we launched Digital Experience Monitoring and Network Performance Monitoring; in 2020 we launched Cloud SIEM, Continuous Profiler and Incident Management; in 2021 we launched Cloud Security Posture Management, Cloud Workload Security, Database Monitoring, and Sensitive Data Scanner; in 2022 we launched Application Security Management, Cloud Security Management, Audit Trail, Observability Pipelines, Cloud Cost Management, and Universal Service Monitoring; in 2023 we launched Application Vulnerability Management, Data Streams Monitoring, and Workflow Automation; and in 2024 we launched Event Management and LLM Observability.</w:t>
      </w:r>
    </w:p>
    <w:p>
      <w:pPr>
        <w:spacing w:after="0" w:line="76"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customer base internationally</w:t>
      </w:r>
      <w:r>
        <w:rPr>
          <w:rFonts w:ascii="Times New Roman" w:cs="Times New Roman" w:eastAsia="Times New Roman" w:hAnsi="Times New Roman"/>
          <w:sz w:val="18"/>
          <w:szCs w:val="18"/>
          <w:color w:val="auto"/>
        </w:rPr>
        <w:t>. We believe there is a significant opportunity to continue to expand usage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outside of the United States, as international markets have increased the shift of their IT spend to the cloud.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 w:name="page10"/>
    <w:bookmarkEnd w:id="9"/>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Our proprietary platform provides real-time insights into software applications and IT infrastructure performance to enable better user experiences, faster problem detection and resolution and smarter, more impactful business decisions. Our platform is modular and includes infrastructure monitoring, application performance monitoring, log management, user experience monitoring, network performance monitoring, cloud and application security, developer-focused observability, and cloud service management, as well as a range of shared features such as sophisticated dashboards, advanced analytics, collaboration tools, workflow automation, and alerting capabilities. Many of our products are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platform is supported by more than 850 integrations to seamlessly aggregate metrics and events across all of the systems and services that power digital businesses. Our easy-to-use platform is deployed through a self-service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trillions of events per hour and millions of servers and containers.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elements that can be leveraged across our platform:</w:t>
      </w:r>
    </w:p>
    <w:p>
      <w:pPr>
        <w:spacing w:after="0" w:line="113" w:lineRule="exact"/>
        <w:rPr>
          <w:sz w:val="20"/>
          <w:szCs w:val="20"/>
          <w:color w:val="auto"/>
        </w:rPr>
      </w:pPr>
    </w:p>
    <w:p>
      <w:pPr>
        <w:jc w:val="both"/>
        <w:ind w:left="1460" w:hanging="480"/>
        <w:spacing w:after="0" w:line="26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Single Pane of Glass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provide a unified source of data enables users to access information from a single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easily explore multiple data sources. Through a single dashboard and with a common data framework, users are able to access and explore all of the relevant performance data. Users are able to more quickly assess and resolve their issues without having to toggle between multiple products.</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Robust, Deep Data Set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client-side collection technology relies on installation of a single agent for metrics, traces, logs,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allowing for a simple, seamless deployment experience for the customers. We ingest massive amounts of complex data and normalize it. The volume of data associated with combining infrastructure, APM, log management, and other products provides for a dramatically more robust data set than any of the individual data sources would provide on their own.</w:t>
      </w:r>
    </w:p>
    <w:p>
      <w:pPr>
        <w:spacing w:after="0" w:line="68"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SaaS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cloud based multi-tenant SaaS platform allows for real-time ingestion, and analysis of massive amounts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our customers needing to worry about the provisioning, sizing and capacity of their monitoring platform.</w:t>
      </w:r>
    </w:p>
    <w:p>
      <w:pPr>
        <w:spacing w:after="0" w:line="46"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One Data Model. </w:t>
      </w:r>
      <w:r>
        <w:rPr>
          <w:rFonts w:ascii="Times New Roman" w:cs="Times New Roman" w:eastAsia="Times New Roman" w:hAnsi="Times New Roman"/>
          <w:sz w:val="18"/>
          <w:szCs w:val="18"/>
          <w:color w:val="auto"/>
        </w:rPr>
        <w:t>Every piece of data that is ingested by our platform is consistently tagged with metadata regardless of its type.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allows for different kinds of performance data, such as a log event and an application trace, to be queried together, correlated, alerted on, and visualized in a common user interface.</w:t>
      </w:r>
    </w:p>
    <w:p>
      <w:pPr>
        <w:spacing w:after="0" w:line="62"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Cross-Correlation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our solutions are integrated and work cohesively to provide a deep level of context and insight into what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occurring in a customer’s IT environment and power faster troubleshooting.</w:t>
      </w:r>
    </w:p>
    <w:p>
      <w:pPr>
        <w:spacing w:after="0" w:line="46"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Out-Of-The-Box, Actionable Insights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moment of installation, our platform provides actionable insights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customizable dashboards, predictive analytics, automated correlations, visualizations and alerting.</w:t>
      </w:r>
    </w:p>
    <w:p>
      <w:pPr>
        <w:spacing w:after="0" w:line="46"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Accuracy Machine-Learning Capabilities and Predictive Capabilities Powered by the Network Effect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multi-tenant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analyzes massive data sets ingested across our customers and their IT environments. It uses machine learning to predict and identify sources of performance or availability issues that customers share due to dependencies on common service providers or third-party services.</w:t>
      </w:r>
    </w:p>
    <w:p>
      <w:pPr>
        <w:spacing w:after="0" w:line="68"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850+ Fully Supported Integrations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more than 850 out-of-the-box integrations including public cloud, private cloud, on-premise hardware, databases and third-party software.</w:t>
      </w:r>
    </w:p>
    <w:p>
      <w:pPr>
        <w:spacing w:after="0" w:line="46"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Alerts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sophisticated real time alerting capabilities in the platform that detects issues, alerts users, and integrates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their service management systems.</w:t>
      </w:r>
    </w:p>
    <w:p>
      <w:pPr>
        <w:spacing w:after="0" w:line="159"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Our platform consists of products that can be used individually or as a unified solution, and includes a Marketplace where customers can access products built by our partners on top of the Datadog platform. Our products include:</w:t>
      </w:r>
    </w:p>
    <w:p>
      <w:pPr>
        <w:spacing w:after="0" w:line="50" w:lineRule="exact"/>
        <w:rPr>
          <w:sz w:val="20"/>
          <w:szCs w:val="20"/>
          <w:color w:val="auto"/>
        </w:rPr>
      </w:pPr>
    </w:p>
    <w:p>
      <w:pPr>
        <w:jc w:val="both"/>
        <w:ind w:left="1460" w:hanging="480"/>
        <w:spacing w:after="0" w:line="262" w:lineRule="auto"/>
        <w:tabs>
          <w:tab w:leader="none" w:pos="1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Infrastructure Monitoring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Infrastructure Monitoring platform provides real-time monitoring of IT infrastructure across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 private cloud and hybrid environments, as well as in containers and serverless architectures, ensuring performance, and availability of applications. All infrastructure data is located in one repository with automatic correlation, regardless of environment size or rate of change, to provide a fulsome view of everything that is occurring across the IT ecosystem.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Application Performance Monitoring (APM). </w:t>
      </w:r>
      <w:r>
        <w:rPr>
          <w:rFonts w:ascii="Times New Roman" w:cs="Times New Roman" w:eastAsia="Times New Roman" w:hAnsi="Times New Roman"/>
          <w:sz w:val="18"/>
          <w:szCs w:val="18"/>
          <w:color w:val="auto"/>
        </w:rPr>
        <w:t>APM provides full visibility into the health and functioning of applications regardless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deployment environment. Code-level distributed tracing across microservices, hosts, containers and serverless computing functions allows our customers to gain deep insights into application and code performance.</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59"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Log Management. </w:t>
      </w:r>
      <w:r>
        <w:rPr>
          <w:rFonts w:ascii="Times New Roman" w:cs="Times New Roman" w:eastAsia="Times New Roman" w:hAnsi="Times New Roman"/>
          <w:sz w:val="18"/>
          <w:szCs w:val="18"/>
          <w:color w:val="auto"/>
        </w:rPr>
        <w:t>Log Management for applications, systems and cloud platforms ingests data, creates indexes and enables querying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logs with visualizations and alerting to provide immediate insight into any performance issues. Logging Without Limits</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decouples the cost of log ingestion from processing, allowing customers to cost effectively collect a massive volume of logs and selectively process those they need to monitor. Flex Logs decouples storage from query, so customers can adjust their retention and querying capacity independently and serve more use cases within the Datadog platform.</w:t>
      </w:r>
    </w:p>
    <w:p>
      <w:pPr>
        <w:spacing w:after="0" w:line="71" w:lineRule="exact"/>
        <w:rPr>
          <w:rFonts w:ascii="Times New Roman" w:cs="Times New Roman" w:eastAsia="Times New Roman" w:hAnsi="Times New Roman"/>
          <w:sz w:val="18"/>
          <w:szCs w:val="18"/>
          <w:color w:val="auto"/>
        </w:rPr>
      </w:pPr>
    </w:p>
    <w:p>
      <w:pPr>
        <w:jc w:val="both"/>
        <w:ind w:left="480" w:hanging="480"/>
        <w:spacing w:after="0" w:line="257"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Experience Monitoring. </w:t>
      </w:r>
      <w:r>
        <w:rPr>
          <w:rFonts w:ascii="Times New Roman" w:cs="Times New Roman" w:eastAsia="Times New Roman" w:hAnsi="Times New Roman"/>
          <w:sz w:val="18"/>
          <w:szCs w:val="18"/>
          <w:color w:val="auto"/>
        </w:rPr>
        <w:t>Digital Experience Monitoring brings visibility up the stack to monitor the digital experience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 and consists of Synthetics, Real User Monitoring (RUM), and Session Replay. Synthetics provides user-experience monitoring of applications and API endpoints via simulated AI-powered user requests to proactively track application performance and ensure uptime. RUM provides analysis and visualization of the performance of web browser and mobile applications as experienced by all actual users. Session Replay captures and visually replays users' web browser and mobile application experiences to help identify errors, application usage patterns, and design issues.</w:t>
      </w:r>
    </w:p>
    <w:p>
      <w:pPr>
        <w:spacing w:after="0" w:line="74"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Continuous Profiler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Profiler measures code level performance in any environment through an always-on, and 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overhead solution. This allows customers to quickly identify and optimize the slowest and most resource-consuming parts in application code in order to improve mean time to resolution, reduce application latency, and lower cloud costs.</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2"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Database Monitoring. </w:t>
      </w:r>
      <w:r>
        <w:rPr>
          <w:rFonts w:ascii="Times New Roman" w:cs="Times New Roman" w:eastAsia="Times New Roman" w:hAnsi="Times New Roman"/>
          <w:sz w:val="18"/>
          <w:szCs w:val="18"/>
          <w:color w:val="auto"/>
        </w:rPr>
        <w:t>Database Monitoring allows customers to view query metrics and explain plans from all of their databases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place. With Database Monitoring, they can quickly pinpoint costly and slow queries and drill into precise execution details to address bottlenecks. Additionally, query, host, and application metric correlation makes it easy to identify and understand the impact of resource constraints on database performance.</w:t>
      </w:r>
    </w:p>
    <w:p>
      <w:pPr>
        <w:spacing w:after="0" w:line="68" w:lineRule="exact"/>
        <w:rPr>
          <w:rFonts w:ascii="Times New Roman" w:cs="Times New Roman" w:eastAsia="Times New Roman" w:hAnsi="Times New Roman"/>
          <w:sz w:val="18"/>
          <w:szCs w:val="18"/>
          <w:color w:val="auto"/>
        </w:rPr>
      </w:pPr>
    </w:p>
    <w:p>
      <w:pPr>
        <w:jc w:val="both"/>
        <w:ind w:left="480" w:hanging="480"/>
        <w:spacing w:after="0" w:line="262"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Observability. </w:t>
      </w:r>
      <w:r>
        <w:rPr>
          <w:rFonts w:ascii="Times New Roman" w:cs="Times New Roman" w:eastAsia="Times New Roman" w:hAnsi="Times New Roman"/>
          <w:sz w:val="18"/>
          <w:szCs w:val="18"/>
          <w:color w:val="auto"/>
        </w:rPr>
        <w:t>Data Observability brings production-level observability to the data engineering space, and consists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Streams Monitoring (DSM) and Data Jobs Monitoring (DJM). DSM enables customers to easily track and improve the performance of event-driven applications. DJM helps data platform teams and data engineers detect, remediate, and optimize problematic Spark and Databricks jobs,</w:t>
      </w:r>
    </w:p>
    <w:p>
      <w:pPr>
        <w:spacing w:after="0" w:line="68" w:lineRule="exact"/>
        <w:rPr>
          <w:rFonts w:ascii="Times New Roman" w:cs="Times New Roman" w:eastAsia="Times New Roman" w:hAnsi="Times New Roman"/>
          <w:sz w:val="18"/>
          <w:szCs w:val="18"/>
          <w:color w:val="auto"/>
        </w:rPr>
      </w:pPr>
    </w:p>
    <w:p>
      <w:pPr>
        <w:ind w:left="480" w:hanging="480"/>
        <w:spacing w:after="0" w:line="286" w:lineRule="auto"/>
        <w:tabs>
          <w:tab w:leader="none" w:pos="4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Universal Service Monitoring. </w:t>
      </w:r>
      <w:r>
        <w:rPr>
          <w:rFonts w:ascii="Times New Roman" w:cs="Times New Roman" w:eastAsia="Times New Roman" w:hAnsi="Times New Roman"/>
          <w:sz w:val="18"/>
          <w:szCs w:val="18"/>
          <w:color w:val="auto"/>
        </w:rPr>
        <w:t>Universal Service Monitoring automatically detects all microservices across an organization's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and provides instant visibility into their health and dependencies—all without any code changes.</w:t>
      </w:r>
    </w:p>
    <w:p>
      <w:pPr>
        <w:spacing w:after="0" w:line="46"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62"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Monitoring. </w:t>
      </w:r>
      <w:r>
        <w:rPr>
          <w:rFonts w:ascii="Times New Roman" w:cs="Times New Roman" w:eastAsia="Times New Roman" w:hAnsi="Times New Roman"/>
          <w:sz w:val="18"/>
          <w:szCs w:val="18"/>
          <w:color w:val="auto"/>
        </w:rPr>
        <w:t>Cloud Network Monitoring enables the analysis and visualization of the flow of network traffic in on-premise,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or hybrid environments, helping customers determine when the network is the root cause of an issue. Network Device Monitoring seamlessly consolidates monitoring and troubleshooting of network hardware, such as routers, firewalls, switches, load balancers, and other network devices.</w:t>
      </w:r>
    </w:p>
    <w:p>
      <w:pPr>
        <w:spacing w:after="0" w:line="68" w:lineRule="exact"/>
        <w:rPr>
          <w:rFonts w:ascii="Times New Roman" w:cs="Times New Roman" w:eastAsia="Times New Roman" w:hAnsi="Times New Roman"/>
          <w:sz w:val="18"/>
          <w:szCs w:val="18"/>
          <w:color w:val="auto"/>
        </w:rPr>
      </w:pPr>
    </w:p>
    <w:p>
      <w:pPr>
        <w:jc w:val="both"/>
        <w:ind w:left="480" w:hanging="480"/>
        <w:spacing w:after="0" w:line="286"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Error Tracking. </w:t>
      </w:r>
      <w:r>
        <w:rPr>
          <w:rFonts w:ascii="Times New Roman" w:cs="Times New Roman" w:eastAsia="Times New Roman" w:hAnsi="Times New Roman"/>
          <w:sz w:val="18"/>
          <w:szCs w:val="18"/>
          <w:color w:val="auto"/>
        </w:rPr>
        <w:t>Error Tracking reduces noise by intelligently grouping errors into issues across frontend and backend applications.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rich debug context, down to lines of code, Error Tracking helps users identify root problems, accelerating incident resolution.</w:t>
      </w:r>
    </w:p>
    <w:p>
      <w:pPr>
        <w:spacing w:after="0" w:line="46" w:lineRule="exact"/>
        <w:rPr>
          <w:rFonts w:ascii="Times New Roman" w:cs="Times New Roman" w:eastAsia="Times New Roman" w:hAnsi="Times New Roman"/>
          <w:sz w:val="18"/>
          <w:szCs w:val="18"/>
          <w:color w:val="auto"/>
        </w:rPr>
      </w:pPr>
    </w:p>
    <w:p>
      <w:pPr>
        <w:jc w:val="both"/>
        <w:ind w:left="480" w:right="2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Incident Management. </w:t>
      </w:r>
      <w:r>
        <w:rPr>
          <w:rFonts w:ascii="Times New Roman" w:cs="Times New Roman" w:eastAsia="Times New Roman" w:hAnsi="Times New Roman"/>
          <w:sz w:val="18"/>
          <w:szCs w:val="18"/>
          <w:color w:val="auto"/>
        </w:rPr>
        <w:t>Incident Management allows users to declare incidents, investigate root cause and dependencies, collaborate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around a shared view of the incident, follow to resolution, and auto-generate post-mortem documentations, all within the Datadog platform.</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Workflow Automation. </w:t>
      </w:r>
      <w:r>
        <w:rPr>
          <w:rFonts w:ascii="Times New Roman" w:cs="Times New Roman" w:eastAsia="Times New Roman" w:hAnsi="Times New Roman"/>
          <w:sz w:val="18"/>
          <w:szCs w:val="18"/>
          <w:color w:val="auto"/>
        </w:rPr>
        <w:t>Workflow Automation enables customers to easily automate and orchestrate processes across their tech stacks,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hundreds of out-of-the-box actions and dozens of customizable blueprints. Workflow Automation enables automated actions based on observability insights for faster incident remediation, proactive prevention, and improved security.</w:t>
      </w:r>
    </w:p>
    <w:p>
      <w:pPr>
        <w:spacing w:after="0" w:line="62" w:lineRule="exact"/>
        <w:rPr>
          <w:rFonts w:ascii="Times New Roman" w:cs="Times New Roman" w:eastAsia="Times New Roman" w:hAnsi="Times New Roman"/>
          <w:sz w:val="18"/>
          <w:szCs w:val="18"/>
          <w:color w:val="auto"/>
        </w:rPr>
      </w:pPr>
    </w:p>
    <w:p>
      <w:pPr>
        <w:ind w:left="480" w:hanging="480"/>
        <w:spacing w:after="0" w:line="286" w:lineRule="auto"/>
        <w:tabs>
          <w:tab w:leader="none" w:pos="4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Observability Pipelines. </w:t>
      </w:r>
      <w:r>
        <w:rPr>
          <w:rFonts w:ascii="Times New Roman" w:cs="Times New Roman" w:eastAsia="Times New Roman" w:hAnsi="Times New Roman"/>
          <w:sz w:val="18"/>
          <w:szCs w:val="18"/>
          <w:color w:val="auto"/>
        </w:rPr>
        <w:t>Observability Pipelines enables IT and security teams to cost-effectively collect, transform, and route logs,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metrics, and traces from any source to any destination at scale.</w:t>
      </w:r>
    </w:p>
    <w:p>
      <w:pPr>
        <w:spacing w:after="0" w:line="46"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68" w:lineRule="auto"/>
        <w:tabs>
          <w:tab w:leader="none" w:pos="4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Cloud Cost Management. </w:t>
      </w:r>
      <w:r>
        <w:rPr>
          <w:rFonts w:ascii="Times New Roman" w:cs="Times New Roman" w:eastAsia="Times New Roman" w:hAnsi="Times New Roman"/>
          <w:sz w:val="18"/>
          <w:szCs w:val="18"/>
          <w:color w:val="auto"/>
        </w:rPr>
        <w:t>Cloud Cost Management provides granular visibility into costs across cloud resources,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surfacing changes in cloud costs and visualizing cost data alongside metrics, traces, logs, and other data, and making it easy to find and fix cost inefficiencies.</w:t>
      </w:r>
    </w:p>
    <w:p>
      <w:pPr>
        <w:spacing w:after="0" w:line="200" w:lineRule="exact"/>
        <w:rPr>
          <w:sz w:val="20"/>
          <w:szCs w:val="20"/>
          <w:color w:val="auto"/>
        </w:rPr>
      </w:pPr>
    </w:p>
    <w:p>
      <w:pPr>
        <w:spacing w:after="0" w:line="31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95" w:right="339" w:bottom="1440" w:gutter="0" w:footer="0" w:header="0"/>
        </w:sectPr>
      </w:pPr>
    </w:p>
    <w:bookmarkStart w:id="11" w:name="page12"/>
    <w:bookmarkEnd w:id="11"/>
    <w:p>
      <w:pPr>
        <w:jc w:val="both"/>
        <w:ind w:left="1460" w:hanging="480"/>
        <w:spacing w:after="0" w:line="259" w:lineRule="auto"/>
        <w:tabs>
          <w:tab w:leader="none" w:pos="14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Cloud Security Management. </w:t>
      </w:r>
      <w:r>
        <w:rPr>
          <w:rFonts w:ascii="Times New Roman" w:cs="Times New Roman" w:eastAsia="Times New Roman" w:hAnsi="Times New Roman"/>
          <w:sz w:val="18"/>
          <w:szCs w:val="18"/>
          <w:color w:val="auto"/>
        </w:rPr>
        <w:t>Cloud Security Management delivers vulnerability management, automated compliance checks,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posture management, real-time threat detection, identity risk assessments, and a comprehensive resource inventory across the entire cloud infrastructure, all in a unified platform for seamless collaboration and faster remediation. With a unified platform and real-time observability context, DevOps and security teams can quickly remediate issues and continuously improve their organization's security posture.</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1460" w:hanging="480"/>
        <w:spacing w:after="0" w:line="259"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Application Security Management. </w:t>
      </w:r>
      <w:r>
        <w:rPr>
          <w:rFonts w:ascii="Times New Roman" w:cs="Times New Roman" w:eastAsia="Times New Roman" w:hAnsi="Times New Roman"/>
          <w:sz w:val="18"/>
          <w:szCs w:val="18"/>
          <w:color w:val="auto"/>
        </w:rPr>
        <w:t>Application Security Management (ASM) delivers continuous, real-time visibility into attacks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 customers' web applications, serverless applications, and APIs. ASM is automatically integrated with APM distributed traces and code-level context, empowering Dev, Ops, and security teams to build and run secure applications in production. Application Vulnerability Management continuously monitors customers' production environments for both code-level and open-source vulnerabilities.</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SIEM. </w:t>
      </w:r>
      <w:r>
        <w:rPr>
          <w:rFonts w:ascii="Times New Roman" w:cs="Times New Roman" w:eastAsia="Times New Roman" w:hAnsi="Times New Roman"/>
          <w:sz w:val="18"/>
          <w:szCs w:val="18"/>
          <w:color w:val="auto"/>
        </w:rPr>
        <w:t>Cloud SIEM (Security Information and Event Management) allows customers to detect threats in real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investigate security signals across metrics, traces, logs, and other data. It provides the engineering organization, including Dev, Ops, and security teams, visibility into common data sources, in order to better operationalize IT security.</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Sensitive Data Scanner. </w:t>
      </w:r>
      <w:r>
        <w:rPr>
          <w:rFonts w:ascii="Times New Roman" w:cs="Times New Roman" w:eastAsia="Times New Roman" w:hAnsi="Times New Roman"/>
          <w:sz w:val="18"/>
          <w:szCs w:val="18"/>
          <w:color w:val="auto"/>
        </w:rPr>
        <w:t>Sensitive Data Scanner helps businesses meet compliance goals by discovering, classifying, and redacting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sensitive data, in real-time and at scale. Datadog scans for patterns of sensitive data upon ingestion and then hashes or redacts it, following built-in or user-defined rules to support compliance with GDPR, HIPAA, CCPA, and more.</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CI Visibility. </w:t>
      </w:r>
      <w:r>
        <w:rPr>
          <w:rFonts w:ascii="Times New Roman" w:cs="Times New Roman" w:eastAsia="Times New Roman" w:hAnsi="Times New Roman"/>
          <w:sz w:val="18"/>
          <w:szCs w:val="18"/>
          <w:color w:val="auto"/>
        </w:rPr>
        <w:t>CI, or Continuous Integration, Visibility provides deep insight into the health and performance of customers' CI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Pipeline Visibility allows platform engineers to detect and find the root cause of slow or failing pipelines, builds, and jobs across all their CI providers in a single place. Test Visibility auto-instruments every test service to help developers detect and resolve slow, failing, and flaky tests.</w:t>
      </w:r>
    </w:p>
    <w:p>
      <w:pPr>
        <w:spacing w:after="0" w:line="68" w:lineRule="exact"/>
        <w:rPr>
          <w:rFonts w:ascii="Times New Roman" w:cs="Times New Roman" w:eastAsia="Times New Roman" w:hAnsi="Times New Roman"/>
          <w:sz w:val="18"/>
          <w:szCs w:val="18"/>
          <w:b w:val="1"/>
          <w:bCs w:val="1"/>
          <w:i w:val="1"/>
          <w:iCs w:val="1"/>
          <w:color w:val="auto"/>
        </w:rPr>
      </w:pPr>
    </w:p>
    <w:p>
      <w:pPr>
        <w:jc w:val="both"/>
        <w:ind w:left="1460" w:hanging="480"/>
        <w:spacing w:after="0" w:line="262" w:lineRule="auto"/>
        <w:tabs>
          <w:tab w:leader="none" w:pos="14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LLM Observability. </w:t>
      </w:r>
      <w:r>
        <w:rPr>
          <w:rFonts w:ascii="Times New Roman" w:cs="Times New Roman" w:eastAsia="Times New Roman" w:hAnsi="Times New Roman"/>
          <w:sz w:val="18"/>
          <w:szCs w:val="18"/>
          <w:color w:val="auto"/>
        </w:rPr>
        <w:t>LLM, or Large Language Model, Observability provides end-to-end tracing of LLM chains with visibility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input-output, errors, token usage, and latency at each step. LLM Observability seamlessly correlates LLM traces with APM and utilizes cluster visualization to identify drifts, enabling users to swiftly resolve issues and scale AI applications in production, while improving accuracy and reducing privacy risks.</w:t>
      </w:r>
    </w:p>
    <w:p>
      <w:pPr>
        <w:spacing w:after="0" w:line="68" w:lineRule="exact"/>
        <w:rPr>
          <w:rFonts w:ascii="Times New Roman" w:cs="Times New Roman" w:eastAsia="Times New Roman" w:hAnsi="Times New Roman"/>
          <w:sz w:val="18"/>
          <w:szCs w:val="18"/>
          <w:b w:val="1"/>
          <w:bCs w:val="1"/>
          <w:i w:val="1"/>
          <w:iCs w:val="1"/>
          <w:color w:val="auto"/>
        </w:rPr>
      </w:pPr>
    </w:p>
    <w:p>
      <w:pPr>
        <w:jc w:val="both"/>
        <w:ind w:left="1460" w:right="20" w:hanging="480"/>
        <w:spacing w:after="0" w:line="268" w:lineRule="auto"/>
        <w:tabs>
          <w:tab w:leader="none" w:pos="14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Event Management. </w:t>
      </w:r>
      <w:r>
        <w:rPr>
          <w:rFonts w:ascii="Times New Roman" w:cs="Times New Roman" w:eastAsia="Times New Roman" w:hAnsi="Times New Roman"/>
          <w:sz w:val="18"/>
          <w:szCs w:val="18"/>
          <w:color w:val="auto"/>
        </w:rPr>
        <w:t>Event Management uses AIOps to intelligently aggregate and consolidate alerts into one consistent view to help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centralized operations teams discover and resolve issues faster. Event Management helps teams paint a complete picture of incidents and their underlying causes by reducing noise and enriching events with observability context.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sales team is segmented into four revenue-generating areas: an enterprise sales team that sells to large businesses; a high velocity inside sales team that is focused on acquiring new customers; a customer success team that handles new customer on-boarding and expansions in existing customers; and a partner team that works with resellers, system integrators, referral partners and managed service providers. Each of these teams is further split regionally for geographic coverage across the Americas, Asia-Pacific, or APAC, and Europe, the Middle East and Africa, or EMEA, regions. The sales teams work with marketing to actively pursue leads generated from marketing programs and help take prospective customers through an evaluation and purchase process.</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 marketing, events, digital advertising, social media, public relations, partner marketing and community initiatives. We offer prospective customers free trials to help them understand the power of our platform. We also host and present at regional, national, global and virtual events to engage both customers and prospects, deliver product training, share best practices and foster community.</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3,000 employees in our sales and marketing organization, including sales development, field sales, sales engineering, technical solutions, business development, sales operations, sales strategy, customer success and marketing personnel. We intend to continue to invest in our sales and marketing capabilities to capitalize on our market opportunity.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research and development investments seek to drive core technology innovation and bring new products to market. Research and development employees are located primarily in our New York and Paris offices, as well as remotely distributed.</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research and development team consists of our software engineering, product management, development and site reliability engineering teams. As of December 31, 2024, we had approximately 3,100 employees in our research and development organization. We intend to continue to invest in our research and development capabilities to extend our platform and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worldwide monitoring and analytics market is and has been highly competitive for decades and is rapidly evolving. We compete on the basis of a number of factors, including:</w:t>
      </w:r>
    </w:p>
    <w:p>
      <w:pPr>
        <w:spacing w:after="0" w:line="54" w:lineRule="exact"/>
        <w:rPr>
          <w:sz w:val="20"/>
          <w:szCs w:val="20"/>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different vendors:</w:t>
      </w:r>
    </w:p>
    <w:p>
      <w:pPr>
        <w:spacing w:after="0" w:line="54" w:lineRule="exact"/>
        <w:rPr>
          <w:sz w:val="20"/>
          <w:szCs w:val="20"/>
          <w:color w:val="auto"/>
        </w:rPr>
      </w:pPr>
    </w:p>
    <w:p>
      <w:pPr>
        <w:ind w:left="1460" w:hanging="480"/>
        <w:spacing w:after="0" w:line="282" w:lineRule="auto"/>
        <w:tabs>
          <w:tab w:leader="none" w:pos="1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on-premise infrastructure monitoring, we compete with diversified technology companies and systems management vendors including IBM, Microsoft Corporation, and SolarWinds Corporation.</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APM, we compete with Cisco Systems, Inc., New Relic, Inc. and Dynatrace Software Inc.</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Log Management, we compete with Cisco Systems, Inc., and Elastic N.V.</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Cloud monitoring, we compete with native solutions from cloud providers such as Amazon Web Services, or AWS, Microsoft Azure, and Google Cloud Platform, or GCP.</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6,500 employees operating across 33 countries. Approximately 41% of our full-time employees as of that date were located outside of the United States, 35% of whom were located in France. 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including our proprietary technology, software, know-how and brand. We use open source software in our services. Our API libraries and agent used by customers to send data to our proprietary platform are licensed by us on an open source basis.</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As of December 31, 2024, we own forty-two patents globally, nine patent applications pending for examination in the United States, three pending PCT applications, and four pending foreign patent applications. The pending U.S. patent applications, if issued, would be scheduled to expire between 2039 and 2043. Despite our pending patent applications, there can be no assurance that our patent applications will result in issued patents. As of December 31, 2024, we own nine registered trademarks in the United States and one hundred twenty-four registered trademarks in various non-U.S. jurisdictions. However, as we have expanded internationally, we have been unable to register or obtain the exclusive right to use the Datadog trademark in certain jurisdictions, and as we continue to expand may face similar issues in other jurisdictions.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proprietary platform are more essential to establishing and maintaining our technology leadership position.</w:t>
      </w:r>
    </w:p>
    <w:p>
      <w:pPr>
        <w:spacing w:after="0" w:line="18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 control and monitor access to our software, internal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www.investors.datadoghq.com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fluctuating inflation and interest rates, international trade relations, political turmoil, natural catastrophes, outbreaks of contagious diseases, warfare and terrorist attacks on the United States, Europe, the Asia Pacific region or elsewhere, such as the war in Ukraine and conflicts in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The war in Ukraine, conflicts in the Middle East and related political and economic responses such as sanctions imposed on Russia,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revenue was $2,684.3 million, $2,128.4 million and $1,675.1 million for the years ended December 31, 2024, 2023 and 2022,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Additional factors that may impact the growth of our revenue are described under Part I — Item 1. Business in this Annual Report on Form 10-K.</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Additionally, we may encounter unforeseen operating expenses, difficulties, complications, delays, and other unknown factors that may result in losses in future periods. In future periods if our revenue growth does not meet our expectations or increase at a rate sufficient to offset the expected increase in our costs, our business, financial position and results of operations may be harmed, and we may not maintain profitability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43" w:lineRule="exact"/>
        <w:rPr>
          <w:sz w:val="20"/>
          <w:szCs w:val="20"/>
          <w:color w:val="auto"/>
        </w:rPr>
      </w:pPr>
    </w:p>
    <w:p>
      <w:pPr>
        <w:jc w:val="both"/>
        <w:ind w:firstLine="972"/>
        <w:spacing w:after="0" w:line="236" w:lineRule="auto"/>
        <w:rPr>
          <w:sz w:val="20"/>
          <w:szCs w:val="20"/>
          <w:color w:val="auto"/>
        </w:rPr>
      </w:pPr>
      <w:r>
        <w:rPr>
          <w:rFonts w:ascii="Times New Roman" w:cs="Times New Roman" w:eastAsia="Times New Roman" w:hAnsi="Times New Roman"/>
          <w:sz w:val="18"/>
          <w:szCs w:val="18"/>
          <w:color w:val="auto"/>
        </w:rPr>
        <w:t>Prior to the year ended December 31, 2023, we incurred net losses in each fiscal year since our inception, including a net loss of $(50.2) million in the year ended December 31, 2022.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See also "Risks Related to Our Outstanding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Certain customers and cohorts of customers in specific industries have or in the future may increase usage of our product and then seek to optimize their usage, renew their subscriptions on terms less favorable to us, or not renew their subscriptions, which may result in revenue volatility. For example, in prior periods customers in our cloud-native cohort, and more recently larger customers in our AI-native cohort, which cohort represented approximately five percentage points of our year-over-year revenue growth for the quarter ended December 31, 2024, have rapidly increased their usage of our product and then optimized or may in the future optimize their usage. If our customers do not purchase additional subscriptions and products from us, fail to renew their subscriptions or renew on different terms, our revenue may decline and our business, financial condition and results of operations may be harmed.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products. As a result of these and other factors, we may be unable to attract new customers, which may have an adverse effect on our business, financial condition and results of operations.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2" w:lineRule="exact"/>
        <w:rPr>
          <w:sz w:val="20"/>
          <w:szCs w:val="20"/>
          <w:color w:val="auto"/>
        </w:rPr>
      </w:pPr>
    </w:p>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20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confidential, and proprietary information and other information (collectively, sensitive information) necessary to provide our services, to operate our business, for legal and marketing purposes, and for other business-related purposes.</w:t>
      </w:r>
    </w:p>
    <w:p>
      <w:pPr>
        <w:spacing w:after="0" w:line="16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the third-parties with whom we work,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including without limitation nation-state actors, seeking to gain unauthorized access to and exfiltrate our or our customers’ data, including confidential and personal information, or to disrupt our ability to provide our services. In addition, many of our employees work remotely and utilize network connections, computers and devices outside our premises or network, which may pose additional data security risks (including, for example, the increasing number of phishing and malicious emails we continue to receive). The reliability and continuous availability of our platform is critical to our success.</w:t>
      </w:r>
    </w:p>
    <w:p>
      <w:pPr>
        <w:spacing w:after="0" w:line="188"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use third-parties, including sub-processors, to help us deliver services to our customers. These vendors, such as cloud infrastructure providers, store or process personal and confidential information for us or our customers. We use third-party technology, systems and services in a variety of contexts, including, without limitation, cloud infrastructure, encryption and authentication technology, employee email, content delivery to customers, back-office support, credit card processing and other functions. While we have taken steps designed to protect the confidential and personal information that we have access to, our security measures or those of the third-parties with whom we work that store or otherwise process certain of our and our customers’ data on our behalf could be breached or we could suffer a loss of our or our customers’ data. Our ability to monitor these third-parties’ data security is limited, and they may not have adequate information security measures in place. Cyber-attacks, computer malware, viruses, employee mistakes or malfeasance, social engineering (including through deep fakes and spear phishing), malicious code, denial-of-service attacks, credential harvesting and general hacking have become more prevalent in our industry, particularly against cloud services, and have become enhanced or facilitated by artificial intelligence. Ransomware attacks, including those from organized criminal threat actors, nation-states and nation-state supported actors, are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the third-parties with whom we work have implemented will be effective against current or future security threats. While we have developed systems and processes designed to protect the integrity, confidentiality, and security of our and our customers’ data, our security measures or those of the third-parties with whom we work could fail and result in unauthorized access to or disclosure, modification, misuse, loss or destruction of such data.</w:t>
      </w:r>
    </w:p>
    <w:p>
      <w:pPr>
        <w:spacing w:after="0" w:line="18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Our remediation efforts may not be successful. We employ a shared responsibility model where our customers are responsible for using, configuring, and otherwise implementing security measures related to our platform, services, and products. As part of this shared responsibility security model, we make certain security features available to our customers that can be implemented at our customers’ discretion, or identify security areas or measures for which our customers are responsible. In certain cases our customers may choose not to implement, or may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business may be adversely impacted.</w:t>
      </w:r>
    </w:p>
    <w:p>
      <w:pPr>
        <w:spacing w:after="0" w:line="188"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includes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203" w:lineRule="exact"/>
        <w:rPr>
          <w:sz w:val="20"/>
          <w:szCs w:val="20"/>
          <w:color w:val="auto"/>
        </w:rPr>
      </w:pPr>
    </w:p>
    <w:p>
      <w:pPr>
        <w:jc w:val="both"/>
        <w:ind w:firstLine="972"/>
        <w:spacing w:after="0" w:line="245"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however, detect and remediate all such vulnerabilities on a timely basis. Among other things, our applications, systems, networks, software, other computer assets and physical facilities could be breached or could otherwise malfunction or fail, or the sensitive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81"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or we may voluntarily choose,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and our representations require us to implement and maintain industry-standard or reasonable measures to safeguard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our contracts may not contain limitations of liability, and even where they do, there can be no assurance that any limitations of liability would be enforceable or adequate or would otherwise protect us from liabilities or damages.</w:t>
      </w:r>
    </w:p>
    <w:p>
      <w:pPr>
        <w:spacing w:after="0" w:line="21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could be required to fundamentally change our business activities and practices in response to a security breach or related regulatory actions or litigation, which could have an adverse effect on our business.</w:t>
      </w:r>
    </w:p>
    <w:p>
      <w:pPr>
        <w:spacing w:after="0" w:line="203" w:lineRule="exact"/>
        <w:rPr>
          <w:sz w:val="20"/>
          <w:szCs w:val="20"/>
          <w:color w:val="auto"/>
        </w:rPr>
      </w:pPr>
    </w:p>
    <w:p>
      <w:pPr>
        <w:jc w:val="both"/>
        <w:ind w:firstLine="972"/>
        <w:spacing w:after="0" w:line="242"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or sufficient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sensitive information.</w:t>
      </w:r>
    </w:p>
    <w:p>
      <w:pPr>
        <w:spacing w:after="0" w:line="1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Our systems could also be negatively affected by vulnerabilities present in acquired or integrated entities’ systems and technologies, and such vulnerabilities may not be discovered during our due diligence.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200" w:lineRule="exact"/>
        <w:rPr>
          <w:sz w:val="20"/>
          <w:szCs w:val="20"/>
          <w:color w:val="auto"/>
        </w:rPr>
      </w:pPr>
    </w:p>
    <w:p>
      <w:pPr>
        <w:spacing w:after="0" w:line="2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7"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5540" w:right="4960" w:hanging="4560"/>
        <w:spacing w:after="0" w:line="616" w:lineRule="auto"/>
        <w:tabs>
          <w:tab w:leader="none" w:pos="14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demand for or pricing of our platform and products;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1" w:name="page22"/>
    <w:bookmarkEnd w:id="21"/>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war in Ukraine and conflicts in the Middle East;</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16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fluctuating inflation and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 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9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analysts who follow our stock, the price of our Class A common stock could decline substantially, and we could face costly lawsuits, including securities class action suits.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972"/>
        <w:spacing w:after="0" w:line="273" w:lineRule="auto"/>
        <w:rPr>
          <w:sz w:val="20"/>
          <w:szCs w:val="20"/>
          <w:color w:val="auto"/>
        </w:rPr>
      </w:pPr>
      <w:r>
        <w:rPr>
          <w:rFonts w:ascii="Times New Roman" w:cs="Times New Roman" w:eastAsia="Times New Roman" w:hAnsi="Times New Roman"/>
          <w:sz w:val="17"/>
          <w:szCs w:val="17"/>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71"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applications,those experienced with artificial intelligence and machine learning,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9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850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Cisco Systems,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88"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Several jurisdictions around the globe, including Europe and certain U.S. states, have proposed, enacted, or are considering laws governing the development and use of AI and machine learning technologies. For example, the European Union's Artificial Intelligence Act, which would apply beyond the European Union’s borders, came into effect in August 2024. It contains numerous requirements regarding the development and use of AI and imposes significant monetary fines. In addition, the Federal Trade Commission has required other companies to disgorge valuable insights or trainings generated through the use of AI or machine learning technologies where they allege the company has violated privacy and consumer protection laws.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third-parties with whom we work are subject to stringent and changing laws, regulations, standards, and contractual obligations related to data privacy and security. Actual or perceived failure by us or the third-parties with whom we work providers to comply with such laws, regulations, standards, or contractual obligations could harm our business.</w:t>
      </w:r>
    </w:p>
    <w:p>
      <w:pPr>
        <w:spacing w:after="0" w:line="17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sensitive information that we and the third-parties with whom we work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203" w:lineRule="exact"/>
        <w:rPr>
          <w:sz w:val="20"/>
          <w:szCs w:val="20"/>
          <w:color w:val="auto"/>
        </w:rPr>
      </w:pPr>
    </w:p>
    <w:p>
      <w:pPr>
        <w:jc w:val="both"/>
        <w:ind w:firstLine="972"/>
        <w:spacing w:after="0" w:line="245"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the third-parties with whom we work, or our customers must comply. For example, the European Union's General Data Protection Regulation, or EU GDPR, and the United Kingdom's General Data Protection Regulation, or UK GDPR, contain numerous requirements and changes from previously existing law, including more robust obligations on data processors and heavier documentation requirements for data protection compliance programs by companies and data protection authorities. Under both the EU GDPR and UK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1" w:lineRule="exact"/>
        <w:rPr>
          <w:sz w:val="20"/>
          <w:szCs w:val="20"/>
          <w:color w:val="auto"/>
        </w:rPr>
      </w:pPr>
    </w:p>
    <w:p>
      <w:pPr>
        <w:jc w:val="both"/>
        <w:ind w:firstLine="972"/>
        <w:spacing w:after="0" w:line="245" w:lineRule="auto"/>
        <w:rPr>
          <w:sz w:val="20"/>
          <w:szCs w:val="20"/>
          <w:color w:val="auto"/>
        </w:rPr>
      </w:pPr>
      <w:r>
        <w:rPr>
          <w:rFonts w:ascii="Times New Roman" w:cs="Times New Roman" w:eastAsia="Times New Roman" w:hAnsi="Times New Roman"/>
          <w:sz w:val="18"/>
          <w:szCs w:val="18"/>
          <w:color w:val="auto"/>
        </w:rPr>
        <w:t>In addition, Europe and other jurisdictions have enacted data localization laws and cross-border personal data transfer laws.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95" w:lineRule="exact"/>
        <w:rPr>
          <w:sz w:val="20"/>
          <w:szCs w:val="20"/>
          <w:color w:val="auto"/>
        </w:rPr>
      </w:pPr>
    </w:p>
    <w:p>
      <w:pPr>
        <w:jc w:val="both"/>
        <w:ind w:firstLine="972"/>
        <w:spacing w:after="0" w:line="246"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Canada introduced the Digital Charter Implementation Act and India enacted the Information Technology Act.</w:t>
      </w:r>
    </w:p>
    <w:p>
      <w:pPr>
        <w:spacing w:after="0" w:line="181" w:lineRule="exact"/>
        <w:rPr>
          <w:sz w:val="20"/>
          <w:szCs w:val="20"/>
          <w:color w:val="auto"/>
        </w:rPr>
      </w:pPr>
    </w:p>
    <w:p>
      <w:pPr>
        <w:jc w:val="both"/>
        <w:ind w:firstLine="972"/>
        <w:spacing w:after="0" w:line="245"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200" w:lineRule="exact"/>
        <w:rPr>
          <w:sz w:val="20"/>
          <w:szCs w:val="20"/>
          <w:color w:val="auto"/>
        </w:rPr>
      </w:pPr>
    </w:p>
    <w:p>
      <w:pPr>
        <w:spacing w:after="0" w:line="206" w:lineRule="exact"/>
        <w:rPr>
          <w:sz w:val="20"/>
          <w:szCs w:val="20"/>
          <w:color w:val="auto"/>
        </w:rPr>
      </w:pPr>
    </w:p>
    <w:p>
      <w:pPr>
        <w:jc w:val="both"/>
        <w:ind w:firstLine="972"/>
        <w:spacing w:after="0" w:line="242"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and have issued significant fines when consent was not obtained.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201" w:lineRule="exact"/>
        <w:rPr>
          <w:sz w:val="20"/>
          <w:szCs w:val="20"/>
          <w:color w:val="auto"/>
        </w:rPr>
      </w:pPr>
    </w:p>
    <w:p>
      <w:pPr>
        <w:jc w:val="both"/>
        <w:ind w:firstLine="972"/>
        <w:spacing w:after="0"/>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originating from the EEA, we may find it necessary to establish additional systems and processes to maintain such data in the EEA, which may involve substantial expense and distraction from other aspects of our business.</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personal information, provide additional penalties for CPRA violations concerning California residents under the age of 16, and establish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spacing w:after="0" w:line="194"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ind w:firstLine="972"/>
        <w:spacing w:after="0" w:line="272" w:lineRule="auto"/>
        <w:rPr>
          <w:sz w:val="20"/>
          <w:szCs w:val="20"/>
          <w:color w:val="auto"/>
        </w:rPr>
      </w:pPr>
      <w:r>
        <w:rPr>
          <w:rFonts w:ascii="Times New Roman" w:cs="Times New Roman" w:eastAsia="Times New Roman" w:hAnsi="Times New Roman"/>
          <w:sz w:val="17"/>
          <w:szCs w:val="17"/>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 portion of our sales are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 Europe and elsewhere may lead to significant compliance costs, may heighten scrutiny of our ESG practices and may require us to change our current practices.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of December 31, 2024, we have approximately $263.0 million of net operating loss carryforwards, or NOLs, for state income tax purposes, which begin to expire in 2028 if not utilized. We have fully utilized all of our existing NOLs for federal income tax purposes, other than certain NOLs of entities that we have acquired, which are subject to annual limitation under Section 382 of the Internal Revenue Code of 1986, as amended, or the Code, as discussed below. We are evaluating the impact of any Section 382 limitation on our utilization of these acquired NOLs.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a particular taxable year is limited to 80% of taxable income in such year. A lack of future taxable income would adversely affect our ability to utilize portions of these NOLs before they expire.</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(as defined under Section 382 of the Code and applicable Treasury Regulations) is subject to limitations on its ability to utilize its pre-change NOLs and tax credits to offset post-change taxable income or taxes. Our ability to utilize NOLs and tax credits of companies that we have acquired or may acquire in the future may be subject to limitations. Furthermore, if we generate NOLs in the future, and we experience a future ownership change under Section 382 of the Code, our ability to utilize our NOLs and tax credits to offset our income may be subject to limitation. There is also a risk that due to regulatory changes, such as suspensions on the use of NOLs or other unforeseen reasons, our future NOLs or the NOLs of companies that we have acquired or may acquire in the future could expire or otherwise be unavailable to reduce future income tax liabilities, including for state tax purposes. For these reasons, we may not be able to utilize NOLs and tax credits that are or may in the future be reflected on our balance sheets, even if we attain profitability, which could potentially result in increased future tax liability to us and could adversely affect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1460" w:right="2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to IRC Section 174 under the U.S. Tax Cuts and Jobs Act and the Inflation Reduction Act;</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substantiate and utilize research and development tax credits to offset our future tax liabilities, taking into account any limitations under Section 382;</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2023. There is no material impact on our financial statements for the tax period ending December 31, 2024.</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significant effect on our reported results of operations and could affect the reporting of transactions already completed before the announcement of a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16" w:lineRule="exact"/>
        <w:rPr>
          <w:sz w:val="20"/>
          <w:szCs w:val="20"/>
          <w:color w:val="auto"/>
        </w:rPr>
      </w:pPr>
    </w:p>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1"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83" w:lineRule="exact"/>
        <w:rPr>
          <w:sz w:val="20"/>
          <w:szCs w:val="20"/>
          <w:color w:val="auto"/>
        </w:rPr>
      </w:pPr>
    </w:p>
    <w:p>
      <w:pPr>
        <w:ind w:left="1460" w:hanging="480"/>
        <w:spacing w:after="0" w:line="282" w:lineRule="auto"/>
        <w:tabs>
          <w:tab w:leader="none" w:pos="1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5" w:name="page36"/>
    <w:bookmarkEnd w:id="35"/>
    <w:p>
      <w:pPr>
        <w:jc w:val="both"/>
        <w:spacing w:after="0" w:line="252" w:lineRule="auto"/>
        <w:rPr>
          <w:sz w:val="20"/>
          <w:szCs w:val="20"/>
          <w:color w:val="auto"/>
        </w:rPr>
      </w:pPr>
      <w:r>
        <w:rPr>
          <w:rFonts w:ascii="Times New Roman" w:cs="Times New Roman" w:eastAsia="Times New Roman" w:hAnsi="Times New Roman"/>
          <w:sz w:val="18"/>
          <w:szCs w:val="18"/>
          <w:color w:val="auto"/>
        </w:rPr>
        <w:t>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30% for the year ended December 31, 2024.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December 31, 2024, approximately 41% of our full-time employees were located outside of the United States, 35%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1460" w:right="420" w:hanging="480"/>
        <w:spacing w:after="0" w:line="266" w:lineRule="auto"/>
        <w:tabs>
          <w:tab w:leader="none" w:pos="14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conflicts in the Middle East;</w:t>
      </w:r>
    </w:p>
    <w:p>
      <w:pPr>
        <w:spacing w:after="0" w:line="117" w:lineRule="exact"/>
        <w:rPr>
          <w:rFonts w:ascii="Times New Roman" w:cs="Times New Roman" w:eastAsia="Times New Roman" w:hAnsi="Times New Roman"/>
          <w:sz w:val="18"/>
          <w:szCs w:val="18"/>
          <w:color w:val="auto"/>
        </w:rPr>
      </w:pPr>
    </w:p>
    <w:p>
      <w:pPr>
        <w:ind w:left="1460" w:right="22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Consequently, our results of operations could be adversely affected by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December 31, 2024, our outstanding shares of Class B common stock represented approximately 44%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In addition,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particularly sales by our directors, executive officers, and significant stockholders,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Class A common stock. For example, if we elect to settle our conversion obligation under our 0.125% Convertible Senior Notes due 2025, or our 2025 Notes, or our 0.00% Convertible Senior Notes due 2029, or the 2029 Notes and together with the 2025 Notes, the Notes, in each case,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our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issued the 2025 Notes and the 2029 Notes in private placements in June 2020 and December 2024, respectively. We may be required to use a substantial portion of our cash flows from operations to pay interest and principal on our indebtedness.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indentures governing the Notes, from incurring additional debt, securing existing or future debt, recapitalizing our debt, repurchasing our stock, pledging our assets, making investments, paying dividends, guaranteeing debt or taking a number of other actions that are not limited by the terms of the indentures governing the Notes that could have the effect of diminishing our ability to make payments on the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may adversely affect our financial condition and operating results.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Each series of Notes is convertible at the option of its holders prior to their scheduled maturity in the event one or more of the conditional conversion features of such series of Notes are triggered. Based on the last reported sale prices of our Class A common stock during the quarter ended December 31, 2024, holders of the 2025 Notes are entitled to convert the 2025 Notes during the first quarter of 2025.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which could adversely affect our liquidity. In addition, even if holders do not elect to convert their Notes, we could be required under applicable accounting rules to reclassify the outstanding principal of the applicable series of Notes as a current rather than long-term liability, which would result in a material reduction of our net working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Notes and the market price of our Class A common stock.</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each series of Notes, we entered into capped call transactions with the applicable option counterparties. The capped call transactions cover, subject to customary adjustments (which, in the case of the capped call transactions entered into in connection with the 2029 Notes, are substantially similar to those applicable to the 2029 Notes), the number of shares of our Class A common stock that initially underlie the applicable series of Notes. The capped call transactions are generally expected to reduce the potential dilution to our Class A common stock upon any conversion of the Notes and/or offset any cash payments we are required to make in excess of the principal amount of converted Notes, as the case may be, with such reduction and/or offset subject to a cap. In connection with establishing their initial hedges of the capped call transactions, the applicable option counterparties or their respective affiliates entered into various derivative transactions with respect to our Class A common stock and/or purchased shares of our Class A common stock concurrently with or shortly after the pricing of the applicable series of Notes, including with certain investors in the applicable series of Notes.</w:t>
      </w:r>
    </w:p>
    <w:p>
      <w:pPr>
        <w:spacing w:after="0" w:line="188"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applicable series of Notes and prior to the maturity of the applicable series of Notes. They are likely to do so during any observation period related to a conversion of each series of Notes, or, to the extent we exercise the relevant election under the capped call transactions following any repurchase or redemption of the Notes. This activity could also cause or avoid an increase or decrease in the market price of our Class A common stock or the trading price of the Notes. The potential effect, if any, of these transactions and activities on the market price of our Class A common stock or the trading price of the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option counterparties to the capped call transactions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with an increase in the market price and in the volatility of our Class A common stock. In addition, upon a default by an option counterparty, we may suffer more dilution, the effect of which would not be compensated for, than we currently anticipate with respect to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utilize various processes and tools to assess, identify, and manage risks from cybersecurity threats. In the development of our products and features, our security teams work with our engineering and product teams to identify, assess, and agree upon mitigation or remediation measures with respect to product development. On an ongoing basis, we encourage an environment of openness in which our engineering and product teams, led by our security teams, proactively identify, manage and discuss actual or perceived cybersecurity risks. These teams also use automated and manual processes to identify and track risks from cybersecurity threats. The identified risks are triaged, prioritized for remediation, and reported by the security teams to various levels of our senior management, as appropriate. We also deploy technical safeguards that are designed to protect our platform and systems from cybersecurity threats, including firewalls, intrusion prevention, and detection systems. We have established an incident response plan that addresses our response to cybersecurity incidents, and we require periodic training for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on cybersecurity threats. In addition, we maintain cybersecurity insurance, however, the costs related to cybersecurity threats or disruptions may not be fully insured.</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addition, we maintain third-party vendor management standards that are used to evaluate cybersecurity risks associated with our third-party service providers, and we assess information technology and software vendors to determine their security posture and maturity. All vendors that process our data or access our systems go through a security and privacy review before they are engaged that is targeted to the services to be provided and the systems and data involved. Based on the information provided by the vendor and depending on the nature of the services provided, our vendor management process may involve security questionnaires and contractual obligations such as audit rights and breach reporting.</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also periodically perform various types of security audits and assessments, including penetration tests, via internal and external parties. In addition, certain Datadog products are subject to specific compliance requirements and standards, including, as applicable, ISO 27001, SOC 2, PCI, and FedRAMP (Low and Moderate), and are tested and evaluated by third-party auditors against those applicable compliance requirements and standards. The identified risks from such audits and assessments are triaged, prioritized, reported by our security teams to various levels of our senior management and tracked and remediated depending on the severity.</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internal audit function conducts annual interviews across business groups to identify key areas of risk, including cybersecurity risk. This enterprise risk assessment helps inform the internal audit plan, and both the assessment and progress against the internal audit plan are periodically presented to the Audit Committee. Our Chief Information Security Officer also reports separately to our Audit Committee on cyber and information security risk on a quarterly basis.</w:t>
      </w:r>
    </w:p>
    <w:p>
      <w:pPr>
        <w:spacing w:after="0" w:line="18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previously and may in the future become the target of cyber-attacks by third parties seeking unauthorized access to our or our customers’ data or to disrupt our ability to provide our services. As a result, we have expended and plan to continue to expend significant resources in an effort to protect against security incidents and to mitigate, detect, and remediate actual and potential vulnerabilities. Notwithstanding the measures and processes we take to manage cybersecurity risk, there is no guarantee that these measures and processes will be successful in preventing or mitigating a cybersecurity incident that could have a material adverse effect on us. For a description of the risks from cybersecurity threats that may materially affect the Company and how those risks may affect the Company, see our risk factors under Part 1. Item 1A. Risk Factors in this Annual Report on Form 10-K, including without limitation “Strategic and Operational Risks—If we or the third 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its oversight of risks associated with cybersecurity to its Audit Committee. Generally, each quarter, the Audit Committee reviews and discusses with our Chief Information Security Officer material cybersecurity risks and our processes for assessing, identifying, and managing such risks, and the Audit Committee will receive updates as necessary between each quarterly meeting. In the event of a material cybersecurity incident, the Audit Committee will be notified, and the Board of Directors will also receive updates on cybersecurity risks and incidents, as appropriate.</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Chief Information Security Officer and Chief Technology Officer are the members of our executive team who are principally responsible for overseeing our cybersecurity risk management program. Our Chief Information Security Officer and Chief Technology Officer are informed about cybersecurity threats through their involvement with the processes set forth above. For example, our Chief Information Security Officer receives regular reports on identified cybersecurity risks and progress toward remediation from our security teams and both our Chief Information Security Officer and Chief Technology Officer are notified of cybersecurity incidents and the management of such incidents in accordance with the escalation procedures of our incident response plan.</w:t>
      </w:r>
    </w:p>
    <w:p>
      <w:pPr>
        <w:spacing w:after="0" w:line="187"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We believe these members of our executive team have the appropriate expertise, background, and experience to manage risks arising from cybersecurity threats. Alexis Lê-Quôc is one of the co-founders of our company and has served as our Chief Technology Officer and a member of our board of directors since June 2010. Mr. Lê-Quôc has extensive knowledge and experience from building and leading the development of our technology and from his decades of experience in the technology industry. Prior to co-founding Datadog, Mr. Lê-Quôc worked at Wireless Generation from March 2004 to December 2010, where he most recently served as Director of Live Operations. Previously, Mr. Lê-Quôc held engineering positions at a number of technology and software companies, including IBM Research and France Télécom S.A. Mr. Lê-Quôc received his M.S. in Computer Science from CentraleSupélec. Emilio Escobar has served as our Chief Information Security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Officer since September 2020. With two decades of experience in information security and compliance, Mr. Escobar has worked at large enterprises, medium-sized companies, and governmental organizations. Previously, Mr. Escobar served as the Vice President of Information Security for Hulu, where he played a pivotal role in setting up key security functions. Prior to that, Mr. Escobar worked for PlayStation, where he built and ran the software security teams. Mr. Escobar holds a BS in Computer Science from the University of Puerto Rico.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Our current principal executive office is located in New York, New York and, as of December 31, 2024, it consists of approximately 301,000 square feet of space under leases that expire in June 2033.</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We lease other offices around the world for our employees, including in Boston, Denver, San Francisco, Paris, Dublin, Amsterdam, Sydney, Tokyo, and Singapore.</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or Nasdaq, under the symbol “DDOG”. Our Class B common stock is not listed or traded on any exchange, but each share of Class B common stock is convertible at any time at the option of the holder into one share of Class A common stock, and is automatically converted upon sale or transfer into one share of Class A common stock.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February 6, 2025, there were 41 holders of record of our Class A common stock and 24 holders of record of our Class B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Class A common stock or Class B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issued 40,577 shares of Class A common stock as consideration in acquisitions. The issuance was deemed exempt from registration under the Securities Act pursuant to the exemption provided by Section 4(a)(2) of the Securities Act as a transaction by an issuer not involving a public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The graph below shows a comparison, from September 19, 2019 (the date our Class A common stock commenced trading on Nasdaq) through December 31, 2024, of the cumulative total return to stockholders of our Class A common stock relative to the Nasdaq-100 Index, or the Nasdaq 100, and the Nasdaq Computer Index, or the Nasdaq Computer.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graph assumes that $100 was invested in each of our Class A common stock, the Nasdaq 100 and the Nasdaq Computer at their respective closing prices on September 19, 2019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123190</wp:posOffset>
            </wp:positionV>
            <wp:extent cx="5246370" cy="2768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4637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Datadog, Inc. under the Securities Act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“Part I, Item 1A. Risk Factors” in this Annual Report on Form 10-K for a discussion of important factors that could cause our actual results to differ materially from those anticipated in these forward-looking statements.</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of our Annual Report on Form 10-K discusses our financial condition and results of operations for the fiscal years ended December 31, 2024 and 2023, and year-to-year comparisons between fiscal 2024 and fiscal 2023. A discussion of our financial condition and results of operations for the fiscal year ended December 31, 2022 and year-to-year comparisons between fiscal 2023 and fiscal 2022 that are not included in this Annual Report on Form 10-K can be found in “Management’s Discussion and Analysis of Financial Condition and Results of Operations” in Part II, Item 7 of our Annual Report on Form 10-K for the fiscal year ended December 31, 2023, filed on February 24,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of December 31, 2024, we had $1,247.0 million in cash and cash equivalents and $2,942.1 million in marketable securities. We have grown rapidly in recent periods, with revenues for the fiscal years ended December 31, 2024, 2023 and 2022 of $2,684.3 million, $2,128.4 million, and $1,675.1 million, respectively, representing year-over-year growth of 26% from the fiscal year ended December 31, 2023 to the fiscal year ended December 31, 2024 and 27% from the fiscal year ended December 31, 2022 to the fiscal year ended December 31, 2023. Substantially all of our revenue is from subscription software sales. We have continued to make significant expenditures and investments, including in personnel-related costs, sales and marketing, infrastructure and operations, and have incurred net income (losses) of $183.7 million, $48.6 million and $(50.2) million for the fiscal years ended December 31, 2024, 2023 and 2022, respectively. Our operating cash flow was $870.6 million, $660.0 million and $418.4 million for the years ended December 31, 2024, 2023 and 2022, respectively. Our free cash flow was $775.1 million, $597.5 million and $353.5 million for the years ended December 31, 2024, 2023 and 2022, respectively. See the section titled “—Liquidity and Capital Resources—Non-GAAP Free Cash Flow” below.</w:t>
      </w:r>
    </w:p>
    <w:p>
      <w:pPr>
        <w:spacing w:after="0" w:line="188"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fluctuating inflation and interest rates, the Russian invasion of Ukraine, and the conflicts in the Middle East have led to economic uncertainty. Historically, during periods of economic uncertainty and downturns, businesses may slow spending on information technology, which may impact our business and our customers’ businesses.</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In December 2024, we completed a private offering of $1.0 billion aggregate principal amount of the 2029 Notes. The total proceeds from the 2029 Notes offering were approximately $979.1 million, net of $20.9 million of debt issuance costs.</w:t>
      </w:r>
    </w:p>
    <w:p>
      <w:pPr>
        <w:spacing w:after="0" w:line="162"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We used a portion of the net proceeds from the offering (i) to pay the $100.9 million cost of the privately negotiated capped call transactions relating to the 2029 Notes, or the Capped Calls and (ii) to repurchase for $196.8 million in privately negotiated transactions approximately $112.0 million in aggregate principal amount of the 2025 Notes, including accrued and unpaid interest.</w:t>
      </w:r>
    </w:p>
    <w:p>
      <w:pPr>
        <w:spacing w:after="0" w:line="174" w:lineRule="exact"/>
        <w:rPr>
          <w:sz w:val="20"/>
          <w:szCs w:val="20"/>
          <w:color w:val="auto"/>
        </w:rPr>
      </w:pPr>
    </w:p>
    <w:p>
      <w:pPr>
        <w:jc w:val="both"/>
        <w:ind w:right="20" w:firstLine="972"/>
        <w:spacing w:after="0" w:line="284"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our consolidated financial statements included elsewhere in this Annual Report on Form 10-K for further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awareness within the development and operations communities. As of December 31, 2024, we had approximately 30,000 customers spanning organizations of a broad range of sizes and industries, compared to approximately 27,300 as of December 31, 2023. Our ability to attract new customers will depend on a number of factors, including the effectiveness and pricing of our products, offerings of our competitors, and the effectiveness of our marketing efforts.</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December 31, 2024, we had approximately 3,610 customers with annual run-rate revenue, or ARR, of $100,000 or more, representing 88% of our ARR, up from 3,190 as of December 31, 2023, representing 86% of our ARR. As of December 31, 2024, we had approximately 462 customers with annual run-rate revenue, or ARR, of $1.0 million or more, up from 396 as of December 31, 2023.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w:t>
      </w:r>
    </w:p>
    <w:p>
      <w:pPr>
        <w:spacing w:after="0" w:line="5" w:lineRule="exact"/>
        <w:rPr>
          <w:sz w:val="20"/>
          <w:szCs w:val="20"/>
          <w:color w:val="auto"/>
        </w:rPr>
      </w:pPr>
    </w:p>
    <w:p>
      <w:pPr>
        <w:jc w:val="both"/>
        <w:ind w:firstLine="8"/>
        <w:spacing w:after="0" w:line="253" w:lineRule="auto"/>
        <w:tabs>
          <w:tab w:leader="none" w:pos="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December 31, 2024, our trailing 12-month dollar-based net retention rate was high-110%'s. As of December 31, 2023, our trailing 12-month dollar-based net retention rate was mid-110%'s. The increase in our trailing 12-month dollar-based net retention rate was attributable to increased usage growth from existing customers.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spacing w:after="0" w:line="188"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 As of each of the years ended December 31, 2024 and 2023, approximately 83% of our customers were using more than one product. Additionally, as of December 31, 2024, approximately 50% of our customers were using more than four products, up from approximately 47% a year earlier, and approximately 26% of our customers were using more than six products, up from approximately 22% a year earlier. We believe these metrics indicate strong expansion of product adoption across our platform.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30% of our total revenue for each of the years ended December 31, 2024 and 2023.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Usage is measured primarily by the number of hosts or by the volume of data indexed. A host is generally defined as a server, either in the cloud or on-premise. Our infrastructure monitoring, APM and network performance monitoring products are priced per host, our logs product is priced primarily per log events indexed and secondarily by events ingested. Customers also have the option to purchase additional products, such as additional container or serverless monitoring, custom metrics packages, anomaly detection, synthetic monitoring and app analytics.</w:t>
      </w:r>
    </w:p>
    <w:p>
      <w:pPr>
        <w:spacing w:after="0" w:line="18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platform and products. The level, timing and relative investment in our infrastructure could affect our cost of revenue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w:t>
      </w:r>
      <w:r>
        <w:rPr>
          <w:rFonts w:ascii="Times New Roman" w:cs="Times New Roman" w:eastAsia="Times New Roman" w:hAnsi="Times New Roman"/>
          <w:sz w:val="18"/>
          <w:szCs w:val="18"/>
          <w:color w:val="231F20"/>
        </w:rPr>
        <w:t>, with the exception of certain software development costs which are eligible for capitalization</w:t>
      </w:r>
      <w:r>
        <w:rPr>
          <w:rFonts w:ascii="Times New Roman" w:cs="Times New Roman" w:eastAsia="Times New Roman" w:hAnsi="Times New Roman"/>
          <w:sz w:val="18"/>
          <w:szCs w:val="18"/>
          <w:color w:val="auto"/>
        </w:rPr>
        <w:t>. We expect that our research and development expense will increase in absolute dollars as our business grows, particularly as we incur additional costs related to continued investments in our platform.</w:t>
      </w:r>
    </w:p>
    <w:p>
      <w:pPr>
        <w:spacing w:after="0" w:line="18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for finance, legal, human resources, and other administrative functions. In addition, general and administrative expense includes non-personnel costs, such as legal, accounting and other professional fees, hardware and software costs, certain tax, license and insurance-related expenses and allocated overhead costs. We expect that our general and administrative expense will increase in absolute dollars as our business grows.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Other income (loss), net consists of interest income, primarily due to income earned on money market funds included in cash and cash equivalents and on marketable securities, partially offset by interest expense due on the Notes and amortization of premiums on our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1,675,100</w:t>
            </w:r>
          </w:p>
        </w:tc>
      </w:tr>
      <w:tr>
        <w:trPr>
          <w:trHeight w:val="243"/>
        </w:trPr>
        <w:tc>
          <w:tcPr>
            <w:tcW w:w="67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(1)(2)(3)</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515,531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346,743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1,328,357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(1)(3)</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752,351</w:t>
            </w:r>
          </w:p>
        </w:tc>
      </w:tr>
      <w:tr>
        <w:trPr>
          <w:trHeight w:val="243"/>
        </w:trPr>
        <w:tc>
          <w:tcPr>
            <w:tcW w:w="67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(1)(2)(3)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495,288</w:t>
            </w: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(1)(3)</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139,413</w:t>
            </w:r>
          </w:p>
        </w:tc>
      </w:tr>
      <w:tr>
        <w:trPr>
          <w:trHeight w:val="223"/>
        </w:trPr>
        <w:tc>
          <w:tcPr>
            <w:tcW w:w="6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2,114,460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1,387,052</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r>
      <w:tr>
        <w:trPr>
          <w:trHeight w:val="243"/>
        </w:trPr>
        <w:tc>
          <w:tcPr>
            <w:tcW w:w="6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w:t>
            </w:r>
          </w:p>
        </w:tc>
      </w:tr>
      <w:tr>
        <w:trPr>
          <w:trHeight w:val="223"/>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(50,160)</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23"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38,472</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00" w:type="dxa"/>
            <w:vAlign w:val="bottom"/>
            <w:gridSpan w:val="2"/>
            <w:vMerge w:val="continue"/>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Includes amortization of acquired intangibles expense as follows: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23" w:lineRule="exact"/>
        <w:rPr>
          <w:sz w:val="20"/>
          <w:szCs w:val="20"/>
          <w:color w:val="auto"/>
        </w:rPr>
      </w:pPr>
    </w:p>
    <w:p>
      <w:pPr>
        <w:ind w:left="640" w:hanging="632"/>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employer payroll taxes on employee stock transactions as follows: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23"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issuance costs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3,388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r>
    </w:tbl>
    <w:p>
      <w:pPr>
        <w:spacing w:after="0" w:line="2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6"/>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60" w:type="dxa"/>
            <w:vAlign w:val="bottom"/>
            <w:gridSpan w:val="9"/>
          </w:tcPr>
          <w:p>
            <w:pPr>
              <w:jc w:val="center"/>
              <w:ind w:left="192"/>
              <w:spacing w:after="0" w:line="196" w:lineRule="exact"/>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shd w:val="clear" w:color="auto" w:fill="CCEEFF"/>
          </w:tcPr>
          <w:p>
            <w:pPr>
              <w:spacing w:after="0"/>
              <w:rPr>
                <w:sz w:val="19"/>
                <w:szCs w:val="19"/>
                <w:color w:val="auto"/>
              </w:rPr>
            </w:pPr>
          </w:p>
        </w:tc>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5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5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Certain items may not total due to rounding.</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2,684,275</w:t>
            </w:r>
          </w:p>
        </w:tc>
        <w:tc>
          <w:tcPr>
            <w:tcW w:w="5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2,128,359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99"/>
              </w:rPr>
              <w:t>50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2" w:name="page53"/>
    <w:bookmarkEnd w:id="52"/>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Revenue increased by $555.9 million or 26%, for the year ended December 31, 2024 compared to the year ended December 31, 2023.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515,531</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409,908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Cost of revenue increased by $105.6 million, or 26%, for the year ended December 31, 2024 compared to the year ended December 31, 2023. This increase was primarily due to an increase of $78.5 million in third-party cloud infrastructure hosting and software costs and an increase of $19.3 million in personnel costs and other related costs as a result of increased headcount.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Our gross margin remained flat for the year ended December 31, 2024 compared to the year ended December 31, 2023, primarily as the result of revenue growing in proportion to the growth of third-party cloud infrastructure provider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1,152,703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962,447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190,256</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$190.3 million, or 20%, for the year ended December 31, 2024 compared to the year ended December 31, 2023. This increase was primarily due to an increase of $158.9 million in personnel costs including allocated overhead costs for our engineering, product and design teams as a result of increased headcount and an increase of $30.4 million in cloud infrastructure-related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756,605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609,276</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147,329</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$147.3 million, or 24%, for the year ended December 31, 2024 compared to the year ended December 31, 2023. This increase was primarily due to an increase of $115.2 million in personnel costs including allocated overhead costs for our sales and marketing organization as a result of increased headcount and increased variable compensation for our sales personnel and an increase of $27.9 million in advertising, sales, marketing and promotional activities.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205,152</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180,192</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$25.0 million, or 14%, for the year ended December 31, 2024 compared to the year ended December 31, 2023. This increase was primarily due to an increase of $24.3 million in personnel costs and other related costs as a result of increased headcount.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149,656</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93,699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Other income, net increased by $56.0 million, or 60% for the year ended December 31, 2024 compared to the year ended December 31, 2023. This increase was primarily driven by an increase of $51.9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years ended December 31, 2024, 2023, and 2022. When assessing sources of liquidity, we also include cash and cash equivalents of $1.2 billion and marketable securities of $2.9 billion as of December 31, 2024.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 Non-cancelable purchase commitments for business operations and operating lease obligations total $1.4 billion and $365.6 million, respectively, as of December 31, 2024, due primarily over the next five years. Purchase commitments for business operations are primarily related to cloud hosting and other software-based services.</w:t>
      </w:r>
    </w:p>
    <w:p>
      <w:pPr>
        <w:spacing w:after="0" w:line="18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also issued long-term debt to finance our business. In June 2020 and December 2024, we issued $747.5 million aggregate principal amount of the 2025 Notes and $1.0 billion aggregate principal amount of the 2029 Notes, respectively, in private placements to qualified institutional buyers pursuant to Rule 144A under the Securities Act. The total net proceeds from the sale of the 2025 Notes and the 2029 Notes, after deducting the initial purchasers’ discounts and debt issuance costs, were approximately $730.2 million and $979.1 million, respectively. The principal and future interest payments related to our 2025 Notes and 2029 Notes are $635.9 million and $1.0 billion, respectively. We used $196.8 million of the net proceeds from the offering of the 2029 Notes to repurchase approximately $112.0 million in aggregate principal amount of the 2025 Notes, including accrued and unpaid interest, in privately negotiated transactions. In connection with the partial retirement of the 2025 Notes, we entered into a termination agreement relating to a number of options corresponding to the number of 2025 Notes retired. We received approximately $54.7 million in connection with such termination agreements. We may from time to time seek to retire or purchase our 2025 Notes or the 2029 Notes, through cash purchases and/or exchanges for equity securities, in open market purchases, privately negotiated transactions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w w:val="99"/>
              </w:rPr>
              <w:t>870,603</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659,954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Pr>
          <w:p>
            <w:pPr>
              <w:spacing w:after="0"/>
              <w:rPr>
                <w:sz w:val="19"/>
                <w:szCs w:val="19"/>
                <w:color w:val="auto"/>
              </w:rPr>
            </w:pPr>
          </w:p>
        </w:tc>
        <w:tc>
          <w:tcPr>
            <w:tcW w:w="1160" w:type="dxa"/>
            <w:vAlign w:val="bottom"/>
          </w:tcPr>
          <w:p>
            <w:pPr>
              <w:jc w:val="center"/>
              <w:ind w:left="199"/>
              <w:spacing w:after="0"/>
              <w:rPr>
                <w:sz w:val="20"/>
                <w:szCs w:val="20"/>
                <w:color w:val="auto"/>
              </w:rPr>
            </w:pPr>
            <w:r>
              <w:rPr>
                <w:rFonts w:ascii="Times New Roman" w:cs="Times New Roman" w:eastAsia="Times New Roman" w:hAnsi="Times New Roman"/>
                <w:sz w:val="18"/>
                <w:szCs w:val="18"/>
                <w:color w:val="auto"/>
              </w:rPr>
              <w:t>(736,840)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(731,365)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w w:val="99"/>
              </w:rPr>
              <w:t>787,083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increased $210.6 million compared to the year ended December 31, 2023, primarily driven by an increase in non-cash charges of $106.8 million, an increase in accrued expenses and other liabilities of $38.9 million, and a decrease in accounts receivable of $17.2 million. The increase in non-cash charges related primarily to an increase of $88.0 million in stock-based compensation as we continued to increase headcount to support the growth of the business. The increase in cash provided by operating activities was partially offset by a decrease in deferred revenue of $33.4 million, a decrease in accounts payable of $32.2 million, and an increase in prepaid expenses and other current assets of $13.1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increased by $5.5 million compared to the year ended December 31, 2023, primarily driven by an increase in the purchases of marketable securities of $95.2 million, a decrease in proceeds from the sale of marketable securities of $36.8 million, an increase in the capitalization of software development costs of $26.0 million, partially offset by an increase in proceeds from maturities of marketable securities of $154.3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increased by $728.8 million compared to the year ended December 31, 2023, primarily due to proceeds from the issuance of the 2029 Notes of $978.9 million and proceeds from the termination of Capped Calls related to the 2025 Notes of $54.7 million. The increase in cash provided by financing activities was partially offset by repayments of the 2025 Notes of $196.8 million and purchases of Capped Calls related to the 2029 Notes of $100.9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To supplement our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the strength of our liquidity and future ability to generate cash that can be used for strategic opportunities or investing in our business. The reduction of capital expenditures and amounts capitalized for software development facilitates comparisons of our liquidity on a period-to-period basis and excludes items that we do not consider to be indicative of our liquidity.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870,603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659,954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418,407</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4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(34,719)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(27,586)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(35,261)</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(60,781)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(34,820)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(29,628)</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775,103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597,548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353,518</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The significant accounting policies and methods used in the preparation of our consolidated financial statements are discussed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to our consolidated financial statements included elsewhere in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generate revenue from the sale of subscriptions to customers using our cloud-based platform. The terms of our subscription agreements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r>
        <w:rPr>
          <w:rFonts w:ascii="Times New Roman" w:cs="Times New Roman" w:eastAsia="Times New Roman" w:hAnsi="Times New Roman"/>
          <w:sz w:val="18"/>
          <w:szCs w:val="18"/>
          <w:color w:val="231F20"/>
        </w:rPr>
        <w: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 xml:space="preserve">We account for revenue contracts with </w:t>
      </w:r>
      <w:r>
        <w:rPr>
          <w:rFonts w:ascii="Times New Roman" w:cs="Times New Roman" w:eastAsia="Times New Roman" w:hAnsi="Times New Roman"/>
          <w:sz w:val="18"/>
          <w:szCs w:val="18"/>
          <w:color w:val="000000"/>
        </w:rPr>
        <w:t>customers</w:t>
      </w:r>
      <w:r>
        <w:rPr>
          <w:rFonts w:ascii="Times New Roman" w:cs="Times New Roman" w:eastAsia="Times New Roman" w:hAnsi="Times New Roman"/>
          <w:sz w:val="18"/>
          <w:szCs w:val="18"/>
          <w:color w:val="231F20"/>
        </w:rPr>
        <w:t xml:space="preserve"> through the following steps:</w:t>
      </w:r>
    </w:p>
    <w:p>
      <w:pPr>
        <w:spacing w:after="0" w:line="117" w:lineRule="exact"/>
        <w:rPr>
          <w:sz w:val="20"/>
          <w:szCs w:val="20"/>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recognize revenue when or as we satisfy a performance obligation.</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 xml:space="preserve">Revenue is recognized when </w:t>
      </w:r>
      <w:r>
        <w:rPr>
          <w:rFonts w:ascii="Times New Roman" w:cs="Times New Roman" w:eastAsia="Times New Roman" w:hAnsi="Times New Roman"/>
          <w:sz w:val="18"/>
          <w:szCs w:val="18"/>
          <w:color w:val="000000"/>
        </w:rPr>
        <w:t>control</w:t>
      </w:r>
      <w:r>
        <w:rPr>
          <w:rFonts w:ascii="Times New Roman" w:cs="Times New Roman" w:eastAsia="Times New Roman" w:hAnsi="Times New Roman"/>
          <w:sz w:val="18"/>
          <w:szCs w:val="18"/>
          <w:color w:val="231F20"/>
        </w:rPr>
        <w:t xml:space="preserve"> of these services is transferred to customers, in an amount that reflects the consideration we expect to be entitled to receive in exchange for those services. We determine an output method to be the most appropriate measure of progress because it most faithfully represents when the value of the services is simultaneously received and consumed by the customer, and control is transferred.</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 xml:space="preserve">For committed contractual </w:t>
      </w:r>
      <w:r>
        <w:rPr>
          <w:rFonts w:ascii="Times New Roman" w:cs="Times New Roman" w:eastAsia="Times New Roman" w:hAnsi="Times New Roman"/>
          <w:sz w:val="18"/>
          <w:szCs w:val="18"/>
          <w:color w:val="000000"/>
        </w:rPr>
        <w:t>amounts</w:t>
      </w:r>
      <w:r>
        <w:rPr>
          <w:rFonts w:ascii="Times New Roman" w:cs="Times New Roman" w:eastAsia="Times New Roman" w:hAnsi="Times New Roman"/>
          <w:sz w:val="18"/>
          <w:szCs w:val="18"/>
          <w:color w:val="231F20"/>
        </w:rPr>
        <w:t xml:space="preserve">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capitalize certain costs related to the development of our platform and other software applications for internal-use.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two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Business Combinations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When we acquire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us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Our estimates of fair value are based upon assumptions believed to be reasonable, but which are inherently uncertain and unpredictable and, as a result, actual results may differ from estimates. During the measurement period, we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See Note 2, in our Notes to Consolidated Financial Statements included in “Part II, Item 8. Financial Statements and Supplementary Data” of this Annual Report on Form 10-K for a discussion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As of December 31, 2024, we had $1.2 billion in cash equivalents, and $2.9 billion in marketable securities, which consisted of corporate debt securities, commercial paper, certificates of deposit, U.S. government treasury securities, and U.S. government agency securities. Our cash and cash equivalents are held for working capital purposes. We do not enter into investments for trading or speculative purposes. Our investments are exposed to market risk due to a fluctuation in interest rates, which may affect our interest income and the fair market value of our investments. As of December 31, 2024, a hypothetical 10% relative change in interest rates would not have a material impact on our consolidated financial statements.</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In June 2020 and December 2024, we issued $747.5 million and $1.0 billion aggregate principal amount of the 2025 Notes and 2029 Notes, respectively. The fair value of the Notes are subject to interest rate risk, market risk and other factors due to the conversion feature. The fair value of the Notes will generally increase as our Class A common stock price increases and will generally decrease as our Class A common stock price declines. The interest and market value changes affect the fair value of the Notes but do not impact our financial position, cash flows, or results of operations due to the fixed nature of the debt obligation. Additionally, we carry the Notes at face value less unamortized issuance costs on our balance sheet, and we present the fair value for required disclosure purposes only.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3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6"/>
        </w:trPr>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540" w:type="dxa"/>
            <w:vAlign w:val="bottom"/>
            <w:gridSpan w:val="5"/>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3340" w:type="dxa"/>
            <w:vAlign w:val="bottom"/>
            <w:gridSpan w:val="4"/>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50"/>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2024, 2023 and 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50"/>
        </w:trPr>
        <w:tc>
          <w:tcPr>
            <w:tcW w:w="7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680" w:type="dxa"/>
            <w:vAlign w:val="bottom"/>
            <w:tcBorders>
              <w:top w:val="single" w:sz="8" w:color="0000FF"/>
            </w:tcBorders>
          </w:tcPr>
          <w:p>
            <w:pPr>
              <w:spacing w:after="0"/>
              <w:rPr>
                <w:sz w:val="21"/>
                <w:szCs w:val="21"/>
                <w:color w:val="auto"/>
              </w:rPr>
            </w:pPr>
          </w:p>
        </w:tc>
        <w:tc>
          <w:tcPr>
            <w:tcW w:w="19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50"/>
        </w:trPr>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280" w:type="dxa"/>
            <w:vAlign w:val="bottom"/>
            <w:gridSpan w:val="3"/>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50"/>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40" w:type="dxa"/>
            <w:vAlign w:val="bottom"/>
            <w:gridSpan w:val="7"/>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9" w:name="page60"/>
    <w:bookmarkEnd w:id="5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Datadog, Inc. and its subsidiaries (the “Company”) as of December 31, 2024 and 2023, the related consolidated balance sheets, statements of operations, comprehensive income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Identification of Performance Obligations – Refer to Note 2 of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generates revenue from the sale of subscription services contracts to customers using its cloud-based platform. Subscription services contracts with certain of the Company’s customers may include non-standard terms and conditions and promises to transfer multiple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with customers that contain non-standard terms and conditions and promises to transfer multiple services require significant judgment by management to identify the distinct performance obligations in the arrangement. Distinct performance obligations will be accounted for as separate performance obligations, while non-distinct services are combined with others to form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Given the complexity of the Company’s subscription services contracts with certain customers, coupled with management’s judgments involved in identifying distinct performance obligations and non-standard terms and conditions, auditing the Company’s subscription services contracts with certain customers required a high degree of auditor judgment.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subscription contracts with certain customers included, among others:</w:t>
      </w:r>
    </w:p>
    <w:p>
      <w:pPr>
        <w:spacing w:after="0" w:line="117" w:lineRule="exact"/>
        <w:rPr>
          <w:sz w:val="20"/>
          <w:szCs w:val="20"/>
          <w:color w:val="auto"/>
        </w:rPr>
      </w:pPr>
    </w:p>
    <w:p>
      <w:pPr>
        <w:jc w:val="both"/>
        <w:ind w:left="500" w:hanging="492"/>
        <w:spacing w:after="0" w:line="266" w:lineRule="auto"/>
        <w:tabs>
          <w:tab w:leader="none" w:pos="5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revenue recognition. This includes management’s controls over the identification of performance obligations and non-standard terms and conditions in subscription contracts, as well as the allocation of revenue to each performance obligation.</w:t>
      </w:r>
    </w:p>
    <w:p>
      <w:pPr>
        <w:spacing w:after="0" w:line="67"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a sample of subscription contracts with customers to determine if all the promises referred to in the contract were properly identified by management and accounted for as distinct performance obligations by performing the following:</w:t>
      </w:r>
    </w:p>
    <w:p>
      <w:pPr>
        <w:spacing w:after="0" w:line="53"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subscription contract and independently assessed the terms of the contract to identify all promises and non-standard terms and conditions.</w:t>
      </w:r>
    </w:p>
    <w:p>
      <w:pPr>
        <w:spacing w:after="0" w:line="53"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promise identified, we evaluated whether such promise represented a distinct “performance obligation”, as prescribed by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and accuracy of the performance obligations by comparing those identified by us to those identified by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51"/>
        </w:trPr>
        <w:tc>
          <w:tcPr>
            <w:tcW w:w="8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330,339</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2,252,559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$16,302 and $12,096 as of December 31, 2024 and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509,279</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0" w:type="dxa"/>
            <w:vAlign w:val="bottom"/>
          </w:tcPr>
          <w:p>
            <w:pPr>
              <w:spacing w:after="0"/>
              <w:rPr>
                <w:sz w:val="1"/>
                <w:szCs w:val="1"/>
                <w:color w:val="auto"/>
              </w:rPr>
            </w:pPr>
          </w:p>
        </w:tc>
      </w:tr>
      <w:tr>
        <w:trPr>
          <w:trHeight w:val="23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4,911,115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765,735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1,003,052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742,235</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3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3,070,976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1,910,718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December 31,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2023; 316,787,538 and 305,395,175 shares issued and outstanding as of December 31, 2024 and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December 31, 2024</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25,331,244 and 25,684,571 shares issued and outstanding as of December 31, 2024 and 2023,</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2,181,267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(153,698)</w:t>
            </w:r>
          </w:p>
        </w:tc>
        <w:tc>
          <w:tcPr>
            <w:tcW w:w="0" w:type="dxa"/>
            <w:vAlign w:val="bottom"/>
          </w:tcPr>
          <w:p>
            <w:pPr>
              <w:spacing w:after="0"/>
              <w:rPr>
                <w:sz w:val="1"/>
                <w:szCs w:val="1"/>
                <w:color w:val="auto"/>
              </w:rPr>
            </w:pPr>
          </w:p>
        </w:tc>
      </w:tr>
      <w:tr>
        <w:trPr>
          <w:trHeight w:val="236"/>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2,025,354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2,684,275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346,743</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1,328,357</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752,351</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495,288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139,413</w:t>
            </w:r>
          </w:p>
        </w:tc>
        <w:tc>
          <w:tcPr>
            <w:tcW w:w="0" w:type="dxa"/>
            <w:vAlign w:val="bottom"/>
          </w:tcPr>
          <w:p>
            <w:pPr>
              <w:spacing w:after="0"/>
              <w:rPr>
                <w:sz w:val="1"/>
                <w:szCs w:val="1"/>
                <w:color w:val="auto"/>
              </w:rPr>
            </w:pPr>
          </w:p>
        </w:tc>
      </w:tr>
      <w:tr>
        <w:trPr>
          <w:trHeight w:val="237"/>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2,114,460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1,387,052</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0" w:type="dxa"/>
            <w:vAlign w:val="bottom"/>
          </w:tcPr>
          <w:p>
            <w:pPr>
              <w:spacing w:after="0"/>
              <w:rPr>
                <w:sz w:val="1"/>
                <w:szCs w:val="1"/>
                <w:color w:val="auto"/>
              </w:rPr>
            </w:pPr>
          </w:p>
        </w:tc>
      </w:tr>
      <w:tr>
        <w:trPr>
          <w:trHeight w:val="26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(loss) per share:</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315,410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(50,160)</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43"/>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r>
      <w:tr>
        <w:trPr>
          <w:trHeight w:val="26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181,263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(58,752)</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00" w:type="dxa"/>
            <w:vAlign w:val="bottom"/>
          </w:tcPr>
          <w:p>
            <w:pPr>
              <w:spacing w:after="0"/>
              <w:rPr>
                <w:sz w:val="11"/>
                <w:szCs w:val="11"/>
                <w:color w:val="auto"/>
              </w:rPr>
            </w:pPr>
          </w:p>
        </w:tc>
        <w:tc>
          <w:tcPr>
            <w:tcW w:w="1780" w:type="dxa"/>
            <w:vAlign w:val="bottom"/>
            <w:gridSpan w:val="3"/>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Class A and Class B</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84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178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000" w:type="dxa"/>
            <w:vAlign w:val="bottom"/>
          </w:tcPr>
          <w:p>
            <w:pPr>
              <w:spacing w:after="0"/>
              <w:rPr>
                <w:sz w:val="7"/>
                <w:szCs w:val="7"/>
                <w:color w:val="auto"/>
              </w:rPr>
            </w:pPr>
          </w:p>
        </w:tc>
        <w:tc>
          <w:tcPr>
            <w:tcW w:w="178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right="24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7"/>
                <w:szCs w:val="7"/>
                <w:color w:val="auto"/>
              </w:rPr>
            </w:pPr>
          </w:p>
        </w:tc>
        <w:tc>
          <w:tcPr>
            <w:tcW w:w="96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7"/>
                <w:szCs w:val="7"/>
                <w:color w:val="auto"/>
              </w:rPr>
            </w:pPr>
          </w:p>
        </w:tc>
        <w:tc>
          <w:tcPr>
            <w:tcW w:w="920" w:type="dxa"/>
            <w:vAlign w:val="bottom"/>
            <w:gridSpan w:val="2"/>
          </w:tcPr>
          <w:p>
            <w:pPr>
              <w:jc w:val="center"/>
              <w:ind w:right="220"/>
              <w:spacing w:after="0" w:line="88" w:lineRule="exact"/>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Pr>
          <w:p>
            <w:pPr>
              <w:spacing w:after="0"/>
              <w:rPr>
                <w:sz w:val="7"/>
                <w:szCs w:val="7"/>
                <w:color w:val="auto"/>
              </w:rPr>
            </w:pPr>
          </w:p>
        </w:tc>
        <w:tc>
          <w:tcPr>
            <w:tcW w:w="840" w:type="dxa"/>
            <w:vAlign w:val="bottom"/>
          </w:tcPr>
          <w:p>
            <w:pPr>
              <w:jc w:val="center"/>
              <w:ind w:right="78"/>
              <w:spacing w:after="0" w:line="88"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(Loss) Income</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Retained Earnings</w:t>
            </w:r>
          </w:p>
        </w:tc>
        <w:tc>
          <w:tcPr>
            <w:tcW w:w="140" w:type="dxa"/>
            <w:vAlign w:val="bottom"/>
          </w:tcPr>
          <w:p>
            <w:pPr>
              <w:spacing w:after="0"/>
              <w:rPr>
                <w:sz w:val="13"/>
                <w:szCs w:val="13"/>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313,365,437</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1,197,136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(152,106)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1,041,203</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2,687,334</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9,970</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2,492,535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shares of common stock from acquisitions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327,662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14,019</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316,875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26,025</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378,007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378,007</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accumulated 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(8,592)</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(50,160)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(50,160)</w:t>
            </w:r>
          </w:p>
        </w:tc>
        <w:tc>
          <w:tcPr>
            <w:tcW w:w="0" w:type="dxa"/>
            <w:vAlign w:val="bottom"/>
          </w:tcPr>
          <w:p>
            <w:pPr>
              <w:spacing w:after="0"/>
              <w:rPr>
                <w:sz w:val="1"/>
                <w:szCs w:val="1"/>
                <w:color w:val="auto"/>
              </w:rPr>
            </w:pPr>
          </w:p>
        </w:tc>
      </w:tr>
      <w:tr>
        <w:trPr>
          <w:trHeight w:val="16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BALANCE—December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319,189,843</w:t>
            </w:r>
          </w:p>
        </w:tc>
        <w:tc>
          <w:tcPr>
            <w:tcW w:w="8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1,625,190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(12,422)</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(202,266)</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1,410,505</w:t>
            </w:r>
          </w:p>
        </w:tc>
        <w:tc>
          <w:tcPr>
            <w:tcW w:w="0" w:type="dxa"/>
            <w:vAlign w:val="bottom"/>
          </w:tcPr>
          <w:p>
            <w:pPr>
              <w:spacing w:after="0"/>
              <w:rPr>
                <w:sz w:val="1"/>
                <w:szCs w:val="1"/>
                <w:color w:val="auto"/>
              </w:rPr>
            </w:pPr>
          </w:p>
        </w:tc>
      </w:tr>
      <w:tr>
        <w:trPr>
          <w:trHeight w:val="17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6,455,931</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20,924</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and performance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4,794,318</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shares of common stock from acquisitions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122,224</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517,430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37,370</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495,897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495,897</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accumulated other comprehensive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48,568</w:t>
            </w:r>
          </w:p>
        </w:tc>
        <w:tc>
          <w:tcPr>
            <w:tcW w:w="0" w:type="dxa"/>
            <w:vAlign w:val="bottom"/>
          </w:tcPr>
          <w:p>
            <w:pPr>
              <w:spacing w:after="0"/>
              <w:rPr>
                <w:sz w:val="1"/>
                <w:szCs w:val="1"/>
                <w:color w:val="auto"/>
              </w:rPr>
            </w:pPr>
          </w:p>
        </w:tc>
      </w:tr>
      <w:tr>
        <w:trPr>
          <w:trHeight w:val="163"/>
        </w:trPr>
        <w:tc>
          <w:tcPr>
            <w:tcW w:w="500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BALANCE—December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331,079,746</w:t>
            </w:r>
          </w:p>
        </w:tc>
        <w:tc>
          <w:tcPr>
            <w:tcW w:w="8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2,181,267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(153,698)</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2,025,354</w:t>
            </w:r>
          </w:p>
        </w:tc>
        <w:tc>
          <w:tcPr>
            <w:tcW w:w="0" w:type="dxa"/>
            <w:vAlign w:val="bottom"/>
          </w:tcPr>
          <w:p>
            <w:pPr>
              <w:spacing w:after="0"/>
              <w:rPr>
                <w:sz w:val="1"/>
                <w:szCs w:val="1"/>
                <w:color w:val="auto"/>
              </w:rPr>
            </w:pPr>
          </w:p>
        </w:tc>
      </w:tr>
      <w:tr>
        <w:trPr>
          <w:trHeight w:val="17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5,123,239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7,444</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and performance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5,329,642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(retirement) of restricted shares of common stock from acquisitions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136,906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449,249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43,686</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583,488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583,488</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Retirement of 2025 Convertible Senior Notes, Net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(83,813)</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capped calls related to 2029 Convertible Senior Notes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(100,900)</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 of capped calls related to 2025 Convertible Senior Notes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54,136</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accumulated 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w:t>
            </w:r>
          </w:p>
        </w:tc>
        <w:tc>
          <w:tcPr>
            <w:tcW w:w="0" w:type="dxa"/>
            <w:vAlign w:val="bottom"/>
          </w:tcPr>
          <w:p>
            <w:pPr>
              <w:spacing w:after="0"/>
              <w:rPr>
                <w:sz w:val="1"/>
                <w:szCs w:val="1"/>
                <w:color w:val="auto"/>
              </w:rPr>
            </w:pPr>
          </w:p>
        </w:tc>
      </w:tr>
      <w:tr>
        <w:trPr>
          <w:trHeight w:val="170"/>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183,746</w:t>
            </w:r>
          </w:p>
        </w:tc>
        <w:tc>
          <w:tcPr>
            <w:tcW w:w="0" w:type="dxa"/>
            <w:vAlign w:val="bottom"/>
          </w:tcPr>
          <w:p>
            <w:pPr>
              <w:spacing w:after="0"/>
              <w:rPr>
                <w:sz w:val="1"/>
                <w:szCs w:val="1"/>
                <w:color w:val="auto"/>
              </w:rPr>
            </w:pPr>
          </w:p>
        </w:tc>
      </w:tr>
      <w:tr>
        <w:trPr>
          <w:trHeight w:val="194"/>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342,118,782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2,689,013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2,714,363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7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183,746</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48,568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(50,160)</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34,629</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(Accretion) amortization of (discounts) premiums on marketable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4,726</w:t>
            </w: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Amortization of issuance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3,369</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loss on conversion inducement and capped call settlement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28,003</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570,336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482,300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363,154</w:t>
            </w: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Non-cash lease expense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21,416</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Allowance for credit losses on accounts receivable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5,215</w:t>
            </w:r>
          </w:p>
        </w:tc>
      </w:tr>
      <w:tr>
        <w:trPr>
          <w:trHeight w:val="170"/>
        </w:trPr>
        <w:tc>
          <w:tcPr>
            <w:tcW w:w="6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w:t>
            </w:r>
          </w:p>
        </w:tc>
      </w:tr>
      <w:tr>
        <w:trPr>
          <w:trHeight w:val="181"/>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Accounts receivable,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(135,701)</w:t>
            </w:r>
          </w:p>
        </w:tc>
      </w:tr>
      <w:tr>
        <w:trPr>
          <w:trHeight w:val="181"/>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Deferred contract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(69,481)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(51,098)</w:t>
            </w:r>
          </w:p>
        </w:tc>
      </w:tr>
      <w:tr>
        <w:trPr>
          <w:trHeight w:val="170"/>
        </w:trPr>
        <w:tc>
          <w:tcPr>
            <w:tcW w:w="6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(6,565)</w:t>
            </w:r>
          </w:p>
        </w:tc>
      </w:tr>
      <w:tr>
        <w:trPr>
          <w:trHeight w:val="181"/>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r>
      <w:tr>
        <w:trPr>
          <w:trHeight w:val="170"/>
        </w:trPr>
        <w:tc>
          <w:tcPr>
            <w:tcW w:w="6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r>
      <w:tr>
        <w:trPr>
          <w:trHeight w:val="181"/>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37,578</w:t>
            </w:r>
          </w:p>
        </w:tc>
      </w:tr>
      <w:tr>
        <w:trPr>
          <w:trHeight w:val="170"/>
        </w:trPr>
        <w:tc>
          <w:tcPr>
            <w:tcW w:w="6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197,549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230,974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168,644</w:t>
            </w:r>
          </w:p>
        </w:tc>
      </w:tr>
      <w:tr>
        <w:trPr>
          <w:trHeight w:val="169"/>
        </w:trPr>
        <w:tc>
          <w:tcPr>
            <w:tcW w:w="6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870,603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659,954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418,407</w:t>
            </w:r>
          </w:p>
        </w:tc>
      </w:tr>
      <w:tr>
        <w:trPr>
          <w:trHeight w:val="80"/>
        </w:trPr>
        <w:tc>
          <w:tcPr>
            <w:tcW w:w="6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7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(2,653,242)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(2,558,013)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(1,413,717)</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2,018,832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1,864,557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1,137,724</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(35,261)</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(29,628)</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paid for acquisition of businesses; net of cash acquired</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(45,878)</w:t>
            </w:r>
          </w:p>
        </w:tc>
      </w:tr>
      <w:tr>
        <w:trPr>
          <w:trHeight w:val="163"/>
        </w:trPr>
        <w:tc>
          <w:tcPr>
            <w:tcW w:w="6700" w:type="dxa"/>
            <w:vAlign w:val="bottom"/>
            <w:tcBorders>
              <w:bottom w:val="single" w:sz="8" w:color="CCEEFF"/>
            </w:tcBorders>
          </w:tcPr>
          <w:p>
            <w:pPr>
              <w:ind w:left="1000"/>
              <w:spacing w:after="0" w:line="144"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(736,840)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(731,365)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(384,670)</w:t>
            </w:r>
          </w:p>
        </w:tc>
      </w:tr>
      <w:tr>
        <w:trPr>
          <w:trHeight w:val="80"/>
        </w:trPr>
        <w:tc>
          <w:tcPr>
            <w:tcW w:w="6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171"/>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10,001</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26,025</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issuance of 2029 Convertible Senior Notes, net of issuance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978,881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settlement of capped calls related to 2025 Convertible Senior Notes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capped calls related to 2029 Convertible Senior Notes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Repayments of 2025 Convertible Senior Notes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9"/>
        </w:trPr>
        <w:tc>
          <w:tcPr>
            <w:tcW w:w="670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787,083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58,279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36,023</w:t>
            </w:r>
          </w:p>
        </w:tc>
      </w:tr>
      <w:tr>
        <w:trPr>
          <w:trHeight w:val="80"/>
        </w:trPr>
        <w:tc>
          <w:tcPr>
            <w:tcW w:w="6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w:t>
            </w:r>
          </w:p>
        </w:tc>
      </w:tr>
      <w:tr>
        <w:trPr>
          <w:trHeight w:val="95"/>
        </w:trPr>
        <w:tc>
          <w:tcPr>
            <w:tcW w:w="6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916,644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67,825</w:t>
            </w:r>
          </w:p>
        </w:tc>
      </w:tr>
      <w:tr>
        <w:trPr>
          <w:trHeight w:val="17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CASH—Beginning of period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330,339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342,288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274,463</w:t>
            </w:r>
          </w:p>
        </w:tc>
      </w:tr>
      <w:tr>
        <w:trPr>
          <w:trHeight w:val="19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CASH—End of period</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1,246,983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330,339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342,288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7"/>
        </w:trPr>
        <w:tc>
          <w:tcPr>
            <w:tcW w:w="6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20,993</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r>
      <w:tr>
        <w:trPr>
          <w:trHeight w:val="100"/>
        </w:trPr>
        <w:tc>
          <w:tcPr>
            <w:tcW w:w="6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71"/>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Accrued property and equipment purchases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13,152</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13,597</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14,853</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Issuance of restricted shares of common stock for the acquisition of businesses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14,019</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 holdback</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8,123</w:t>
            </w:r>
          </w:p>
        </w:tc>
      </w:tr>
    </w:tbl>
    <w:p>
      <w:pPr>
        <w:spacing w:after="0" w:line="88" w:lineRule="exact"/>
        <w:rPr>
          <w:sz w:val="20"/>
          <w:szCs w:val="20"/>
          <w:color w:val="auto"/>
        </w:rPr>
      </w:pPr>
    </w:p>
    <w:p>
      <w:pPr>
        <w:ind w:left="20" w:right="400"/>
        <w:spacing w:after="0" w:line="230" w:lineRule="auto"/>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WITHIN THE CONSOLIDATED BALANCE SHEETS TO THE AMOUNTS SHOW IN THE STATEMENTS OF CASH FLOWS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15175"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8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1,246,983</w:t>
            </w:r>
          </w:p>
        </w:tc>
        <w:tc>
          <w:tcPr>
            <w:tcW w:w="100" w:type="dxa"/>
            <w:vAlign w:val="bottom"/>
          </w:tcPr>
          <w:p>
            <w:pPr>
              <w:spacing w:after="0"/>
              <w:rPr>
                <w:sz w:val="14"/>
                <w:szCs w:val="14"/>
                <w:color w:val="auto"/>
              </w:rPr>
            </w:pPr>
          </w:p>
        </w:tc>
        <w:tc>
          <w:tcPr>
            <w:tcW w:w="52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330,339</w:t>
            </w:r>
          </w:p>
        </w:tc>
        <w:tc>
          <w:tcPr>
            <w:tcW w:w="100" w:type="dxa"/>
            <w:vAlign w:val="bottom"/>
          </w:tcPr>
          <w:p>
            <w:pPr>
              <w:spacing w:after="0"/>
              <w:rPr>
                <w:sz w:val="14"/>
                <w:szCs w:val="14"/>
                <w:color w:val="auto"/>
              </w:rPr>
            </w:pPr>
          </w:p>
        </w:tc>
        <w:tc>
          <w:tcPr>
            <w:tcW w:w="52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338,985</w:t>
            </w:r>
          </w:p>
        </w:tc>
      </w:tr>
      <w:tr>
        <w:trPr>
          <w:trHeight w:val="18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4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w:t>
            </w:r>
          </w:p>
        </w:tc>
      </w:tr>
      <w:tr>
        <w:trPr>
          <w:trHeight w:val="163"/>
        </w:trPr>
        <w:tc>
          <w:tcPr>
            <w:tcW w:w="6700" w:type="dxa"/>
            <w:vAlign w:val="bottom"/>
          </w:tcPr>
          <w:p>
            <w:pPr>
              <w:ind w:left="200"/>
              <w:spacing w:after="0" w:line="144"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1,246,983</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330,339</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342,288</w:t>
            </w:r>
          </w:p>
        </w:tc>
      </w:tr>
      <w:tr>
        <w:trPr>
          <w:trHeight w:val="26"/>
        </w:trPr>
        <w:tc>
          <w:tcPr>
            <w:tcW w:w="6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Datadog, Inc. (“Datadog” or the “Company”) was incorporated in the State of Delaware on June 4, 2010. The Company is the observability and security platform for cloud applications. The Company’s SaaS platform integrates and automates infrastructure monitoring, application performance monitoring, log management, user experience monitoring, cloud security, and many other capabilities to provide unified, real-time observability and security of its customers’ entire technology stack. 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accompanying consolidated financial statements have been prepared in accordance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Principles of Consolidation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consolidated financial statements include the accounts of Datadog, Inc. and its wholly owned subsidiaries.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Segment Information</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 has a single operating and reportable segment as well as one business activity, providing an observability and security platform for cloud applications. The Company’s chief operating decision maker ("CODM") is its Chief Executive Officer, who reviews net income presented on a consolidated basis for purposes of making operating decisions, assessing financial performance, and allocating resources. All required significant financial segment information can be found within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 xml:space="preserve">The preparation of consolidated financial statements in conformity with GAAP requires management to make estimates and assumptions that affect the amounts reported in the consolidated financial statements and accompanying notes. Such estimates include the fair value of marketable securities, </w:t>
      </w:r>
      <w:r>
        <w:rPr>
          <w:rFonts w:ascii="Times New Roman" w:cs="Times New Roman" w:eastAsia="Times New Roman" w:hAnsi="Times New Roman"/>
          <w:sz w:val="18"/>
          <w:szCs w:val="18"/>
          <w:color w:val="000000"/>
        </w:rPr>
        <w:t>the allowance for credit losses</w:t>
      </w:r>
      <w:r>
        <w:rPr>
          <w:rFonts w:ascii="Times New Roman" w:cs="Times New Roman" w:eastAsia="Times New Roman" w:hAnsi="Times New Roman"/>
          <w:sz w:val="18"/>
          <w:szCs w:val="18"/>
          <w:color w:val="231F20"/>
        </w:rPr>
        <w:t>, the fair value of acquired assets and assumed liabilities from business combinations, useful lives of property, equipment,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software, and finite lived intangibles, stock-based compensation, valuation of long-lived assets and their recoverability, including goodwill, the incremental borrowing rate for operating leases, estimated expected period of benefit for deferred contract costs, </w:t>
      </w:r>
      <w:r>
        <w:rPr>
          <w:rFonts w:ascii="Times New Roman" w:cs="Times New Roman" w:eastAsia="Times New Roman" w:hAnsi="Times New Roman"/>
          <w:sz w:val="18"/>
          <w:szCs w:val="18"/>
          <w:color w:val="000000"/>
        </w:rPr>
        <w:t>fair value of the liability component of the convertible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debt, </w:t>
      </w:r>
      <w:r>
        <w:rPr>
          <w:rFonts w:ascii="Times New Roman" w:cs="Times New Roman" w:eastAsia="Times New Roman" w:hAnsi="Times New Roman"/>
          <w:sz w:val="18"/>
          <w:szCs w:val="18"/>
          <w:color w:val="231F20"/>
        </w:rPr>
        <w:t>realization of deferred tax assets and uncertain tax positions, revenue recognition and the allocation of overhead costs between cost of revenue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Foreign Currency Translation</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as a separate component of stockholders’ equity.</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Transaction gains and losses that arise from exchange rate fluctuations on transactions denominated in a currency other than the functional currency are included in other income, net in the accompanying consolidated statements of operations when realized and have not been material for any of the periods presented.</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231F20"/>
        </w:rPr>
        <w:t>The Company generates revenue from the sale of subscriptions to customers using its cloud-based platform. The terms of the Company’s subscription agreements are primarily monthly, annual or multi-year.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or multi-year subscription in advance,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Company accounts for revenue contracts with customers through the following steps:</w:t>
      </w:r>
    </w:p>
    <w:p>
      <w:pPr>
        <w:spacing w:after="0" w:line="117" w:lineRule="exact"/>
        <w:rPr>
          <w:sz w:val="20"/>
          <w:szCs w:val="20"/>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recognize revenue when or as the Company satisfies a performance obligation.</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Company’s revenue arrangements may include infrastructure monitoring, application performance monitoring, log management, synthetics monitoring, security monitoring, continuous profiling, serverless monitoring, network monitoring, real user monitoring and incident management as well as secondary services including custom metrics in dashboard monitoring, docker container monitoring, and indexed spans. The Company has identified each service as a separate performance obligation.</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transaction price is based on the fixed price for the contracted level of service plus variable consideration for additional optional purchases. Billing periods correspond to the periods over which services are performed and there are no discounts given on the purchase of future services.</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The Company allocates revenue to each performance obligation based on its relative standalone selling price. The Company generally determines standalone selling prices based on a range of actual prices charged to customers.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Revenue is recognized when control of these services is transferred to customers, in an amount that reflects the consideration the Company expects to be entitled to receive in exchange for those services. The Company determined an output method, recognition over time, to be the most appropriate measure of progress because it most faithfully represents when the value of the services is simultaneously received and consumed by the customer, and control is transferred.</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180"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The Company applied the practical expedient in Topic 606 and did not evaluate contracts of one year or less for the existence of a significant financing component.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Remaining performance obligations represent the aggregate amount of the transaction price in contracts allocated to performance obligations not delivered, or partially undelivered, as of the end of the reporting period. Remaining performance obligations include deferred revenue, multi-year contracts with future installment payments and certain unfulfilled orders against accepted customer contracts at the end of any given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231F20"/>
        </w:rPr>
        <w:t>Convertible Senior Notes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0.00% Convertible Senior Notes due 2029 (the “2029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Notes are classified as non-current liabilities until the reporting period date is within one year of maturity of the Notes or when the Company has received a redemption request, but settlement will occur after the reporting period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Revenue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Research and development costs are expensed as incurred, with the exception of certain software development costs which are eligible for capitalization. Research and development costs consist of employee compensation (including stock-based compensation) and other employee-related expenses, materials and supplies, and allocated overhead costs such as rent and facilities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Sales and marketing costs consist primarily of personnel costs for the Company’s sales and marketing organization, including stock-based compensation and commissions, costs of general marketing and promotional activities, including the free tier and introductory trials of the Company’s products, travel-related expenses, amortization of acquired customer relationships, and allocated overhead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Advertising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Advertising costs are expensed as incurred and were approximately $30.0 million, $21.8 million and $25.5 million for the years ended December 31, 2024, 2023 and 2022, respectively, and are included in sales and marketing expense in the accompanying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9" w:name="page70"/>
    <w:bookmarkEnd w:id="69"/>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fair value of each stock option granted is estimated using the Black-Scholes option pricing model. The determination of the grant date fair value using an option-pricing model is affected by the estimated fair value of the Company’s Class A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and Cash Equivalents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Company considers all highly liquid investments with an original maturity of three months or less when purchased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Cash equivalents consist of money market funds, corporate debt securities, U.S. government treasury securities, and commercial paper.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Marketable Securities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Company’s marketable securities consist of corporate debt securities, commercial paper, certificates of deposit, U.S. government treasury securities, and U.S. government agency securities. The Company determines the appropriate classification of its marketable securities at the time of purchase and reevaluates such designation at each balance sheet date. The Company has classified and accounted for its marketable securities as available-for-sale securities as the Company may sell these securities at any time for use in its current operations or for other purposes, even prior to maturity. As a result, the Company classifies its marketable securities within current assets on the consolidated balance sheet.</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Available-for-sale securities are recorded at fair value each reporting period. Premiums and discounts are amortized or accreted over the life of the related available-for-sale security as an adjustment to yield using the effective interest method. Interest income is recognized when earned. Unrealized gains and losses on these marketable securities are presented net of tax and reported as a separate component of accumulated other comprehensive loss until realized. Realized gains and losses are determined based on the specific identification method and are reported in Interest income and other income, net in the consolidated statements of operations.</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periodically evaluates its marketable securities to assess whether an investment’s fair value is less than its amortized cost basis and if the decline in the fair value is attributable to a credit loss. Declines in fair value judged to be related to credit loss are reported in Interest income and other income, net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Restricted Cash</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 of Credit Risk</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Financial instruments that potentially subject the Company to credit risk primarily consist of cash and cash equivalents, marketable securities and accounts receivable. Cash deposits may, at times, exceed amounts insured by the Federal Deposit Insurance Corporation (“FDIC”) and the Securities Investor Protection Corporation (“SIPC”). The Company has not experienced any losses on its deposits of cash and cash equivalents to date. For accounts receivable, the Company is exposed to credit risk in the event of nonpayment by customers to the extent of the amounts recorded on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Geographical Information - Long-Lived Assets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0" w:name="page71"/>
    <w:bookmarkEnd w:id="70"/>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As of December 31, 2024, and 2023, 76% and 67% of the Company’s long-lived assets were located in the United States and 24% and 33% were located outside of the United States, primarily in EMEA,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Fair Value of Financial Instruments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1 Inputs: </w:t>
      </w:r>
      <w:r>
        <w:rPr>
          <w:rFonts w:ascii="Times New Roman" w:cs="Times New Roman" w:eastAsia="Times New Roman" w:hAnsi="Times New Roman"/>
          <w:sz w:val="18"/>
          <w:szCs w:val="18"/>
          <w:color w:val="231F20"/>
        </w:rPr>
        <w:t>Unadjusted quoted prices in active markets for identical assets or liabilities accessible to the reporting entity at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measurement date.</w:t>
      </w:r>
    </w:p>
    <w:p>
      <w:pPr>
        <w:spacing w:after="0" w:line="47"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2 Inputs: </w:t>
      </w:r>
      <w:r>
        <w:rPr>
          <w:rFonts w:ascii="Times New Roman" w:cs="Times New Roman" w:eastAsia="Times New Roman" w:hAnsi="Times New Roman"/>
          <w:sz w:val="18"/>
          <w:szCs w:val="18"/>
          <w:color w:val="231F20"/>
        </w:rPr>
        <w:t>Other than quoted prices included in Level 1 inputs that are observable for the asset or liability, either directly or indirectly,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for substantially the full term of the asset or liability.</w:t>
      </w:r>
    </w:p>
    <w:p>
      <w:pPr>
        <w:spacing w:after="0" w:line="47"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3 Inputs: </w:t>
      </w:r>
      <w:r>
        <w:rPr>
          <w:rFonts w:ascii="Times New Roman" w:cs="Times New Roman" w:eastAsia="Times New Roman" w:hAnsi="Times New Roman"/>
          <w:sz w:val="18"/>
          <w:szCs w:val="18"/>
          <w:color w:val="231F20"/>
        </w:rPr>
        <w:t>Unobservable inputs for the asset or liability used to measure fair value to the extent that observable inputs are not available,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thereby allowing for situations in which there is little, if any, market activity for the asset or liability at measurement date.</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Company’s financial instruments consist of cash equivalents, marketable securities, accounts receivable, accounts payable and accrued expenses. Cash equivalents are stated at amortized cost, which approximates fair value at the balance sheet dates, due to the short period of time to maturity. Marketable securities are recorded at fair value. Accounts receivable, accounts payable, and accrued expenses are stated at their carrying value, which approximates fair value due to the short time to the expected receipt or payment date.</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A financial instrument’s categorization within the valuation hierarchy is based upon the lowest level of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 and Allowance for Credit Losses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Accounts receivable includes billed and unbilled receivables.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credit losses by considering the age of each outstanding invoice and the collection history to determine the appropriate amount of allowance for credit losses. Accounts receivable deemed uncollectible are charged against the allowance for credit losses when identified.</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substantially all of which is expected to be billed and collected within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Internal-Use Software Development Costs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Company capitalizes qualifying internal-use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1" w:name="page72"/>
    <w:bookmarkEnd w:id="71"/>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231F20"/>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Sales commissions earned by the Company’s sales force are considered incremental and recoverable costs of obtaining a contract with a customer. </w:t>
      </w:r>
      <w:r>
        <w:rPr>
          <w:rFonts w:ascii="Times New Roman" w:cs="Times New Roman" w:eastAsia="Times New Roman" w:hAnsi="Times New Roman"/>
          <w:sz w:val="18"/>
          <w:szCs w:val="18"/>
          <w:color w:val="231F20"/>
        </w:rPr>
        <w:t>There are no sales commissions earned on renewals</w:t>
      </w:r>
      <w:r>
        <w:rPr>
          <w:rFonts w:ascii="Times New Roman" w:cs="Times New Roman" w:eastAsia="Times New Roman" w:hAnsi="Times New Roman"/>
          <w:sz w:val="18"/>
          <w:szCs w:val="18"/>
          <w:color w:val="auto"/>
        </w:rPr>
        <w:t xml:space="preserve">. These costs are deferred and then amortized over a period of benefit which is determined to be 4 years. </w:t>
      </w:r>
      <w:r>
        <w:rPr>
          <w:rFonts w:ascii="Times New Roman" w:cs="Times New Roman" w:eastAsia="Times New Roman" w:hAnsi="Times New Roman"/>
          <w:sz w:val="18"/>
          <w:szCs w:val="18"/>
          <w:color w:val="231F20"/>
        </w:rPr>
        <w:t>The Company determined the period of benefit by taking into consideration the length of terms in its customer contracts, life of the 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other factors</w:t>
      </w:r>
      <w:r>
        <w:rPr>
          <w:rFonts w:ascii="Times New Roman" w:cs="Times New Roman" w:eastAsia="Times New Roman" w:hAnsi="Times New Roman"/>
          <w:sz w:val="18"/>
          <w:szCs w:val="18"/>
          <w:color w:val="000000"/>
        </w:rPr>
        <w:t>. Amounts expected to be recognized within one year of the balance sheet date are recorded as deferred contract costs, current;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remaining portion is recorded as deferred contract costs, non-current, in the consolidated balance sheets. </w:t>
      </w:r>
      <w:r>
        <w:rPr>
          <w:rFonts w:ascii="Times New Roman" w:cs="Times New Roman" w:eastAsia="Times New Roman" w:hAnsi="Times New Roman"/>
          <w:sz w:val="18"/>
          <w:szCs w:val="18"/>
          <w:color w:val="231F20"/>
        </w:rPr>
        <w:t>Deferred contract costs are periodically analyzed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for impairment. Amortization expense is included in sales and marketing expenses in the accompanying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Business Combinations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for Impairment of Long-Lived Assets (Including Goodwill and Intangibles)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Long-lived assets with finite lives include property and equipment, capitalized development software costs and acquired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Long-lived assets are amortized over their estimated useful lives which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66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6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Shorter of lease term or useful life of asset</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6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2 years</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6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4 years</w:t>
            </w:r>
          </w:p>
        </w:tc>
      </w:tr>
    </w:tbl>
    <w:p>
      <w:pPr>
        <w:spacing w:after="0" w:line="274"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Goodwill is not amortized but rather tested for impairment at least annually on October 1,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2024, 2023 or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Leases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2" w:name="page73"/>
    <w:bookmarkEnd w:id="72"/>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determines if an arrangement is a lease at inception. Operating lease assets and liabilities are reflected within operating lease assets, operating lease liabilities, current, and operating lease liabilities, non-current, on the consolidated balance sheets. For short-term leases (an initial term of 12 months or less), an operating lease asset and corresponding lease liability are not recorded and the Company records rent expense in its consolidated statements of operations on a straight-line basis over the lease term. Operating lease assets represent the Company’s right to use an underlying asset for the lease term and lease liabilities represent the Company’s obligation to make lease payments arising from the lease. Operating lease assets and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The operating lease assets also include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separately.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Income (Loss) Per Share Attributable to Common Stockholders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Basic net income (loss) per share is computed by dividing net income (loss) by the weighted-average number of shares of Class A common stock and Class B common stock (together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outstanding during the period. Diluted net income (loss) per share is computed by dividing net income (loss) by the weighted-average number of shares of common stock outstanding during the period giving effect to all potentially dilutive securities to the extent they are dilutive. The dilutive effect of potentially dilutive securities is reflected in diluted net income (loss) per share by application of the two-class method. During the periods when the Company is in a net loss position, the net loss attributable to common stockholders was not allocated to the unvested common stock under the two-class method as these securities do not have a contractual obligation to share in the Company’s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Recently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231F20"/>
        </w:rPr>
        <w:t>In November 2023, the FASB issued ASU No. 2023-07</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Segment Reporting (Topic 280): Improvements to Reportable Segment Disclosures</w:t>
      </w:r>
      <w:r>
        <w:rPr>
          <w:rFonts w:ascii="Times New Roman" w:cs="Times New Roman" w:eastAsia="Times New Roman" w:hAnsi="Times New Roman"/>
          <w:sz w:val="18"/>
          <w:szCs w:val="18"/>
          <w:color w:val="231F20"/>
        </w:rPr>
        <w:t xml:space="preserve"> (“ASU No. 2023-07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which intends to improve reportable segment disclosure requirements, primarily through enhanced disclosures about significant segment expenses. The amendments in this ASU are effective for public business entities for fiscal years beginning after December 15, 2023, and interim periods within fiscal years beginning after December 15, 2024. Early adoption is permitted. The Company adopted ASU No. 2023-07 on January 1, 2024 retrospectively and the adoption did not have a material effect on the Company's consolidated financial statements. Refer to the Segments section in Note 2, </w:t>
      </w:r>
      <w:r>
        <w:rPr>
          <w:rFonts w:ascii="Times New Roman" w:cs="Times New Roman" w:eastAsia="Times New Roman" w:hAnsi="Times New Roman"/>
          <w:sz w:val="18"/>
          <w:szCs w:val="18"/>
          <w:i w:val="1"/>
          <w:iCs w:val="1"/>
          <w:color w:val="231F20"/>
        </w:rPr>
        <w:t>Basis of Presentation and Summary of Significant Accounting Policies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to the consolidated financial statements for further details</w:t>
      </w:r>
      <w:r>
        <w:rPr>
          <w:rFonts w:ascii="Times New Roman" w:cs="Times New Roman" w:eastAsia="Times New Roman" w:hAnsi="Times New Roman"/>
          <w:sz w:val="18"/>
          <w:szCs w:val="18"/>
          <w:color w:val="231F20"/>
        </w:rPr>
        <w:t>.</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231F20"/>
        </w:rPr>
        <w:t xml:space="preserve">In November 2024, the FASB issued ASU No. 2024-04, </w:t>
      </w:r>
      <w:r>
        <w:rPr>
          <w:rFonts w:ascii="Times New Roman" w:cs="Times New Roman" w:eastAsia="Times New Roman" w:hAnsi="Times New Roman"/>
          <w:sz w:val="18"/>
          <w:szCs w:val="18"/>
          <w:i w:val="1"/>
          <w:iCs w:val="1"/>
          <w:color w:val="231F20"/>
        </w:rPr>
        <w:t>Debt-Debt with Conversion and Other Options (Subtopic 470-20)</w:t>
      </w:r>
      <w:r>
        <w:rPr>
          <w:rFonts w:ascii="Times New Roman" w:cs="Times New Roman" w:eastAsia="Times New Roman" w:hAnsi="Times New Roman"/>
          <w:sz w:val="18"/>
          <w:szCs w:val="18"/>
          <w:color w:val="231F20"/>
        </w:rPr>
        <w:t xml:space="preserve"> ("ASU No. 2024-04"), which intends to clarify the conditions in which induced conversion applies to convertible debt by outlining three criteria that must be met for an entity to apply the induced conversion model. The amendments in this ASU are effective for annual reporting periods beginning after December 15, 2025 (and interim reporting periods within those annual reporting periods). Early adoption is permitted as of the beginning of a reporting period if the entity has also adopted ASU 2020-06 for that period. The Company early adopted ASU 2024-04 on January 1, 2024 on a prospective basis and applied the amendments in this ASU to the repurchase of the 2025 Notes. Refer to Note 8</w:t>
      </w:r>
      <w:r>
        <w:rPr>
          <w:rFonts w:ascii="Times New Roman" w:cs="Times New Roman" w:eastAsia="Times New Roman" w:hAnsi="Times New Roman"/>
          <w:sz w:val="18"/>
          <w:szCs w:val="18"/>
          <w:i w:val="1"/>
          <w:iCs w:val="1"/>
          <w:color w:val="231F20"/>
        </w:rPr>
        <w:t>, Convertible Senior Notes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the consolidated financial statements for further details</w:t>
      </w:r>
      <w:r>
        <w:rPr>
          <w:rFonts w:ascii="Times New Roman" w:cs="Times New Roman" w:eastAsia="Times New Roman" w:hAnsi="Times New Roman"/>
          <w:sz w:val="18"/>
          <w:szCs w:val="18"/>
          <w:color w:val="231F20"/>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231F20"/>
        </w:rPr>
        <w:t>In December 2023, the FASB issued ASU No. 2023-09</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particularly the rate reconciliation table and disclosures about income taxes paid. For public business entities, it is effective for annual periods beginning after December 15, 2024, and interim periods beginning after December 15, 2025, with early adoption permitted. The Company has not early adopted ASU No. 2023-09 as of December 31, 2024 and is evaluating its impact.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31F20"/>
        </w:rPr>
        <w:t xml:space="preserve">In November 2024, the FASB issued ASU No. 2024-03, </w:t>
      </w:r>
      <w:r>
        <w:rPr>
          <w:rFonts w:ascii="Times New Roman" w:cs="Times New Roman" w:eastAsia="Times New Roman" w:hAnsi="Times New Roman"/>
          <w:sz w:val="18"/>
          <w:szCs w:val="18"/>
          <w:i w:val="1"/>
          <w:iCs w:val="1"/>
          <w:color w:val="231F20"/>
        </w:rPr>
        <w:t>Income Statement-Reporting Comprehensive Income-Expense Disaggregation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Disclosures (Subtopic 220-40) </w:t>
      </w:r>
      <w:r>
        <w:rPr>
          <w:rFonts w:ascii="Times New Roman" w:cs="Times New Roman" w:eastAsia="Times New Roman" w:hAnsi="Times New Roman"/>
          <w:sz w:val="18"/>
          <w:szCs w:val="18"/>
          <w:color w:val="231F20"/>
        </w:rPr>
        <w:t>("ASU No. 2024-03"), which requires disaggregated disclosure of income statement expenses for public business entities.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it is effective for fiscal years beginning after December 15, 2026, and interim periods within fiscal years beginning after December 15, 2027, with early adoption permitted.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231F20"/>
        </w:rPr>
        <w:t>The amendments in this ASU should be applied prospectively, however, public business entities are permitted to apply the amendments in the ASU retrospectively, The Company is currently evaluating the impact of the adoption of this standard on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Marketable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consolidated balance sheet as of December 31, 2024 and 2023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58"/>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3"/>
                <w:szCs w:val="13"/>
                <w:color w:val="auto"/>
              </w:rPr>
            </w:pPr>
          </w:p>
        </w:tc>
        <w:tc>
          <w:tcPr>
            <w:tcW w:w="1120" w:type="dxa"/>
            <w:vAlign w:val="bottom"/>
          </w:tcPr>
          <w:p>
            <w:pPr>
              <w:jc w:val="center"/>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1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50"/>
        </w:trPr>
        <w:tc>
          <w:tcPr>
            <w:tcW w:w="5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6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2,939,623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2,942,076</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4"/>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112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1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7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37"/>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2,253,484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2,252,559</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Interest receivable of $26.8 million and $15.1 million is included in prepaid expenses and other current assets on the consolidated balance sheets as of December 31, 2024 and 2023, respectively. The Company did not recognize an allowance for credit losses against interest receivable as of December 31, 2024 and 2023 because such potential losses were not material.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2024, the fair values of available-for-sale marketable securities, by remaining contractual maturity, were as follows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1,678,524</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1,263,552</w:t>
            </w:r>
          </w:p>
        </w:tc>
      </w:tr>
      <w:tr>
        <w:trPr>
          <w:trHeight w:val="27"/>
        </w:trPr>
        <w:tc>
          <w:tcPr>
            <w:tcW w:w="9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2,942,076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231F20"/>
        </w:rPr>
        <w:t>4. Fair Value Measurements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December 31, 2024 and 2023, and indicate the fair value hierarchy of the valuation inputs utilized to determine such fair value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2024</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6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2,953,666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4,147,593</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4"/>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2023</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7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7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2,307,015</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2,547,924</w:t>
            </w: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treasury securities, and Non-U.S. government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8,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consolidated financial statements for further details.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192,691</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—Internal-Use Software Development Costs, the Company capitalizes costs related to the development of computer software for internal-use and is included in capitalized software development costs within property and equipment, net.</w:t>
      </w:r>
    </w:p>
    <w:p>
      <w:pPr>
        <w:spacing w:after="0" w:line="175" w:lineRule="exact"/>
        <w:rPr>
          <w:sz w:val="20"/>
          <w:szCs w:val="20"/>
          <w:color w:val="auto"/>
        </w:rPr>
      </w:pPr>
    </w:p>
    <w:p>
      <w:pPr>
        <w:ind w:right="120" w:firstLine="97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$48.5 million, $35.6 million, and $27.0 million for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Acquisitions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 xml:space="preserve">During the year ended December 31, 2024, the Company entered into one purchase agreement for an acquisition of a business, which was accounted for as a business combination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Company does not consider this acquisition to be material. The total purchase price was allocated to intangible assets in the amount of $0.7 million and goodwill in the amount of $10.2 million based on the respective estimated fair values. The resulting goodwill from the agreements is not deductible for income tax purposes. Pro forma results of operations from the acquisition has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During the year ended December 31, 2023, the Company entered into three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Company does not consider these acquisitions to be material, individually or in aggregate. The total purchase price was allocated to intangible assets in the amount of $2.1 million and goodwill in the amount of $3.5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2022 Acquisitions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During the year ended December 31, 2022, the Company entered into four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Company does not consider these acquisitions to be material, individually or in aggregate. The total purchase price was allocated to intangible assets in the amount of $8.2 million and goodwill in the amount of $56.6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199"/>
              <w:spacing w:after="0" w:line="12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1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6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Intangible amortization expense was approximately $6.4 million, $8.9 million and $7.6 million for the years ended December 31, 2024, 2023 and 2022, respectively. Amortization of developed technology and customer relationships are included in cost of revenue and sales and marketing expense, respectively, on the Company’s consolidated statement of operations.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As of December 31, 2024, future amortization expense by year is expected to be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ind w:left="980"/>
              <w:spacing w:after="0"/>
              <w:rPr>
                <w:sz w:val="20"/>
                <w:szCs w:val="20"/>
                <w:color w:val="auto"/>
              </w:rPr>
            </w:pPr>
            <w:r>
              <w:rPr>
                <w:rFonts w:ascii="Times New Roman" w:cs="Times New Roman" w:eastAsia="Times New Roman" w:hAnsi="Times New Roman"/>
                <w:sz w:val="18"/>
                <w:szCs w:val="18"/>
                <w:color w:val="231F20"/>
              </w:rPr>
              <w:t>The changes in the carrying amount of goodwill were as follows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Acquisitions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360,381</w:t>
            </w: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7. Accrued Expenses and Other Current Liabilities</w:t>
            </w: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ind w:left="980"/>
              <w:spacing w:after="0"/>
              <w:rPr>
                <w:sz w:val="20"/>
                <w:szCs w:val="20"/>
                <w:color w:val="auto"/>
              </w:rPr>
            </w:pPr>
            <w:r>
              <w:rPr>
                <w:rFonts w:ascii="Times New Roman" w:cs="Times New Roman" w:eastAsia="Times New Roman" w:hAnsi="Times New Roman"/>
                <w:sz w:val="18"/>
                <w:szCs w:val="18"/>
                <w:color w:val="231F20"/>
              </w:rPr>
              <w:t>Accrued expenses and other current liabilities consisted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1"/>
                <w:szCs w:val="21"/>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commissions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liability and sales tax</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cloud hosting and infrastructure expenses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77" w:name="page78"/>
    <w:bookmarkEnd w:id="77"/>
    <w:p>
      <w:pPr>
        <w:ind w:left="340" w:right="60" w:hanging="332"/>
        <w:spacing w:after="0" w:line="230" w:lineRule="auto"/>
        <w:tabs>
          <w:tab w:leader="none" w:pos="337" w:val="left"/>
        </w:tabs>
        <w:numPr>
          <w:ilvl w:val="0"/>
          <w:numId w:val="33"/>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4"/>
          <w:szCs w:val="14"/>
          <w:color w:val="231F20"/>
        </w:rPr>
        <w:t xml:space="preserve">Due to the timing of when invoices are received, payables for cloud hosting and infrastructure expenses are included within accounts payable on the consolidated balance sheets, amounting to $93.4 million and $70.2 million 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b w:val="1"/>
          <w:bCs w:val="1"/>
          <w:i w:val="1"/>
          <w:iCs w:val="1"/>
          <w:color w:val="231F20"/>
        </w:rPr>
        <w:t>025 Convertible Senior Notes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1460" w:hanging="480"/>
        <w:spacing w:after="0" w:line="261" w:lineRule="auto"/>
        <w:tabs>
          <w:tab w:leader="none" w:pos="14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2025 Notes on each applicable trading day;</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2025 Indenture”).</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for the 2025 Notes, holders may convert all or any portion of their 2025 Notes, in integral multiples of $1,000 principal amount, at the option of the holder regardless of the foregoing circumstances. The conversion rate for the 2025 Notes is initially 10.8338 shares of Class A common stock per $1,000 principal amount of 2025 Notes (equivalent to an initial conversion price for the 2025 Notes of approximately $92.30 per share of Class A common stock), subject to adjustment as set forth in the 2025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2025 Indenture. In addition, if specific corporate events occur prior to the applicable maturity date, or if the Company elects to redeem the 2025 Notes, the Company will increase the conversion rate for the 2025 Notes for a holder who elects to convert their 2025 Notes in connection with such a corporate event or redemption in certain circumstances.</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2024, the conditional conversion feature of the 2025 Notes was triggered as the last reported sale price of the Company’s Class A common stock was greater than or equal to 130% of the conversion price for the 2025 Notes for at least 20 trading days (whether or not consecutive) during a period of 30 consecutive trading days ending on, and including, the last trading day of the quarter ended December 31, 2024. Therefore the 2025 Notes are convertible, in whole or in part, at the option of the holders between January 1, 2025 through March 31, 2025.</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Since the issuance of the 2025 Notes, the Company received and settled an immaterial amount of conversion notices from the holders in cash. As of December 31, 2024, the 2025 Notes were classified as current liabilities on the Company's consolidated balance sheet.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Company may redeem for cash all or any portion of the 2025 Notes prior to the 31st scheduled trading day immediately preceding the maturity date for the 2025 Notes, at its option, if the last reported sale price of its Class A common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18"/>
          <w:szCs w:val="18"/>
          <w:color w:val="auto"/>
        </w:rPr>
        <w:t>stock was at least 130% of the conversion price for the 2025 Notes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Senior Notes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0.00% Convertible Senior Notes due 2029 (the “2029 Notes”) in a private placement to qualified institutional buyers pursuant to Rule 144A under the Securities Act. The total net proceeds from the sale of the 2029 Notes, after deducting the initial purchasers’ discounts and debt issuance costs, were approximately $979.1 million. The 2029 Notes do not bear interest and the principal amount of the 2029 Notes will not accrete. The 2029 Notes will mature on December 1, 2029, unless earlier converted, redeemed or repurchased.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2029 only under the following circumstances:</w:t>
      </w:r>
    </w:p>
    <w:p>
      <w:pPr>
        <w:spacing w:after="0" w:line="99" w:lineRule="exact"/>
        <w:rPr>
          <w:sz w:val="20"/>
          <w:szCs w:val="20"/>
          <w:color w:val="auto"/>
        </w:rPr>
      </w:pPr>
    </w:p>
    <w:p>
      <w:pPr>
        <w:jc w:val="both"/>
        <w:ind w:left="1460" w:hanging="480"/>
        <w:spacing w:after="0" w:line="261" w:lineRule="auto"/>
        <w:tabs>
          <w:tab w:leader="none" w:pos="14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2029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(“the 2029 Indenture”).</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or after September 1, 2029 until the close of business on the second scheduled trading day immediately preceding the maturity date for the 2029 Notes, holders may convert all or any portion of their 2029 Notes, in integral multiples of $1,000 principal amount, at the option of the holder regardless of the foregoing circumstances. The conversion rate for the 2029 Notes is initially 4.5955 shares of Class A common stock per $1,000 principal amount of 2029 Notes (equivalent to an initial conversion price for the 2029 Notes of approximately $217.60 per share of Class A common stock), subject to adjustment as set forth in the 2029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20 trading day observation period as described in the 2029 Indenture. In addition, if specific corporate events occur prior to the applicable maturity date for the 2029 Notes, or if the Company elects to redeem the 2029 Notes, the Company will increase the conversion rate for the 2029 Notes for a holder who elects to convert their 2029 Notes in connection with such a corporate event or redemption in certain circumstances.</w:t>
      </w:r>
    </w:p>
    <w:p>
      <w:pPr>
        <w:spacing w:after="0" w:line="1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the conditional conversion features of the 2029 Notes were not triggered. Therefore the 2029 Notes are not convertible, in whole or in part, at the option of the holders between January 1, 2025 through March 31, 2025. As of December 31, 2024, the 2029 Notes were classified as non-current liabilities on the Company's consolidated balance sheet.</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2029 Notes prior to December 6, 2027. The Company may redeem for cash all or any portion of the 2029 Notes, at its option, on or after December 6, 2027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2029 Notes to be redeemed, plus accrued and unpaid interest to, but excluding, the redemption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9" w:name="page80"/>
    <w:bookmarkEnd w:id="79"/>
    <w:p>
      <w:pPr>
        <w:ind w:left="980"/>
        <w:spacing w:after="0"/>
        <w:rPr>
          <w:sz w:val="20"/>
          <w:szCs w:val="20"/>
          <w:color w:val="auto"/>
        </w:rPr>
      </w:pPr>
      <w:r>
        <w:rPr>
          <w:rFonts w:ascii="Times New Roman" w:cs="Times New Roman" w:eastAsia="Times New Roman" w:hAnsi="Times New Roman"/>
          <w:sz w:val="18"/>
          <w:szCs w:val="18"/>
          <w:color w:val="auto"/>
        </w:rPr>
        <w:t>The net carrying amount of the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635,448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742,235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2029 Notes: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As of December 31, 2024, the total estimated fair value of the 2025 Notes was approximately $986.5 million and the fair value of the 2029 Notes was approximately $1.0 billion. The fair value was determined based on the closing trading price or quoted market price per $100 of the Notes as of the last day of trading for the period. The fair value of the Notes is primarily affected by the trading price of the Company’s Class A common stock and market interest rates and has been classified as level 2 in the fair value hierarchy.</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Issuance costs are being amortized to interest expense over the contractual terms of the 2025 Notes and 2029 Notes at an effective interest rate of 0.59% for the 2025 Notes and 0.43% for the 2029 Notes.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and 2029 Notes for the years ended December 31, 2024, 2023, and 2022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48"/>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and 2029 Notes, the Company entered into privately negotiated capped call transactions with certain option counterparties (“Capped Calls”). The initial strike price of the Capped Calls corresponds to the initial conversion price of each of the Notes. The Capped Calls are expected to partially offset the potential dilution to the Company’s Class A common stock upon any conversion of the Notes, with such offset subject to a cap based on the cap price. For accounting purposes, the Capped Calls are separate transactions, and not part of the Notes. As these transactions meet certain accounting criteria, the Capped Calls are recorded in stockholders’ equity and are not accounted for as derivatives. The cost incurred to purchase the Capped Calls was recorded as a reduction to additional paid-in capital and will not be remeasured.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key terms and costs incurred for the Capped Calls related to each of the Notes (in millions,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2029 Notes</w:t>
            </w:r>
          </w:p>
        </w:tc>
      </w:tr>
      <w:tr>
        <w:trPr>
          <w:trHeight w:val="23"/>
        </w:trPr>
        <w:tc>
          <w:tcPr>
            <w:tcW w:w="70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strike price per share, subject to certain adjustments</w:t>
            </w: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1400" w:type="dxa"/>
            <w:vAlign w:val="bottom"/>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incurred</w:t>
            </w: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covered, subject to anti-dilution adjustments</w:t>
            </w:r>
          </w:p>
        </w:tc>
        <w:tc>
          <w:tcPr>
            <w:tcW w:w="1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2025 Notes and Related Capped Calls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In December 2024, in connection with the issuance of the 2029 Notes, the Company retired $112.0 million aggregate principal amount and $0.3 million of related debt issuance costs of the 2025 Notes for $196.8 million in cash, which included related accrued interest of $0.1 million. The retirement was accounted for as an induced conversion resulting in an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inducement expense of $1.2 million recorded in other income, net on the consolidated statements of operations and a decrease to additional paid-in capital of $83.8 million on the consolidated balance sheets.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2024, in connection with the partial retirement of the 2025 Notes, we entered into a termination agreement relating to a number of options corresponding to the number of 2025 Notes retired. Pursuant to such termination agreement, the option counterparty paid us a cash settlement amount in respect of the portion of Capped Calls being terminated. We received approximately $54.7 million in connection with such termination agreements, of which $54.1 million was recorded as an increase to additional paid-in capital on the consolidated balance sheets and a $0.6 million gain was recorded within other income, net, in the consolidated statements of operations.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partial retirement of the 2025 Notes and related Capped Call termination resulted in net cash payments of approximately $142.1 million, a decrease to additional paid-in capital of $29.7 million on the consolidated balance sheets, and a net loss of $0.6 million recorded in other income, net on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Commitments and Contingencies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 enters into non-cancelable purchase commitments and operating leases in the normal course of business. Non-cancelable purchase commitments for business operations and operating lease obligations total $1.4 billion and $365.6 million, respectively, as of December 31, 2024, due primarily over the next 5 years. Purchase commitments for business operations are primarily related to cloud hosting and other software-based services.</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Company also issued long-term debt to finance the business. The principal and future interest payments related to the 2025 Notes are $635.9 million. The principal and future interest payments related to the 2029 Notes are $1.0 billion.</w:t>
      </w:r>
    </w:p>
    <w:p>
      <w:pPr>
        <w:spacing w:after="0" w:line="158" w:lineRule="exact"/>
        <w:rPr>
          <w:sz w:val="20"/>
          <w:szCs w:val="20"/>
          <w:color w:val="auto"/>
        </w:rPr>
      </w:pPr>
    </w:p>
    <w:p>
      <w:pPr>
        <w:jc w:val="both"/>
        <w:ind w:right="20" w:firstLine="972"/>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401(k) Plan</w:t>
      </w:r>
      <w:r>
        <w:rPr>
          <w:rFonts w:ascii="Times New Roman" w:cs="Times New Roman" w:eastAsia="Times New Roman" w:hAnsi="Times New Roman"/>
          <w:sz w:val="18"/>
          <w:szCs w:val="18"/>
          <w:color w:val="231F20"/>
        </w:rPr>
        <w:t>—The Company sponsors a 401(k) defined contribution plan covering all eligible U.S. employees. The Company is responsible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for administrative costs of the 401(k) plan and beginning on January 1, 2022, the Company began making matching contributions to the 401(k) plan. For the years ended </w:t>
      </w:r>
      <w:r>
        <w:rPr>
          <w:rFonts w:ascii="Times New Roman" w:cs="Times New Roman" w:eastAsia="Times New Roman" w:hAnsi="Times New Roman"/>
          <w:sz w:val="18"/>
          <w:szCs w:val="18"/>
          <w:color w:val="000000"/>
        </w:rPr>
        <w:t>December 31, 2024, 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the Company incurred expense of $8.5 million, $6.3 million, and </w:t>
      </w:r>
      <w:r>
        <w:rPr>
          <w:rFonts w:ascii="Times New Roman" w:cs="Times New Roman" w:eastAsia="Times New Roman" w:hAnsi="Times New Roman"/>
          <w:sz w:val="18"/>
          <w:szCs w:val="18"/>
          <w:color w:val="000000"/>
        </w:rPr>
        <w:t>$5.7 million</w:t>
      </w:r>
      <w:r>
        <w:rPr>
          <w:rFonts w:ascii="Times New Roman" w:cs="Times New Roman" w:eastAsia="Times New Roman" w:hAnsi="Times New Roman"/>
          <w:sz w:val="18"/>
          <w:szCs w:val="18"/>
          <w:color w:val="231F20"/>
        </w:rPr>
        <w:t xml:space="preserve"> for matching contributions, respectively.</w:t>
      </w:r>
    </w:p>
    <w:p>
      <w:pPr>
        <w:spacing w:after="0" w:line="176"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Legal Matters</w:t>
      </w:r>
      <w:r>
        <w:rPr>
          <w:rFonts w:ascii="Times New Roman" w:cs="Times New Roman" w:eastAsia="Times New Roman" w:hAnsi="Times New Roman"/>
          <w:sz w:val="18"/>
          <w:szCs w:val="18"/>
          <w:color w:val="231F20"/>
        </w:rPr>
        <w:t>—The Company is involved from time to time in various claims and legal actions arising in the ordinary course of business.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While it 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Indemnification</w:t>
      </w:r>
      <w:r>
        <w:rPr>
          <w:rFonts w:ascii="Times New Roman" w:cs="Times New Roman" w:eastAsia="Times New Roman" w:hAnsi="Times New Roman"/>
          <w:sz w:val="18"/>
          <w:szCs w:val="18"/>
          <w:color w:val="231F20"/>
        </w:rPr>
        <w:t>—The Company enters into indemnification provisions under some agreements with other parties in the ordinary course of</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Leases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has entered into various non-cancelable operating leases for its facilities expiring between 2025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Rent expense for the years ended December 31, 2024, 2023 and 2022 was $49.5 million, $43.5 million, and $34.0 million, respectively.</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Sub-lease income is recorded as a credit to rent expense. The Company recorded an immaterial amount of sub-lease income for the years ended December 31, 2024, 2023 and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1" w:name="page82"/>
    <w:bookmarkEnd w:id="81"/>
    <w:p>
      <w:pPr>
        <w:ind w:left="980"/>
        <w:spacing w:after="0"/>
        <w:rPr>
          <w:sz w:val="20"/>
          <w:szCs w:val="20"/>
          <w:color w:val="auto"/>
        </w:rPr>
      </w:pPr>
      <w:r>
        <w:rPr>
          <w:rFonts w:ascii="Times New Roman" w:cs="Times New Roman" w:eastAsia="Times New Roman" w:hAnsi="Times New Roman"/>
          <w:sz w:val="18"/>
          <w:szCs w:val="18"/>
          <w:color w:val="231F20"/>
        </w:rPr>
        <w:t>The components of lease cost recognized within the Company’s consolidated statements of operations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25,212</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1"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Includes non-cash lease expense of $27.3 million, $26.4 million, and $21.4 million for the years ended December 31, 2024, 2023 and 2022, respectively.</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Supplemental cash flow information and non-cash activity related to the Company’s operating leases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20" w:type="dxa"/>
            <w:vAlign w:val="bottom"/>
            <w:shd w:val="clear" w:color="auto" w:fill="CCEEFF"/>
          </w:tcPr>
          <w:p>
            <w:pPr>
              <w:spacing w:after="0"/>
              <w:rPr>
                <w:sz w:val="19"/>
                <w:szCs w:val="19"/>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75,177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48,404</w:t>
            </w:r>
          </w:p>
        </w:tc>
        <w:tc>
          <w:tcPr>
            <w:tcW w:w="20" w:type="dxa"/>
            <w:vAlign w:val="bottom"/>
          </w:tcPr>
          <w:p>
            <w:pPr>
              <w:spacing w:after="0"/>
              <w:rPr>
                <w:sz w:val="20"/>
                <w:szCs w:val="20"/>
                <w:color w:val="auto"/>
              </w:rPr>
            </w:pPr>
          </w:p>
        </w:tc>
      </w:tr>
      <w:tr>
        <w:trPr>
          <w:trHeight w:val="508"/>
        </w:trPr>
        <w:tc>
          <w:tcPr>
            <w:tcW w:w="882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231F20"/>
                <w:w w:val="99"/>
              </w:rPr>
              <w:t>Maturities of lease liabilities by fiscal year for the Company’s operating leases are as follows (in thousands):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6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67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46,445</w:t>
            </w:r>
          </w:p>
        </w:tc>
        <w:tc>
          <w:tcPr>
            <w:tcW w:w="2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45,942</w:t>
            </w:r>
          </w:p>
        </w:tc>
        <w:tc>
          <w:tcPr>
            <w:tcW w:w="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41,535</w:t>
            </w:r>
          </w:p>
        </w:tc>
        <w:tc>
          <w:tcPr>
            <w:tcW w:w="20" w:type="dxa"/>
            <w:vAlign w:val="bottom"/>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2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31,977</w:t>
            </w:r>
          </w:p>
        </w:tc>
        <w:tc>
          <w:tcPr>
            <w:tcW w:w="20" w:type="dxa"/>
            <w:vAlign w:val="bottom"/>
          </w:tcPr>
          <w:p>
            <w:pPr>
              <w:spacing w:after="0"/>
              <w:rPr>
                <w:sz w:val="19"/>
                <w:szCs w:val="19"/>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88,984</w:t>
            </w:r>
          </w:p>
        </w:tc>
        <w:tc>
          <w:tcPr>
            <w:tcW w:w="20" w:type="dxa"/>
            <w:vAlign w:val="bottom"/>
          </w:tcPr>
          <w:p>
            <w:pPr>
              <w:spacing w:after="0"/>
              <w:rPr>
                <w:sz w:val="19"/>
                <w:szCs w:val="19"/>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290,954</w:t>
            </w:r>
          </w:p>
        </w:tc>
        <w:tc>
          <w:tcPr>
            <w:tcW w:w="20" w:type="dxa"/>
            <w:vAlign w:val="bottom"/>
          </w:tcPr>
          <w:p>
            <w:pPr>
              <w:spacing w:after="0"/>
              <w:rPr>
                <w:sz w:val="19"/>
                <w:szCs w:val="19"/>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(62,079)</w:t>
            </w:r>
          </w:p>
        </w:tc>
        <w:tc>
          <w:tcPr>
            <w:tcW w:w="20" w:type="dxa"/>
            <w:vAlign w:val="bottom"/>
          </w:tcPr>
          <w:p>
            <w:pPr>
              <w:spacing w:after="0"/>
              <w:rPr>
                <w:sz w:val="19"/>
                <w:szCs w:val="19"/>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228,875</w:t>
            </w:r>
          </w:p>
        </w:tc>
        <w:tc>
          <w:tcPr>
            <w:tcW w:w="20" w:type="dxa"/>
            <w:vAlign w:val="bottom"/>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various operating leases that had not yet commenced, which are excluded from the table above. The operating leases will commence in fiscal year 2025 with total undiscounted future payments of $57.2 million and a weighted-average lease term of 8.5 years.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Weighted average remaining lease term and discount rate for the Company’s operating leases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1000" w:type="dxa"/>
            <w:vAlign w:val="bottom"/>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980" w:type="dxa"/>
            <w:vAlign w:val="bottom"/>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000" w:type="dxa"/>
            <w:vAlign w:val="bottom"/>
            <w:tcBorders>
              <w:top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rPr>
              <w:t>6.69%</w:t>
            </w:r>
          </w:p>
        </w:tc>
        <w:tc>
          <w:tcPr>
            <w:tcW w:w="1980" w:type="dxa"/>
            <w:vAlign w:val="bottom"/>
            <w:gridSpan w:val="3"/>
          </w:tcPr>
          <w:p>
            <w:pPr>
              <w:jc w:val="center"/>
              <w:ind w:left="442"/>
              <w:spacing w:after="0"/>
              <w:rPr>
                <w:sz w:val="20"/>
                <w:szCs w:val="20"/>
                <w:color w:val="auto"/>
              </w:rPr>
            </w:pPr>
            <w:r>
              <w:rPr>
                <w:rFonts w:ascii="Times New Roman" w:cs="Times New Roman" w:eastAsia="Times New Roman" w:hAnsi="Times New Roman"/>
                <w:sz w:val="18"/>
                <w:szCs w:val="18"/>
                <w:color w:val="auto"/>
                <w:w w:val="98"/>
              </w:rPr>
              <w:t>6.00%</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1,200,719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474,381</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1,675,100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82" w:name="page83"/>
    <w:bookmarkEnd w:id="82"/>
    <w:p>
      <w:pPr>
        <w:ind w:left="320" w:hanging="312"/>
        <w:spacing w:after="0"/>
        <w:tabs>
          <w:tab w:leader="none" w:pos="320" w:val="left"/>
        </w:tabs>
        <w:numPr>
          <w:ilvl w:val="0"/>
          <w:numId w:val="37"/>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10369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36955" cy="8255"/>
                    </a:xfrm>
                    <a:prstGeom prst="rect">
                      <a:avLst/>
                    </a:prstGeom>
                    <a:noFill/>
                  </pic:spPr>
                </pic:pic>
              </a:graphicData>
            </a:graphic>
          </wp:anchor>
        </w:drawing>
        <w:t>Includes revenue from the United States of $1,785.5 million, $1,411.0 million, and $1,134.1 million for the years ended December 31, 2024, 2023, and 2022, respectively.</w:t>
      </w:r>
    </w:p>
    <w:p>
      <w:pPr>
        <w:spacing w:after="0" w:line="235" w:lineRule="exact"/>
        <w:rPr>
          <w:sz w:val="20"/>
          <w:szCs w:val="20"/>
          <w:color w:val="auto"/>
        </w:rPr>
      </w:pPr>
    </w:p>
    <w:p>
      <w:pPr>
        <w:ind w:right="60" w:firstLine="972"/>
        <w:spacing w:after="0" w:line="282" w:lineRule="auto"/>
        <w:rPr>
          <w:sz w:val="20"/>
          <w:szCs w:val="20"/>
          <w:color w:val="auto"/>
        </w:rPr>
      </w:pPr>
      <w:r>
        <w:rPr>
          <w:rFonts w:ascii="Times New Roman" w:cs="Times New Roman" w:eastAsia="Times New Roman" w:hAnsi="Times New Roman"/>
          <w:sz w:val="18"/>
          <w:szCs w:val="18"/>
          <w:color w:val="231F20"/>
        </w:rPr>
        <w:t>Other than the United States, no other individual country accounted for 10% or more of total revenue for the years ended December 31, 2024, 2023, or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As of December 31, 2024 and 2023, unbilled accounts receivable of approximately $77.0 million and $61.2 million, respectively, was included in accounts receivable on the Company’s consolidated balance sheets.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During the years ended December 31, 2024 and 2023, the Company charged $9.3 million and $5.5 million, respectively, of accounts receivable deemed uncollectible against the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Revenue recognized during the years ended December 31, 2024, 2023 and 2022 which was included in the deferred revenue balances at the beginning of each respective period, was $759.7 million, $525.5 million, and $374.6 million.</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As of December 31, 2024, and 2023, the aggregate transaction price allocated to remaining performance obligations was $2,273.1 million and $1,839.4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consolidated balance sheets were $142.7 million and $118.7 million as of December 31, 2024 and 2023, respectively. Amortization expense was $52.0 million, $39.2 million and $28.0 million for the years ended December 31,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2024, 2,279,183 shares of Class B common stock were converted into Class A common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authorized 2,000,000,000 shares of Class A common stock and 310,000,000 shares of Class B common stock, each at a par value per share of $0.00001, of which 316,787,538 shares of Class A common stock and 25,331,244 shares of Class B common stock were issued and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As of December 31, 2024 and 2023, the Company had reserved shares of common stock for future issuance as follows:</w:t>
      </w:r>
    </w:p>
    <w:p>
      <w:pPr>
        <w:sectPr>
          <w:pgSz w:w="11900" w:h="16838" w:orient="portrait"/>
          <w:cols w:equalWidth="0" w:num="1">
            <w:col w:w="11240"/>
          </w:cols>
          <w:pgMar w:left="320" w:top="115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RSUs and PSUs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 shares of common stock reserved for future issuance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33655</wp:posOffset>
            </wp:positionV>
            <wp:extent cx="20059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35" w:lineRule="exact"/>
        <w:rPr>
          <w:sz w:val="20"/>
          <w:szCs w:val="20"/>
          <w:color w:val="auto"/>
        </w:rPr>
      </w:pPr>
    </w:p>
    <w:p>
      <w:pPr>
        <w:ind w:left="6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61"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20,759,819</w:t>
      </w:r>
      <w:r>
        <w:rPr>
          <w:sz w:val="20"/>
          <w:szCs w:val="20"/>
          <w:color w:val="auto"/>
        </w:rPr>
        <w:tab/>
      </w:r>
      <w:r>
        <w:rPr>
          <w:rFonts w:ascii="Times New Roman" w:cs="Times New Roman" w:eastAsia="Times New Roman" w:hAnsi="Times New Roman"/>
          <w:sz w:val="17"/>
          <w:szCs w:val="17"/>
          <w:color w:val="auto"/>
        </w:rPr>
        <w:t>25,741,136</w:t>
      </w:r>
    </w:p>
    <w:p>
      <w:pPr>
        <w:spacing w:after="0" w:line="39"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84,272,083</w:t>
      </w:r>
      <w:r>
        <w:rPr>
          <w:sz w:val="20"/>
          <w:szCs w:val="20"/>
          <w:color w:val="auto"/>
        </w:rPr>
        <w:tab/>
      </w:r>
      <w:r>
        <w:rPr>
          <w:rFonts w:ascii="Times New Roman" w:cs="Times New Roman" w:eastAsia="Times New Roman" w:hAnsi="Times New Roman"/>
          <w:sz w:val="17"/>
          <w:szCs w:val="17"/>
          <w:color w:val="auto"/>
        </w:rPr>
        <w:t>73,189,660</w:t>
      </w:r>
    </w:p>
    <w:p>
      <w:pPr>
        <w:spacing w:after="0" w:line="34"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20,342,607</w:t>
      </w:r>
      <w:r>
        <w:rPr>
          <w:sz w:val="20"/>
          <w:szCs w:val="20"/>
          <w:color w:val="auto"/>
        </w:rPr>
        <w:tab/>
      </w:r>
      <w:r>
        <w:rPr>
          <w:rFonts w:ascii="Times New Roman" w:cs="Times New Roman" w:eastAsia="Times New Roman" w:hAnsi="Times New Roman"/>
          <w:sz w:val="17"/>
          <w:szCs w:val="17"/>
          <w:color w:val="auto"/>
        </w:rPr>
        <w:t>17,481,059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21590</wp:posOffset>
            </wp:positionV>
            <wp:extent cx="20059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3"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7"/>
          <w:szCs w:val="17"/>
          <w:color w:val="auto"/>
        </w:rPr>
        <w:t>125,374,509</w:t>
      </w:r>
      <w:r>
        <w:rPr>
          <w:sz w:val="20"/>
          <w:szCs w:val="20"/>
          <w:color w:val="auto"/>
        </w:rPr>
        <w:tab/>
      </w:r>
      <w:r>
        <w:rPr>
          <w:rFonts w:ascii="Times New Roman" w:cs="Times New Roman" w:eastAsia="Times New Roman" w:hAnsi="Times New Roman"/>
          <w:sz w:val="17"/>
          <w:szCs w:val="17"/>
          <w:color w:val="auto"/>
        </w:rPr>
        <w:t>116,411,855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24765</wp:posOffset>
            </wp:positionV>
            <wp:extent cx="2005965"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05965" cy="342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880" w:space="720"/>
            <w:col w:w="2640"/>
          </w:cols>
          <w:pgMar w:left="320" w:top="1156"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972"/>
        <w:spacing w:after="0" w:line="273"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(“the IPO”), the Company ceased granting awards under the 2012 Plan, and all</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shares that remained available for issuance under the 2012 Plan at that time were transferred to the </w:t>
      </w:r>
      <w:r>
        <w:rPr>
          <w:rFonts w:ascii="Times New Roman" w:cs="Times New Roman" w:eastAsia="Times New Roman" w:hAnsi="Times New Roman"/>
          <w:sz w:val="18"/>
          <w:szCs w:val="18"/>
          <w:color w:val="231F20"/>
        </w:rPr>
        <w:t>2019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Additionally, as of December 31, 2024, there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were 6,935,324 shares of Class A common stock issuable upon conversion of Class B common stock underlying options outstanding under the 2012 Plan. </w:t>
      </w:r>
      <w:r>
        <w:rPr>
          <w:rFonts w:ascii="Times New Roman" w:cs="Times New Roman" w:eastAsia="Times New Roman" w:hAnsi="Times New Roman"/>
          <w:sz w:val="18"/>
          <w:szCs w:val="18"/>
          <w:color w:val="000000"/>
        </w:rPr>
        <w:t xml:space="preserve">Under the </w:t>
      </w:r>
      <w:r>
        <w:rPr>
          <w:rFonts w:ascii="Times New Roman" w:cs="Times New Roman" w:eastAsia="Times New Roman" w:hAnsi="Times New Roman"/>
          <w:sz w:val="18"/>
          <w:szCs w:val="18"/>
          <w:color w:val="231F20"/>
        </w:rPr>
        <w:t>2019 Plan</w:t>
      </w:r>
      <w:r>
        <w:rPr>
          <w:rFonts w:ascii="Times New Roman" w:cs="Times New Roman" w:eastAsia="Times New Roman" w:hAnsi="Times New Roman"/>
          <w:sz w:val="18"/>
          <w:szCs w:val="18"/>
          <w:color w:val="000000"/>
        </w:rPr>
        <w:t xml:space="preserve">, the Board and any other committee or subcommittee of the Board may grant stock options, stock appreciation rights, restricted stock awards, restricted stock units (“RSUs”), and performance stock units (“PSUs”) and other awards, each equity award valued or based on the Company’s Class A common stock, to employees, directors, consultants, and advisors of the Company. </w:t>
      </w:r>
      <w:r>
        <w:rPr>
          <w:rFonts w:ascii="Times New Roman" w:cs="Times New Roman" w:eastAsia="Times New Roman" w:hAnsi="Times New Roman"/>
          <w:sz w:val="18"/>
          <w:szCs w:val="18"/>
          <w:color w:val="231F20"/>
        </w:rPr>
        <w:t>As of December 31, 2024, there were 84,272,083 shares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available for grant under the 2019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following table summarizes the Company's stock option activity and weighted-average exercise prices: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9"/>
              </w:rPr>
              <w:t>Weighted-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Number of</w:t>
            </w: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Weighted-</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200" w:type="dxa"/>
            <w:vAlign w:val="bottom"/>
          </w:tcPr>
          <w:p>
            <w:pPr>
              <w:spacing w:after="0"/>
              <w:rPr>
                <w:sz w:val="12"/>
                <w:szCs w:val="12"/>
                <w:color w:val="auto"/>
              </w:rPr>
            </w:pPr>
          </w:p>
        </w:tc>
        <w:tc>
          <w:tcPr>
            <w:tcW w:w="13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231F20"/>
              </w:rPr>
              <w:t>Remaining</w:t>
            </w:r>
          </w:p>
        </w:tc>
        <w:tc>
          <w:tcPr>
            <w:tcW w:w="2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231F20"/>
              </w:rPr>
              <w:t>Options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231F20"/>
              </w:rPr>
              <w:t>Contractual Life</w:t>
            </w:r>
          </w:p>
        </w:tc>
        <w:tc>
          <w:tcPr>
            <w:tcW w:w="200" w:type="dxa"/>
            <w:vAlign w:val="bottom"/>
          </w:tcPr>
          <w:p>
            <w:pPr>
              <w:spacing w:after="0"/>
              <w:rPr>
                <w:sz w:val="12"/>
                <w:szCs w:val="12"/>
                <w:color w:val="auto"/>
              </w:rPr>
            </w:pPr>
          </w:p>
        </w:tc>
        <w:tc>
          <w:tcPr>
            <w:tcW w:w="134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231F20"/>
              </w:rPr>
              <w:t>Outstanding</w:t>
            </w: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7"/>
              </w:rPr>
              <w:t>(in Years)</w:t>
            </w:r>
          </w:p>
        </w:tc>
        <w:tc>
          <w:tcPr>
            <w:tcW w:w="2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12,077,635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1,426,912</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(5,123,239)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6,953,119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961,910</w:t>
            </w: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6,953,119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961,910</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17,795 shares of Class A common stock and 6,935,324 shares of Class B common stock issuable upon the exercise of options outstanding. As of December 31, 2023, there were 22,926 shares of Class A common stock and 12,054,709 shares of Class B common stock issuable upon the exercise of options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Approximately all compensation cost related to unvested stock options was recognized as of December 31, 2024 and December 31, 2023.</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There were no options granted during the years ended December 31, 2024, 2023 and 2022. The Company received approximately $7.4 million, $20.9 million and $10.0 million in cash proceeds from options exercised during the years ended December 31, 2024, 2023 and 2022, respectively. The intrinsic value of options exercised during the years ended December 31, 2024, 2023 and 2022 was approximately $628.8 million, $565.9 million and $301.6 million, respectively. The aggregate fair value of options vested during the year ended December 31, 2024 was insignificant. The aggregate fair value of options vested during the years ended December 31, 2023 and 2022 was $12.5 million and $23.9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15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1,658,476</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(1,510,170)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13,806,700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1,972,839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231F20"/>
        </w:rPr>
        <w:t>The Company issued a total of 827 shares of restricted Class A common stock in connection with acquisitions, net of shares retired, during the year ended December 31, 2024, which are subject to service-based vesting conditions which do not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231F20"/>
        </w:rPr>
        <w:t>exceed four years from the respective grant dates. In addition, we issued 136,079 fully-vested shares in April 2024 in connection with an acquisition that closed in 2021.</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$1,378.1 million and $1,187.3 million as of December 31, 2024 and December 31, 2023, respectively. The weighted-average period over which the unvested RSUs and restricted shares of common stock will be recognized is 2.8 years as of December 31, 2024 and December 31, 2023.</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 xml:space="preserve">Total compensation cost related to unvested PSUs not yet recognized was approximately </w:t>
      </w:r>
      <w:r>
        <w:rPr>
          <w:rFonts w:ascii="Times New Roman" w:cs="Times New Roman" w:eastAsia="Times New Roman" w:hAnsi="Times New Roman"/>
          <w:sz w:val="18"/>
          <w:szCs w:val="18"/>
          <w:color w:val="000000"/>
        </w:rPr>
        <w:t>$52.3 million and $25.1 million</w:t>
      </w:r>
      <w:r>
        <w:rPr>
          <w:rFonts w:ascii="Times New Roman" w:cs="Times New Roman" w:eastAsia="Times New Roman" w:hAnsi="Times New Roman"/>
          <w:sz w:val="18"/>
          <w:szCs w:val="18"/>
          <w:color w:val="231F20"/>
        </w:rPr>
        <w:t xml:space="preserve"> as of December 31, 2024, and December 31, 2023, respectively. The weighted-average period over which the unvested PSUs will be recognized is </w:t>
      </w:r>
      <w:r>
        <w:rPr>
          <w:rFonts w:ascii="Times New Roman" w:cs="Times New Roman" w:eastAsia="Times New Roman" w:hAnsi="Times New Roman"/>
          <w:sz w:val="18"/>
          <w:szCs w:val="18"/>
          <w:color w:val="000000"/>
        </w:rPr>
        <w:t>1.3 years</w:t>
      </w:r>
      <w:r>
        <w:rPr>
          <w:rFonts w:ascii="Times New Roman" w:cs="Times New Roman" w:eastAsia="Times New Roman" w:hAnsi="Times New Roman"/>
          <w:sz w:val="18"/>
          <w:szCs w:val="18"/>
          <w:color w:val="231F20"/>
        </w:rPr>
        <w:t xml:space="preserve"> as of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Stock-based compensation was included in the consolidated statement of operations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38,472</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In September 2019, the Board adopted and approved the 2019 ESPP, which became effective on the date of the final prospectus for the Company’s IPO.</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Company recognized $15.3 million, $16.0 million, and $11.2 million of stock-based compensation expense related to the ESPP during the years ended December 31, 2024, 2023, and 2022, respectively.</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As of December 31, 2024 and 2023, $8.3 million and $6.6 million, respectively, has been withheld on behalf of employees for a future purchase under the ESPP due to the timing of payroll deductions.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 Company issued 449,249, 517,430, and 316,875 shares of Class A common stock under the ESPP. </w:t>
      </w:r>
      <w:r>
        <w:rPr>
          <w:rFonts w:ascii="Times New Roman" w:cs="Times New Roman" w:eastAsia="Times New Roman" w:hAnsi="Times New Roman"/>
          <w:sz w:val="18"/>
          <w:szCs w:val="18"/>
          <w:color w:val="231F20"/>
        </w:rPr>
        <w:t>As of December 31, 2024, 20,342,607 shares of Class A common stock remain available for grant under the ESPP.</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the ESPP not yet recognized was approximately $7.0 million and $6.8 million as of December 31, 2024 and 2023, respectively. The weighted average period over which this compensation cost will be recognized is 0.4 years as of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Interest Income and Other Income, Net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34,931</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Income Taxes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color w:val="231F20"/>
        </w:rPr>
        <w:t>For financial reporting purposes, income (loss) before income taxes, includes the following components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0340" w:type="dxa"/>
            <w:vAlign w:val="bottom"/>
            <w:gridSpan w:val="9"/>
          </w:tcPr>
          <w:p>
            <w:pPr>
              <w:ind w:left="980"/>
              <w:spacing w:after="0"/>
              <w:rPr>
                <w:sz w:val="20"/>
                <w:szCs w:val="20"/>
                <w:color w:val="auto"/>
              </w:rPr>
            </w:pPr>
            <w:r>
              <w:rPr>
                <w:rFonts w:ascii="Times New Roman" w:cs="Times New Roman" w:eastAsia="Times New Roman" w:hAnsi="Times New Roman"/>
                <w:sz w:val="18"/>
                <w:szCs w:val="18"/>
                <w:color w:val="231F20"/>
                <w:w w:val="99"/>
              </w:rPr>
              <w:t>Total income taxes allocated to operations for the years ended December 31, 2024, 2023 and 2022 were as follows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6" w:name="page87"/>
    <w:bookmarkEnd w:id="86"/>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Tax Rate Reconciliation</w:t>
      </w:r>
      <w:r>
        <w:rPr>
          <w:rFonts w:ascii="Times New Roman" w:cs="Times New Roman" w:eastAsia="Times New Roman" w:hAnsi="Times New Roman"/>
          <w:sz w:val="18"/>
          <w:szCs w:val="18"/>
          <w:color w:val="231F20"/>
        </w:rPr>
        <w:t>—Income tax expense was $20.2 million, $11.7 million and $12.1 million for the years ended December 31, 2024,</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2023 and 2022, respectively, and differed from the amounts computed by applying the U.S. federal statutory income tax rate of 21% for the years ended December 31, 2024, 2023 and 2022, to pretax income (loss) from operations as a result of the following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tax costs on international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 NOL balance adjustment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based compensation deductions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162(m)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 to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R&amp;D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Certain recla</w:t>
      </w:r>
      <w:r>
        <w:rPr>
          <w:rFonts w:ascii="Times New Roman" w:cs="Times New Roman" w:eastAsia="Times New Roman" w:hAnsi="Times New Roman"/>
          <w:sz w:val="18"/>
          <w:szCs w:val="18"/>
          <w:color w:val="000000"/>
        </w:rPr>
        <w:t>ssifications have been made to the components of Tax Rate Reconciliation for the year ending December 31, 2023 and 2022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conform to the 2024 presentation.</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 is subject to tax laws in the United States and numerous foreign jurisdictions. The United States and many international legislative and regulato</w:t>
      </w:r>
      <w:r>
        <w:rPr>
          <w:rFonts w:ascii="Times New Roman" w:cs="Times New Roman" w:eastAsia="Times New Roman" w:hAnsi="Times New Roman"/>
          <w:sz w:val="18"/>
          <w:szCs w:val="18"/>
          <w:color w:val="231F20"/>
        </w:rPr>
        <w:t>ry bodies continually propose and enact legislation that could significantly impact how U.S. multinational corporations are taxed.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Company is closely monitoring proposed legislation and its potential impact.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7" w:name="page88"/>
    <w:bookmarkEnd w:id="87"/>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color w:val="231F20"/>
        </w:rPr>
        <w:t>Components of Deferred Taxes</w:t>
      </w:r>
      <w:r>
        <w:rPr>
          <w:rFonts w:ascii="Times New Roman" w:cs="Times New Roman" w:eastAsia="Times New Roman" w:hAnsi="Times New Roman"/>
          <w:sz w:val="18"/>
          <w:szCs w:val="18"/>
          <w:color w:val="231F20"/>
        </w:rPr>
        <w:t>—The tax effects of temporary differences that give rise to the deferred tax assets and deferred tax liabilities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at December 31, 2024 and 2023 are presented below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R&amp;D tax credits net of uncertain tax positions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181,721</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569,087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(321,612)</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consist primarily of basis differences for financial reporting and tax purposes of certain assets and liabilities as well as income tax attributes.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Company's cumulative losses when considering permanent tax adjustments, management does not believe as of December 31, 2024 and 2023 that it is more likely than not that the Company will realize its U.S. deferred tax assets. As a result, a valuation allowance of $488.9 million and $321.6 million has been provided at December 31, 2024 and 2023, respectively. The valuation allowance changed by $167.3 million and $132.8 million at December 31, 2024 and 2023, respectively. Certain reclassifications have been made to the components of deferred tax for the year ending December 31, 2023 to conform to the 2024 presentation.</w:t>
      </w:r>
    </w:p>
    <w:p>
      <w:pPr>
        <w:spacing w:after="0" w:line="192"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231F20"/>
        </w:rPr>
        <w:t>For the year ending December 31, 2024, the Company utilized all of its net operating loss carryforwards for federal tax purposes except for acquired losses, offset against its federal taxable income for the year. As of December 31, 2024 Datadog has historically acquired losses for which it is evaluating the feasibility of future utilization under IRC section 382. For the year ending December 31, 2023, the Company had net operating loss carryforwards for federal tax purposes of approximately $148.9 million. U.S. Federal net operating losses generated after December 31, 2017 have an indefinite carryforward period but are subject to an 80% of taxable income limitation after December 31, 2020. The Company has approximately $263.0 million and $206.4 million of post-apportioned net operating loss carryforwards as of December 31, 2024 and 2023, respectively for various state tax purposes. The state net operating loss carryforwards will begin to expire in 2028, if not utilized.</w:t>
      </w:r>
    </w:p>
    <w:p>
      <w:pPr>
        <w:spacing w:after="0" w:line="18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Generally, the utilization of net operating losses may be subject to an annual limitation provided for in the Internal Revenue Code of 1986, as amended,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 amounts would become subject to U.S. taxation upon the remittance of dividends and under certain other circumstances.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231F20"/>
        </w:rPr>
        <w:t>Company has not provided U.S. taxes on unremitted earnings of its foreign subsidiaries as it asserts permanent reinvestment on any accumulated earnings and profits.</w:t>
      </w:r>
    </w:p>
    <w:p>
      <w:pPr>
        <w:spacing w:after="0" w:line="160"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231F20"/>
        </w:rPr>
        <w:t xml:space="preserve">Consistent with the provisions of ASC 740, </w:t>
      </w:r>
      <w:r>
        <w:rPr>
          <w:rFonts w:ascii="Times New Roman" w:cs="Times New Roman" w:eastAsia="Times New Roman" w:hAnsi="Times New Roman"/>
          <w:sz w:val="18"/>
          <w:szCs w:val="18"/>
          <w:i w:val="1"/>
          <w:iCs w:val="1"/>
          <w:color w:val="231F20"/>
        </w:rPr>
        <w:t>Income Taxes</w:t>
      </w:r>
      <w:r>
        <w:rPr>
          <w:rFonts w:ascii="Times New Roman" w:cs="Times New Roman" w:eastAsia="Times New Roman" w:hAnsi="Times New Roman"/>
          <w:sz w:val="18"/>
          <w:szCs w:val="18"/>
          <w:color w:val="231F20"/>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following table shows the changes in the gross amount of unrecognized tax benefits as of December 31, 2024, 2023 and 2022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of current year tax positions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of prior year tax positions due to lapse of statute of limitations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25,729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total amount of unrecognized tax benefits that, if recognized, would impact the effective tax rate would be $0.0 million for the year ended December 31, 2024 due to the excess of deferred tax attributes.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Company’s policy for classifying interest and penalties associated with unrecognized income tax benefits is to include such items in income tax expense. The total amount of interest and penalties associated with unrecognized income tax benefits is $0.0 million and $0.1 million for the years ended December 31, 2024 and 2023.</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As such the Company anticipates insignificant change to unrecognized tax benefits over the next 12 months.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files income tax returns in the U.S. federal jurisdiction, various state jurisdictions and in various international jurisdictions. Tax years 2017 and forward generally remain open for examination for federal and state tax purposes. To the extent utilized in future years’ tax returns, net operating loss carryforwards at December 31, 2024 and 2023 will remain subject to examination until the respective tax year is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(Loss) Per Share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Basic and diluted net income (loss)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equity in the Company.</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Basic and diluted net income (loss) per share is computed using the weighted-average number of common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per share of Class A common stock, the undistributed earnings are equal to net loss for that computation.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r>
      <w:tr>
        <w:trPr>
          <w:trHeight w:val="196"/>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29"/>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6"/>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calculating net income (loss) per share,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298,116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31,421</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3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6"/>
        </w:trPr>
        <w:tc>
          <w:tcPr>
            <w:tcW w:w="35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Allocation of distributed income (loss), net</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interest expense and related tax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173,585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175"/>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Reallocation of undistributed income (loss)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as a result of conversion of Class B to</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undistributed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35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107" w:right="339" w:bottom="1440" w:gutter="0" w:footer="0" w:header="0"/>
        </w:sectPr>
      </w:pPr>
    </w:p>
    <w:p>
      <w:pPr>
        <w:ind w:left="360"/>
        <w:spacing w:after="0"/>
        <w:rPr>
          <w:sz w:val="20"/>
          <w:szCs w:val="20"/>
          <w:color w:val="auto"/>
        </w:rPr>
      </w:pPr>
      <w:r>
        <w:rPr>
          <w:rFonts w:ascii="Times New Roman" w:cs="Times New Roman" w:eastAsia="Times New Roman" w:hAnsi="Times New Roman"/>
          <w:sz w:val="18"/>
          <w:szCs w:val="18"/>
          <w:color w:val="auto"/>
        </w:rPr>
        <w:t>Number of shares used in basic calculation</w:t>
      </w:r>
    </w:p>
    <w:p>
      <w:pPr>
        <w:spacing w:after="0" w:line="23" w:lineRule="exact"/>
        <w:rPr>
          <w:sz w:val="20"/>
          <w:szCs w:val="20"/>
          <w:color w:val="auto"/>
        </w:rPr>
      </w:pPr>
    </w:p>
    <w:p>
      <w:pPr>
        <w:ind w:left="360" w:right="780"/>
        <w:spacing w:after="0" w:line="234" w:lineRule="auto"/>
        <w:rPr>
          <w:sz w:val="20"/>
          <w:szCs w:val="20"/>
          <w:color w:val="auto"/>
        </w:rPr>
      </w:pPr>
      <w:r>
        <w:rPr>
          <w:rFonts w:ascii="Times New Roman" w:cs="Times New Roman" w:eastAsia="Times New Roman" w:hAnsi="Times New Roman"/>
          <w:sz w:val="18"/>
          <w:szCs w:val="18"/>
          <w:color w:val="auto"/>
        </w:rPr>
        <w:t>Weighted average effect of diluted securities:</w:t>
      </w:r>
    </w:p>
    <w:p>
      <w:pPr>
        <w:spacing w:after="0" w:line="10" w:lineRule="exact"/>
        <w:rPr>
          <w:sz w:val="20"/>
          <w:szCs w:val="20"/>
          <w:color w:val="auto"/>
        </w:rPr>
      </w:pPr>
    </w:p>
    <w:p>
      <w:pPr>
        <w:ind w:left="520" w:right="680"/>
        <w:spacing w:after="0" w:line="237" w:lineRule="auto"/>
        <w:rPr>
          <w:sz w:val="20"/>
          <w:szCs w:val="20"/>
          <w:color w:val="auto"/>
        </w:rPr>
      </w:pPr>
      <w:r>
        <w:rPr>
          <w:rFonts w:ascii="Times New Roman" w:cs="Times New Roman" w:eastAsia="Times New Roman" w:hAnsi="Times New Roman"/>
          <w:sz w:val="18"/>
          <w:szCs w:val="18"/>
          <w:color w:val="auto"/>
        </w:rPr>
        <w:t>Conversion of Class B to Class A common shares outstanding</w:t>
      </w:r>
    </w:p>
    <w:p>
      <w:pPr>
        <w:spacing w:after="0" w:line="10" w:lineRule="exact"/>
        <w:rPr>
          <w:sz w:val="20"/>
          <w:szCs w:val="20"/>
          <w:color w:val="auto"/>
        </w:rPr>
      </w:pPr>
    </w:p>
    <w:p>
      <w:pPr>
        <w:ind w:left="520" w:right="920"/>
        <w:spacing w:after="0" w:line="284" w:lineRule="auto"/>
        <w:rPr>
          <w:sz w:val="20"/>
          <w:szCs w:val="20"/>
          <w:color w:val="auto"/>
        </w:rPr>
      </w:pPr>
      <w:r>
        <w:rPr>
          <w:rFonts w:ascii="Times New Roman" w:cs="Times New Roman" w:eastAsia="Times New Roman" w:hAnsi="Times New Roman"/>
          <w:sz w:val="17"/>
          <w:szCs w:val="17"/>
          <w:color w:val="auto"/>
        </w:rPr>
        <w:t>Employee stock options Employee stock purchase plan</w:t>
      </w:r>
    </w:p>
    <w:p>
      <w:pPr>
        <w:spacing w:after="0" w:line="1" w:lineRule="exact"/>
        <w:rPr>
          <w:sz w:val="20"/>
          <w:szCs w:val="20"/>
          <w:color w:val="auto"/>
        </w:rPr>
      </w:pPr>
    </w:p>
    <w:p>
      <w:pPr>
        <w:ind w:left="520" w:right="300"/>
        <w:spacing w:after="0" w:line="234" w:lineRule="auto"/>
        <w:rPr>
          <w:sz w:val="20"/>
          <w:szCs w:val="20"/>
          <w:color w:val="auto"/>
        </w:rPr>
      </w:pPr>
      <w:r>
        <w:rPr>
          <w:rFonts w:ascii="Times New Roman" w:cs="Times New Roman" w:eastAsia="Times New Roman" w:hAnsi="Times New Roman"/>
          <w:sz w:val="18"/>
          <w:szCs w:val="18"/>
          <w:color w:val="auto"/>
        </w:rPr>
        <w:t>Restricted stock units and performance stock units</w:t>
      </w:r>
    </w:p>
    <w:p>
      <w:pPr>
        <w:spacing w:after="0" w:line="10" w:lineRule="exact"/>
        <w:rPr>
          <w:sz w:val="20"/>
          <w:szCs w:val="20"/>
          <w:color w:val="auto"/>
        </w:rPr>
      </w:pPr>
    </w:p>
    <w:p>
      <w:pPr>
        <w:ind w:left="520" w:right="260"/>
        <w:spacing w:after="0" w:line="237" w:lineRule="auto"/>
        <w:rPr>
          <w:sz w:val="20"/>
          <w:szCs w:val="20"/>
          <w:color w:val="auto"/>
        </w:rPr>
      </w:pPr>
      <w:r>
        <w:rPr>
          <w:rFonts w:ascii="Times New Roman" w:cs="Times New Roman" w:eastAsia="Times New Roman" w:hAnsi="Times New Roman"/>
          <w:sz w:val="18"/>
          <w:szCs w:val="18"/>
          <w:color w:val="auto"/>
        </w:rPr>
        <w:t>Unvested restricted stock in connection with acquisitions</w:t>
      </w:r>
    </w:p>
    <w:p>
      <w:pPr>
        <w:spacing w:after="0" w:line="10" w:lineRule="exact"/>
        <w:rPr>
          <w:sz w:val="20"/>
          <w:szCs w:val="20"/>
          <w:color w:val="auto"/>
        </w:rPr>
      </w:pPr>
    </w:p>
    <w:p>
      <w:pPr>
        <w:ind w:left="520" w:right="300"/>
        <w:spacing w:after="0" w:line="237" w:lineRule="auto"/>
        <w:rPr>
          <w:sz w:val="20"/>
          <w:szCs w:val="20"/>
          <w:color w:val="auto"/>
        </w:rPr>
      </w:pPr>
      <w:r>
        <w:rPr>
          <w:rFonts w:ascii="Times New Roman" w:cs="Times New Roman" w:eastAsia="Times New Roman" w:hAnsi="Times New Roman"/>
          <w:sz w:val="18"/>
          <w:szCs w:val="18"/>
          <w:color w:val="auto"/>
        </w:rPr>
        <w:t>Shares issuable upon conversion of the 2025 Notes</w:t>
      </w:r>
    </w:p>
    <w:p>
      <w:pPr>
        <w:spacing w:after="0" w:line="10" w:lineRule="exact"/>
        <w:rPr>
          <w:sz w:val="20"/>
          <w:szCs w:val="20"/>
          <w:color w:val="auto"/>
        </w:rPr>
      </w:pPr>
    </w:p>
    <w:p>
      <w:pPr>
        <w:ind w:left="520" w:right="300"/>
        <w:spacing w:after="0" w:line="237" w:lineRule="auto"/>
        <w:rPr>
          <w:sz w:val="20"/>
          <w:szCs w:val="20"/>
          <w:color w:val="auto"/>
        </w:rPr>
      </w:pPr>
      <w:r>
        <w:rPr>
          <w:rFonts w:ascii="Times New Roman" w:cs="Times New Roman" w:eastAsia="Times New Roman" w:hAnsi="Times New Roman"/>
          <w:sz w:val="18"/>
          <w:szCs w:val="18"/>
          <w:color w:val="auto"/>
        </w:rPr>
        <w:t>Shares issuable upon conversion of the 2029 Notes</w:t>
      </w:r>
    </w:p>
    <w:p>
      <w:pPr>
        <w:spacing w:after="0" w:line="10" w:lineRule="exact"/>
        <w:rPr>
          <w:sz w:val="20"/>
          <w:szCs w:val="20"/>
          <w:color w:val="auto"/>
        </w:rPr>
      </w:pPr>
    </w:p>
    <w:p>
      <w:pPr>
        <w:ind w:left="560" w:right="680"/>
        <w:spacing w:after="0" w:line="237" w:lineRule="auto"/>
        <w:rPr>
          <w:sz w:val="20"/>
          <w:szCs w:val="20"/>
          <w:color w:val="auto"/>
        </w:rPr>
      </w:pPr>
      <w:r>
        <w:rPr>
          <w:rFonts w:ascii="Times New Roman" w:cs="Times New Roman" w:eastAsia="Times New Roman" w:hAnsi="Times New Roman"/>
          <w:sz w:val="18"/>
          <w:szCs w:val="18"/>
          <w:color w:val="auto"/>
        </w:rPr>
        <w:t>Number of shares used in diluted calculation</w:t>
      </w:r>
    </w:p>
    <w:p>
      <w:pPr>
        <w:spacing w:after="0" w:line="23" w:lineRule="exact"/>
        <w:rPr>
          <w:sz w:val="20"/>
          <w:szCs w:val="20"/>
          <w:color w:val="auto"/>
        </w:rPr>
      </w:pPr>
    </w:p>
    <w:p>
      <w:pPr>
        <w:ind w:left="20"/>
        <w:spacing w:after="0"/>
        <w:tabs>
          <w:tab w:leader="none" w:pos="3520" w:val="left"/>
        </w:tabs>
        <w:rPr>
          <w:sz w:val="20"/>
          <w:szCs w:val="20"/>
          <w:color w:val="auto"/>
        </w:rPr>
      </w:pPr>
      <w:r>
        <w:rPr>
          <w:rFonts w:ascii="Times New Roman" w:cs="Times New Roman" w:eastAsia="Times New Roman" w:hAnsi="Times New Roman"/>
          <w:sz w:val="18"/>
          <w:szCs w:val="18"/>
          <w:color w:val="auto"/>
        </w:rPr>
        <w:t>Diluted net income (loss) per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310,113</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31,421</w:t>
            </w:r>
          </w:p>
        </w:tc>
      </w:tr>
      <w:tr>
        <w:trPr>
          <w:trHeight w:val="82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26,059</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9,128</w:t>
            </w: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4,701</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327</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8,032</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358,636</w:t>
            </w:r>
          </w:p>
        </w:tc>
        <w:tc>
          <w:tcPr>
            <w:tcW w:w="3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350,292</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315,410</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31,421</w:t>
            </w:r>
          </w:p>
        </w:tc>
      </w:tr>
      <w:tr>
        <w:trPr>
          <w:trHeight w:val="22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-2339340</wp:posOffset>
            </wp:positionV>
            <wp:extent cx="7046595" cy="265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46595" cy="26543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-1807845</wp:posOffset>
            </wp:positionV>
            <wp:extent cx="704659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46595" cy="1460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-1517015</wp:posOffset>
            </wp:positionV>
            <wp:extent cx="7046595" cy="266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46595" cy="2660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-985520</wp:posOffset>
            </wp:positionV>
            <wp:extent cx="7046595"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46595" cy="26543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-33655</wp:posOffset>
            </wp:positionV>
            <wp:extent cx="7454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-8255</wp:posOffset>
            </wp:positionV>
            <wp:extent cx="7454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549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-453390</wp:posOffset>
            </wp:positionV>
            <wp:extent cx="7046595"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4659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420"/>
            <w:col w:w="7200"/>
          </w:cols>
          <w:pgMar w:left="320" w:top="1107" w:right="339" w:bottom="1440" w:gutter="0" w:footer="0" w:header="0"/>
          <w:type w:val="continuous"/>
        </w:sectPr>
      </w:pPr>
    </w:p>
    <w:p>
      <w:pPr>
        <w:spacing w:after="0" w:line="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periods presented where the Company was in a loss position, basic net loss per share is the same as diluted net loss per share as the inclusion of all potential common shares outstanding would have been anti-dilutive. Potentially dilutive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securities that were not included in the diluted per share calculations because they would be anti-dilutive were as follows (in thousands):</w:t>
      </w:r>
    </w:p>
    <w:p>
      <w:pPr>
        <w:spacing w:after="0" w:line="13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8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2,248</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w:t>
            </w: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and restricted shares of common stock</w:t>
            </w:r>
          </w:p>
        </w:tc>
        <w:tc>
          <w:tcPr>
            <w:tcW w:w="13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2025 Notes</w:t>
            </w:r>
          </w:p>
        </w:tc>
        <w:tc>
          <w:tcPr>
            <w:tcW w:w="13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if-converted method for calculating any potential dilutive effect of the conversion options embedded in the Notes on diluted net income per share.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Notes. The effect of the Capped Calls was excluded from the calculation of diluted net income per share as the effect of the Capped Calls would have been anti-dilutive. The Capped Calls are expected to partially offset the potential dilution to the Company’s Class A common stock upon any conversion of the Notes.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2024.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December 31, 2024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Based on the results of its evaluation, management concluded that our internal control over financial reporting was effective as of December 31, 2024. Our independent registered public accounting firm, Deloitte &amp; Touche LLP, has issued an auditors’ report on the effectiveness of our internal control over financial reporting, which is included in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fiscal quarter ended December 31,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Datadog, Inc. and its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20,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Adoption Date</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Shares of Class A Common Stock to be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780" w:type="dxa"/>
            <w:vAlign w:val="bottom"/>
            <w:gridSpan w:val="2"/>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Sean Walters</w:t>
            </w: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Revenue Officer</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10, 2024</w:t>
            </w: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6"/>
                <w:szCs w:val="16"/>
                <w:color w:val="auto"/>
                <w:w w:val="97"/>
              </w:rPr>
              <w:t xml:space="preserve">Up to 122,068 </w:t>
            </w:r>
            <w:r>
              <w:rPr>
                <w:rFonts w:ascii="Times New Roman" w:cs="Times New Roman" w:eastAsia="Times New Roman" w:hAnsi="Times New Roman"/>
                <w:sz w:val="21"/>
                <w:szCs w:val="21"/>
                <w:color w:val="auto"/>
                <w:w w:val="97"/>
                <w:vertAlign w:val="superscript"/>
              </w:rPr>
              <w:t>(1)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31, 2026</w:t>
            </w:r>
          </w:p>
        </w:tc>
        <w:tc>
          <w:tcPr>
            <w:tcW w:w="0" w:type="dxa"/>
            <w:vAlign w:val="bottom"/>
          </w:tcPr>
          <w:p>
            <w:pPr>
              <w:spacing w:after="0"/>
              <w:rPr>
                <w:sz w:val="1"/>
                <w:szCs w:val="1"/>
                <w:color w:val="auto"/>
              </w:rPr>
            </w:pPr>
          </w:p>
        </w:tc>
      </w:tr>
      <w:tr>
        <w:trPr>
          <w:trHeight w:val="220"/>
        </w:trPr>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David Obstler</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Chief Financial Officer</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December 12,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107,500</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39"/>
        </w:trPr>
        <w:tc>
          <w:tcPr>
            <w:tcW w:w="1780" w:type="dxa"/>
            <w:vAlign w:val="bottom"/>
            <w:gridSpan w:val="2"/>
            <w:shd w:val="clear" w:color="auto" w:fill="CCEEFF"/>
          </w:tcPr>
          <w:p>
            <w:pPr>
              <w:jc w:val="center"/>
              <w:ind w:right="80"/>
              <w:spacing w:after="0" w:line="239" w:lineRule="exact"/>
              <w:rPr>
                <w:sz w:val="20"/>
                <w:szCs w:val="20"/>
                <w:color w:val="auto"/>
              </w:rPr>
            </w:pPr>
            <w:r>
              <w:rPr>
                <w:rFonts w:ascii="Times New Roman" w:cs="Times New Roman" w:eastAsia="Times New Roman" w:hAnsi="Times New Roman"/>
                <w:sz w:val="16"/>
                <w:szCs w:val="16"/>
                <w:color w:val="auto"/>
                <w:w w:val="97"/>
              </w:rPr>
              <w:t xml:space="preserve">Michael Callahan </w:t>
            </w:r>
            <w:r>
              <w:rPr>
                <w:rFonts w:ascii="Times New Roman" w:cs="Times New Roman" w:eastAsia="Times New Roman" w:hAnsi="Times New Roman"/>
                <w:sz w:val="21"/>
                <w:szCs w:val="21"/>
                <w:color w:val="auto"/>
                <w:w w:val="97"/>
                <w:vertAlign w:val="superscript"/>
              </w:rPr>
              <w:t>(2)</w:t>
            </w:r>
          </w:p>
        </w:tc>
        <w:tc>
          <w:tcPr>
            <w:tcW w:w="2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Director</w:t>
            </w: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December 12, 2024</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50"/>
        </w:trPr>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Kerry Acocella</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December 13, 2024</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 xml:space="preserve">Up to 47,668 </w:t>
            </w:r>
            <w:r>
              <w:rPr>
                <w:rFonts w:ascii="Times New Roman" w:cs="Times New Roman" w:eastAsia="Times New Roman" w:hAnsi="Times New Roman"/>
                <w:sz w:val="21"/>
                <w:szCs w:val="21"/>
                <w:color w:val="auto"/>
                <w:w w:val="97"/>
                <w:vertAlign w:val="superscript"/>
              </w:rPr>
              <w:t>(1)</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bl>
    <w:p>
      <w:pPr>
        <w:jc w:val="both"/>
        <w:ind w:left="360" w:right="20" w:hanging="334"/>
        <w:spacing w:after="0" w:line="241" w:lineRule="auto"/>
        <w:tabs>
          <w:tab w:leader="none" w:pos="3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w:t>
      </w:r>
    </w:p>
    <w:p>
      <w:pPr>
        <w:spacing w:after="0" w:line="1" w:lineRule="exact"/>
        <w:rPr>
          <w:rFonts w:ascii="Times New Roman" w:cs="Times New Roman" w:eastAsia="Times New Roman" w:hAnsi="Times New Roman"/>
          <w:sz w:val="14"/>
          <w:szCs w:val="14"/>
          <w:color w:val="auto"/>
        </w:rPr>
      </w:pPr>
    </w:p>
    <w:p>
      <w:pPr>
        <w:ind w:left="340" w:hanging="314"/>
        <w:spacing w:after="0"/>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sold under a Rule 10b5-1 trading plan by the Callahan-Thernstrom Family Trust.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as set forth below) will be included in the proxy statement for our 2025 annual meeting of stockholders to be filed with the SEC within 120 days after the end of our fiscal year ended December 31, 2024, or the 2025 Proxy Statement, and is incorporated herein by reference.</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The Code of Conduct is available on our website at www.investors.datadoghq.com.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Nasdaq.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2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0" w:type="dxa"/>
            <w:vAlign w:val="bottom"/>
          </w:tcPr>
          <w:p>
            <w:pPr>
              <w:spacing w:after="0"/>
              <w:rPr>
                <w:sz w:val="20"/>
                <w:szCs w:val="20"/>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800" w:type="dxa"/>
            <w:vAlign w:val="bottom"/>
          </w:tcPr>
          <w:p>
            <w:pPr>
              <w:spacing w:after="0"/>
              <w:rPr>
                <w:sz w:val="24"/>
                <w:szCs w:val="24"/>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tc>
        <w:tc>
          <w:tcPr>
            <w:tcW w:w="800" w:type="dxa"/>
            <w:vAlign w:val="bottom"/>
          </w:tcPr>
          <w:p>
            <w:pPr>
              <w:spacing w:after="0"/>
              <w:rPr>
                <w:sz w:val="24"/>
                <w:szCs w:val="24"/>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(1) All financial statements</w:t>
            </w:r>
          </w:p>
        </w:tc>
        <w:tc>
          <w:tcPr>
            <w:tcW w:w="8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3"/>
        </w:trPr>
        <w:tc>
          <w:tcPr>
            <w:tcW w:w="20" w:type="dxa"/>
            <w:vAlign w:val="bottom"/>
            <w:tcBorders>
              <w:top w:val="single" w:sz="8" w:color="auto"/>
            </w:tcBorders>
          </w:tcPr>
          <w:p>
            <w:pPr>
              <w:spacing w:after="0"/>
              <w:rPr>
                <w:sz w:val="15"/>
                <w:szCs w:val="15"/>
                <w:color w:val="auto"/>
              </w:rPr>
            </w:pPr>
          </w:p>
        </w:tc>
        <w:tc>
          <w:tcPr>
            <w:tcW w:w="10280" w:type="dxa"/>
            <w:vAlign w:val="bottom"/>
            <w:tcBorders>
              <w:top w:val="single" w:sz="8" w:color="auto"/>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720" w:type="dxa"/>
            <w:vAlign w:val="bottom"/>
            <w:gridSpan w:val="6"/>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09"/>
        </w:trPr>
        <w:tc>
          <w:tcPr>
            <w:tcW w:w="20" w:type="dxa"/>
            <w:vAlign w:val="bottom"/>
          </w:tcPr>
          <w:p>
            <w:pPr>
              <w:spacing w:after="0"/>
              <w:rPr>
                <w:sz w:val="18"/>
                <w:szCs w:val="18"/>
                <w:color w:val="auto"/>
              </w:rPr>
            </w:pPr>
          </w:p>
        </w:tc>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3520" w:type="dxa"/>
            <w:vAlign w:val="bottom"/>
            <w:gridSpan w:val="5"/>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09"/>
        </w:trPr>
        <w:tc>
          <w:tcPr>
            <w:tcW w:w="20" w:type="dxa"/>
            <w:vAlign w:val="bottom"/>
          </w:tcPr>
          <w:p>
            <w:pPr>
              <w:spacing w:after="0"/>
              <w:rPr>
                <w:sz w:val="18"/>
                <w:szCs w:val="18"/>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2024, 2023 and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10"/>
        </w:trPr>
        <w:tc>
          <w:tcPr>
            <w:tcW w:w="20" w:type="dxa"/>
            <w:vAlign w:val="bottom"/>
          </w:tcPr>
          <w:p>
            <w:pPr>
              <w:spacing w:after="0"/>
              <w:rPr>
                <w:sz w:val="18"/>
                <w:szCs w:val="18"/>
                <w:color w:val="auto"/>
              </w:rPr>
            </w:pPr>
          </w:p>
        </w:tc>
        <w:tc>
          <w:tcPr>
            <w:tcW w:w="7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680" w:type="dxa"/>
            <w:vAlign w:val="bottom"/>
            <w:tcBorders>
              <w:top w:val="single" w:sz="8" w:color="0000FF"/>
            </w:tcBorders>
          </w:tcPr>
          <w:p>
            <w:pPr>
              <w:spacing w:after="0"/>
              <w:rPr>
                <w:sz w:val="18"/>
                <w:szCs w:val="18"/>
                <w:color w:val="auto"/>
              </w:rPr>
            </w:pPr>
          </w:p>
        </w:tc>
        <w:tc>
          <w:tcPr>
            <w:tcW w:w="2100" w:type="dxa"/>
            <w:vAlign w:val="bottom"/>
            <w:gridSpan w:val="2"/>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10"/>
        </w:trPr>
        <w:tc>
          <w:tcPr>
            <w:tcW w:w="20" w:type="dxa"/>
            <w:vAlign w:val="bottom"/>
          </w:tcPr>
          <w:p>
            <w:pPr>
              <w:spacing w:after="0"/>
              <w:rPr>
                <w:sz w:val="18"/>
                <w:szCs w:val="18"/>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460" w:type="dxa"/>
            <w:vAlign w:val="bottom"/>
            <w:gridSpan w:val="4"/>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20" w:type="dxa"/>
            <w:vAlign w:val="bottom"/>
            <w:gridSpan w:val="8"/>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tcBorders>
              <w:top w:val="single" w:sz="8" w:color="auto"/>
            </w:tcBorders>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80" w:type="dxa"/>
            <w:vAlign w:val="bottom"/>
            <w:tcBorders>
              <w:top w:val="single" w:sz="8" w:color="auto"/>
            </w:tcBorders>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820" w:type="dxa"/>
            <w:vAlign w:val="bottom"/>
            <w:gridSpan w:val="18"/>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8"/>
        </w:trPr>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gridSpan w:val="18"/>
          </w:tcPr>
          <w:p>
            <w:pPr>
              <w:spacing w:after="0" w:line="18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Certificate of Incorporation</w:t>
              </w:r>
            </w:hyperlink>
          </w:p>
        </w:tc>
        <w:tc>
          <w:tcPr>
            <w:tcW w:w="1200" w:type="dxa"/>
            <w:vAlign w:val="bottom"/>
            <w:tcBorders>
              <w:top w:val="single" w:sz="8" w:color="auto"/>
            </w:tcBorders>
          </w:tcPr>
          <w:p>
            <w:pPr>
              <w:jc w:val="center"/>
              <w:ind w:left="3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September 23,</w:t>
            </w: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of Datadog, Inc.</w:t>
              </w:r>
            </w:hyperlink>
          </w:p>
        </w:tc>
        <w:tc>
          <w:tcPr>
            <w:tcW w:w="25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Amended and Restated Bylaws of Datadog, Inc.</w:t>
              </w:r>
            </w:hyperlink>
          </w:p>
        </w:tc>
        <w:tc>
          <w:tcPr>
            <w:tcW w:w="340" w:type="dxa"/>
            <w:vAlign w:val="bottom"/>
            <w:gridSpan w:val="9"/>
          </w:tcPr>
          <w:p>
            <w:pPr>
              <w:spacing w:after="0"/>
              <w:rPr>
                <w:sz w:val="24"/>
                <w:szCs w:val="24"/>
                <w:color w:val="auto"/>
              </w:rPr>
            </w:pPr>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2023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Class A Common Stock Certificate.</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Description of Securities.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10-K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Indenture, dated June 2, 2020, between Datadog,</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2020</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Inc. and U.S. Bank National Association, as Trustee.</w:t>
              </w:r>
            </w:hyperlink>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Global Note representing Datadog, Inc.’s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2020</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125%</w:t>
              </w:r>
              <w:r>
                <w:rPr>
                  <w:rFonts w:ascii="Times New Roman" w:cs="Times New Roman" w:eastAsia="Times New Roman" w:hAnsi="Times New Roman"/>
                  <w:sz w:val="18"/>
                  <w:szCs w:val="18"/>
                  <w:color w:val="0000FF"/>
                </w:rPr>
                <w:t xml:space="preserve"> Convertible Senior Notes due 2025</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Indenture, dated December 12, 2024, between</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18"/>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Datadog, Inc. and U.S. Bank National Association,</w:t>
              </w:r>
            </w:hyperlink>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as Trustee</w:t>
              </w:r>
            </w:hyperlink>
          </w:p>
        </w:tc>
        <w:tc>
          <w:tcPr>
            <w:tcW w:w="294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Global Note representing Datadog, Inc.’s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0.</w:t>
              </w:r>
              <w:r>
                <w:rPr>
                  <w:rFonts w:ascii="Times New Roman" w:cs="Times New Roman" w:eastAsia="Times New Roman" w:hAnsi="Times New Roman"/>
                  <w:sz w:val="18"/>
                  <w:szCs w:val="18"/>
                  <w:u w:val="single" w:color="auto"/>
                  <w:color w:val="0000FF"/>
                  <w:w w:val="99"/>
                </w:rPr>
                <w:t>00%</w:t>
              </w:r>
              <w:r>
                <w:rPr>
                  <w:rFonts w:ascii="Times New Roman" w:cs="Times New Roman" w:eastAsia="Times New Roman" w:hAnsi="Times New Roman"/>
                  <w:sz w:val="18"/>
                  <w:szCs w:val="18"/>
                  <w:color w:val="0000FF"/>
                  <w:w w:val="99"/>
                </w:rPr>
                <w:t xml:space="preserve"> Convertible Senior Notes due 2029</w:t>
              </w:r>
            </w:hyperlink>
          </w:p>
        </w:tc>
        <w:tc>
          <w:tcPr>
            <w:tcW w:w="540" w:type="dxa"/>
            <w:vAlign w:val="bottom"/>
            <w:tcBorders>
              <w:top w:val="single" w:sz="8" w:color="0000FF"/>
            </w:tcBorders>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Datadog, Inc. 2012 Equity Incentive Plan, and terms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2019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of agreements thereunder.</w:t>
              </w:r>
            </w:hyperlink>
          </w:p>
        </w:tc>
        <w:tc>
          <w:tcPr>
            <w:tcW w:w="19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Datadog, Inc. 2019 Equity Incentive Plan and terms</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of agreements thereunder.</w:t>
              </w:r>
            </w:hyperlink>
          </w:p>
        </w:tc>
        <w:tc>
          <w:tcPr>
            <w:tcW w:w="1860" w:type="dxa"/>
            <w:vAlign w:val="bottom"/>
            <w:tcBorders>
              <w:top w:val="single" w:sz="8" w:color="0000FF"/>
            </w:tcBorders>
            <w:gridSpan w:val="11"/>
          </w:tcPr>
          <w:p>
            <w:pPr>
              <w:spacing w:after="0"/>
              <w:rPr>
                <w:sz w:val="13"/>
                <w:szCs w:val="13"/>
                <w:color w:val="auto"/>
              </w:rPr>
            </w:pPr>
          </w:p>
        </w:tc>
        <w:tc>
          <w:tcPr>
            <w:tcW w:w="8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Datadog, Inc. 2019 Employee Stock Purchase Plan.</w:t>
              </w:r>
            </w:hyperlink>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3"/>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6" w:name="page97"/>
    <w:bookmarkEnd w:id="96"/>
    <w:tbl>
      <w:tblPr>
        <w:tblLayout w:type="fixed"/>
        <w:tblInd w:w="60" w:type="dxa"/>
        <w:tblCellMar>
          <w:top w:w="0" w:type="dxa"/>
          <w:left w:w="0" w:type="dxa"/>
          <w:bottom w:w="0" w:type="dxa"/>
          <w:right w:w="0" w:type="dxa"/>
        </w:tblCellMar>
      </w:tblPr>
      <w:tr>
        <w:trPr>
          <w:trHeight w:val="20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10.4#</w:t>
            </w:r>
          </w:p>
        </w:tc>
        <w:tc>
          <w:tcPr>
            <w:tcW w:w="3960" w:type="dxa"/>
            <w:vAlign w:val="bottom"/>
            <w:gridSpan w:val="5"/>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Performance Stock Units (PSU) Grant Notice and</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001-39051</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August 8, 2022</w:t>
            </w:r>
          </w:p>
        </w:tc>
      </w:tr>
      <w:tr>
        <w:trPr>
          <w:trHeight w:val="156"/>
        </w:trPr>
        <w:tc>
          <w:tcPr>
            <w:tcW w:w="860" w:type="dxa"/>
            <w:vAlign w:val="bottom"/>
          </w:tcPr>
          <w:p>
            <w:pPr>
              <w:spacing w:after="0"/>
              <w:rPr>
                <w:sz w:val="13"/>
                <w:szCs w:val="13"/>
                <w:color w:val="auto"/>
              </w:rPr>
            </w:pPr>
          </w:p>
        </w:tc>
        <w:tc>
          <w:tcPr>
            <w:tcW w:w="360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Award Agreement</w:t>
              </w:r>
            </w:hyperlink>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77"/>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10.5#</w:t>
            </w:r>
          </w:p>
        </w:tc>
        <w:tc>
          <w:tcPr>
            <w:tcW w:w="3960" w:type="dxa"/>
            <w:vAlign w:val="bottom"/>
            <w:gridSpan w:val="5"/>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Indemnity Agreement entered into by and</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333-233428</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September 9,</w:t>
            </w:r>
          </w:p>
        </w:tc>
      </w:tr>
      <w:tr>
        <w:trPr>
          <w:trHeight w:val="156"/>
        </w:trPr>
        <w:tc>
          <w:tcPr>
            <w:tcW w:w="860" w:type="dxa"/>
            <w:vAlign w:val="bottom"/>
          </w:tcPr>
          <w:p>
            <w:pPr>
              <w:spacing w:after="0"/>
              <w:rPr>
                <w:sz w:val="13"/>
                <w:szCs w:val="13"/>
                <w:color w:val="auto"/>
              </w:rPr>
            </w:pPr>
          </w:p>
        </w:tc>
        <w:tc>
          <w:tcPr>
            <w:tcW w:w="36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between Datadog, Inc. and each director and</w:t>
              </w:r>
            </w:hyperlink>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jc w:val="center"/>
              <w:ind w:left="150"/>
              <w:spacing w:after="0" w:line="156" w:lineRule="exact"/>
              <w:rPr>
                <w:sz w:val="20"/>
                <w:szCs w:val="20"/>
                <w:color w:val="auto"/>
              </w:rPr>
            </w:pPr>
            <w:r>
              <w:rPr>
                <w:rFonts w:ascii="Times New Roman" w:cs="Times New Roman" w:eastAsia="Times New Roman" w:hAnsi="Times New Roman"/>
                <w:sz w:val="18"/>
                <w:szCs w:val="18"/>
                <w:color w:val="auto"/>
                <w:w w:val="99"/>
              </w:rPr>
              <w:t>2019</w:t>
            </w:r>
          </w:p>
        </w:tc>
      </w:tr>
      <w:tr>
        <w:trPr>
          <w:trHeight w:val="155"/>
        </w:trPr>
        <w:tc>
          <w:tcPr>
            <w:tcW w:w="860" w:type="dxa"/>
            <w:vAlign w:val="bottom"/>
          </w:tcPr>
          <w:p>
            <w:pPr>
              <w:spacing w:after="0"/>
              <w:rPr>
                <w:sz w:val="13"/>
                <w:szCs w:val="13"/>
                <w:color w:val="auto"/>
              </w:rPr>
            </w:pPr>
          </w:p>
        </w:tc>
        <w:tc>
          <w:tcPr>
            <w:tcW w:w="13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executive officer.</w:t>
              </w:r>
            </w:hyperlink>
          </w:p>
        </w:tc>
        <w:tc>
          <w:tcPr>
            <w:tcW w:w="1900" w:type="dxa"/>
            <w:vAlign w:val="bottom"/>
            <w:tcBorders>
              <w:top w:val="single" w:sz="8" w:color="0000FF"/>
            </w:tcBorders>
          </w:tcPr>
          <w:p>
            <w:pPr>
              <w:spacing w:after="0"/>
              <w:rPr>
                <w:sz w:val="13"/>
                <w:szCs w:val="13"/>
                <w:color w:val="auto"/>
              </w:rPr>
            </w:pPr>
          </w:p>
        </w:tc>
        <w:tc>
          <w:tcPr>
            <w:tcW w:w="740" w:type="dxa"/>
            <w:vAlign w:val="bottom"/>
            <w:gridSpan w:val="3"/>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63" w:lineRule="exact"/>
        <w:rPr>
          <w:sz w:val="20"/>
          <w:szCs w:val="20"/>
          <w:color w:val="auto"/>
        </w:rPr>
      </w:pPr>
    </w:p>
    <w:p>
      <w:pPr>
        <w:sectPr>
          <w:pgSz w:w="11900" w:h="16838" w:orient="portrait"/>
          <w:cols w:equalWidth="0" w:num="1">
            <w:col w:w="10420"/>
          </w:cols>
          <w:pgMar w:left="620" w:top="1013" w:right="859" w:bottom="1440" w:gutter="0" w:footer="0" w:header="0"/>
        </w:sectPr>
      </w:pPr>
    </w:p>
    <w:p>
      <w:pPr>
        <w:spacing w:after="0" w:line="27" w:lineRule="exact"/>
        <w:rPr>
          <w:sz w:val="20"/>
          <w:szCs w:val="20"/>
          <w:color w:val="auto"/>
        </w:rPr>
      </w:pPr>
    </w:p>
    <w:p>
      <w:pPr>
        <w:jc w:val="center"/>
        <w:ind w:right="22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36">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0000FF"/>
          </w:rPr>
          <w:t>Olivier Pomel, dated May 20, 2011.</w:t>
        </w:r>
      </w:hyperlink>
    </w:p>
    <w:p>
      <w:pPr>
        <w:spacing w:after="0" w:line="64" w:lineRule="exact"/>
        <w:rPr>
          <w:sz w:val="20"/>
          <w:szCs w:val="20"/>
          <w:color w:val="auto"/>
        </w:rPr>
      </w:pPr>
    </w:p>
    <w:p>
      <w:pPr>
        <w:ind w:left="920" w:right="280" w:hanging="874"/>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37">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David Obstler, dated August 28, 2018.</w:t>
        </w:r>
      </w:hyperlink>
    </w:p>
    <w:p>
      <w:pPr>
        <w:spacing w:after="0" w:line="64" w:lineRule="exact"/>
        <w:rPr>
          <w:sz w:val="20"/>
          <w:szCs w:val="20"/>
          <w:color w:val="auto"/>
        </w:rPr>
      </w:pPr>
    </w:p>
    <w:p>
      <w:pPr>
        <w:ind w:left="920" w:right="280" w:hanging="874"/>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38">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Alexis Lê-Quôc, dated May 20, 2011.</w:t>
        </w:r>
      </w:hyperlink>
    </w:p>
    <w:p>
      <w:pPr>
        <w:spacing w:after="0" w:line="52" w:lineRule="exact"/>
        <w:rPr>
          <w:sz w:val="20"/>
          <w:szCs w:val="20"/>
          <w:color w:val="auto"/>
        </w:rPr>
      </w:pPr>
    </w:p>
    <w:p>
      <w:pPr>
        <w:ind w:left="60"/>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39">
        <w:r>
          <w:rPr>
            <w:rFonts w:ascii="Times New Roman" w:cs="Times New Roman" w:eastAsia="Times New Roman" w:hAnsi="Times New Roman"/>
            <w:sz w:val="17"/>
            <w:szCs w:val="17"/>
            <w:u w:val="single" w:color="auto"/>
            <w:color w:val="0000FF"/>
          </w:rPr>
          <w:t>Offer Letter, by and between Datadog, Inc. and</w:t>
        </w:r>
      </w:hyperlink>
    </w:p>
    <w:p>
      <w:pPr>
        <w:jc w:val="center"/>
        <w:ind w:right="24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Amit Agarwal, dated May 4, 2012.</w:t>
        </w:r>
      </w:hyperlink>
    </w:p>
    <w:p>
      <w:pPr>
        <w:spacing w:after="0" w:line="70" w:lineRule="exact"/>
        <w:rPr>
          <w:sz w:val="20"/>
          <w:szCs w:val="20"/>
          <w:color w:val="auto"/>
        </w:rPr>
      </w:pPr>
    </w:p>
    <w:p>
      <w:pPr>
        <w:ind w:left="920" w:right="280" w:hanging="919"/>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40">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Adam Blitzer, dated April 23, 2021.</w:t>
        </w:r>
      </w:hyperlink>
    </w:p>
    <w:p>
      <w:pPr>
        <w:spacing w:after="0" w:line="64" w:lineRule="exact"/>
        <w:rPr>
          <w:sz w:val="20"/>
          <w:szCs w:val="20"/>
          <w:color w:val="auto"/>
        </w:rPr>
      </w:pPr>
    </w:p>
    <w:p>
      <w:pPr>
        <w:ind w:left="920" w:right="160" w:hanging="916"/>
        <w:spacing w:after="0" w:line="263"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41">
        <w:r>
          <w:rPr>
            <w:rFonts w:ascii="Times New Roman" w:cs="Times New Roman" w:eastAsia="Times New Roman" w:hAnsi="Times New Roman"/>
            <w:sz w:val="17"/>
            <w:szCs w:val="17"/>
            <w:u w:val="single" w:color="auto"/>
            <w:color w:val="0000FF"/>
          </w:rPr>
          <w:t>Amended Offer Letter, by and between Datadog,</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Inc. and Sean Walters, dated January 5, 2022</w:t>
        </w:r>
      </w:hyperlink>
    </w:p>
    <w:p>
      <w:pPr>
        <w:spacing w:after="0" w:line="44" w:lineRule="exact"/>
        <w:rPr>
          <w:sz w:val="20"/>
          <w:szCs w:val="20"/>
          <w:color w:val="auto"/>
        </w:rPr>
      </w:pPr>
    </w:p>
    <w:p>
      <w:pPr>
        <w:ind w:left="920" w:right="160" w:hanging="919"/>
        <w:spacing w:after="0" w:line="263" w:lineRule="auto"/>
        <w:tabs>
          <w:tab w:leader="none" w:pos="9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u w:val="single" w:color="auto"/>
          <w:color w:val="0000FF"/>
        </w:rPr>
        <w:t>Amended Offer Letter, by and between Datadog, Inc. and Yanbing Li, dated June 27, 2024</w:t>
      </w:r>
    </w:p>
    <w:p>
      <w:pPr>
        <w:spacing w:after="0" w:line="44" w:lineRule="exact"/>
        <w:rPr>
          <w:sz w:val="20"/>
          <w:szCs w:val="20"/>
          <w:color w:val="auto"/>
        </w:rPr>
      </w:pPr>
    </w:p>
    <w:p>
      <w:pPr>
        <w:ind w:left="920" w:hanging="874"/>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2">
        <w:r>
          <w:rPr>
            <w:rFonts w:ascii="Times New Roman" w:cs="Times New Roman" w:eastAsia="Times New Roman" w:hAnsi="Times New Roman"/>
            <w:sz w:val="18"/>
            <w:szCs w:val="18"/>
            <w:u w:val="single" w:color="auto"/>
            <w:color w:val="0000FF"/>
          </w:rPr>
          <w:t>Agreement of Sub-Sub-Sublease, by and between</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Datadog, Inc. and Ideeli Inc., dated April 14, 2016.</w:t>
        </w:r>
      </w:hyperlink>
    </w:p>
    <w:p>
      <w:pPr>
        <w:spacing w:after="0" w:line="64" w:lineRule="exact"/>
        <w:rPr>
          <w:sz w:val="20"/>
          <w:szCs w:val="20"/>
          <w:color w:val="auto"/>
        </w:rPr>
      </w:pPr>
    </w:p>
    <w:p>
      <w:pPr>
        <w:ind w:left="920" w:right="440" w:hanging="874"/>
        <w:spacing w:after="0" w:line="22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3">
        <w:r>
          <w:rPr>
            <w:rFonts w:ascii="Times New Roman" w:cs="Times New Roman" w:eastAsia="Times New Roman" w:hAnsi="Times New Roman"/>
            <w:sz w:val="18"/>
            <w:szCs w:val="18"/>
            <w:u w:val="single" w:color="auto"/>
            <w:color w:val="0000FF"/>
          </w:rPr>
          <w:t>Agreement of Sub-Sublease, by and between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Datadog, Inc. and BT Americas Inc., dated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September 18,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September 9,</w:t>
            </w:r>
          </w:p>
        </w:tc>
      </w:tr>
      <w:tr>
        <w:trPr>
          <w:trHeight w:val="234"/>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8"/>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September 9,</w:t>
            </w:r>
          </w:p>
        </w:tc>
      </w:tr>
      <w:tr>
        <w:trPr>
          <w:trHeight w:val="234"/>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92"/>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May 7, 2021</w:t>
            </w:r>
          </w:p>
        </w:tc>
      </w:tr>
      <w:tr>
        <w:trPr>
          <w:trHeight w:val="473"/>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May 7, 2021</w:t>
            </w:r>
          </w:p>
        </w:tc>
      </w:tr>
      <w:tr>
        <w:trPr>
          <w:trHeight w:val="473"/>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May 6, 2022</w:t>
            </w:r>
          </w:p>
        </w:tc>
      </w:tr>
      <w:tr>
        <w:trPr>
          <w:trHeight w:val="418"/>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February 24,</w:t>
            </w:r>
          </w:p>
        </w:tc>
      </w:tr>
      <w:tr>
        <w:trPr>
          <w:trHeight w:val="234"/>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92"/>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76"/>
              </w:rPr>
              <w:t>X</w:t>
            </w:r>
          </w:p>
        </w:tc>
      </w:tr>
      <w:tr>
        <w:trPr>
          <w:trHeight w:val="473"/>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473"/>
        </w:trPr>
        <w:tc>
          <w:tcPr>
            <w:tcW w:w="7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S-1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August 23, 2019</w:t>
            </w:r>
          </w:p>
        </w:tc>
      </w:tr>
    </w:tbl>
    <w:p>
      <w:pPr>
        <w:spacing w:after="0" w:line="4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4600" w:space="580"/>
            <w:col w:w="5240"/>
          </w:cols>
          <w:pgMar w:left="620" w:top="1013" w:right="8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10.15#</w:t>
            </w:r>
          </w:p>
        </w:tc>
        <w:tc>
          <w:tcPr>
            <w:tcW w:w="4040" w:type="dxa"/>
            <w:vAlign w:val="bottom"/>
            <w:gridSpan w:val="2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Amended and Restated Non-Employee Director</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August 9, 2023</w:t>
            </w:r>
          </w:p>
        </w:tc>
      </w:tr>
      <w:tr>
        <w:trPr>
          <w:trHeight w:val="156"/>
        </w:trPr>
        <w:tc>
          <w:tcPr>
            <w:tcW w:w="920" w:type="dxa"/>
            <w:vAlign w:val="bottom"/>
          </w:tcPr>
          <w:p>
            <w:pPr>
              <w:spacing w:after="0"/>
              <w:rPr>
                <w:sz w:val="13"/>
                <w:szCs w:val="13"/>
                <w:color w:val="auto"/>
              </w:rPr>
            </w:pPr>
          </w:p>
        </w:tc>
        <w:tc>
          <w:tcPr>
            <w:tcW w:w="34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Compensation Policy.</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10.16#</w:t>
            </w:r>
          </w:p>
        </w:tc>
        <w:tc>
          <w:tcPr>
            <w:tcW w:w="4040" w:type="dxa"/>
            <w:vAlign w:val="bottom"/>
            <w:gridSpan w:val="2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Change of Control and Severance</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333-233428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20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September 9,</w:t>
            </w:r>
          </w:p>
        </w:tc>
      </w:tr>
      <w:tr>
        <w:trPr>
          <w:trHeight w:val="156"/>
        </w:trPr>
        <w:tc>
          <w:tcPr>
            <w:tcW w:w="9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Agreement.</w:t>
              </w:r>
            </w:hyperlink>
          </w:p>
        </w:tc>
        <w:tc>
          <w:tcPr>
            <w:tcW w:w="220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jc w:val="center"/>
              <w:ind w:right="410"/>
              <w:spacing w:after="0" w:line="156" w:lineRule="exact"/>
              <w:rPr>
                <w:sz w:val="20"/>
                <w:szCs w:val="20"/>
                <w:color w:val="auto"/>
              </w:rPr>
            </w:pPr>
            <w:r>
              <w:rPr>
                <w:rFonts w:ascii="Times New Roman" w:cs="Times New Roman" w:eastAsia="Times New Roman" w:hAnsi="Times New Roman"/>
                <w:sz w:val="18"/>
                <w:szCs w:val="18"/>
                <w:color w:val="auto"/>
                <w:w w:val="99"/>
              </w:rPr>
              <w:t>2019</w:t>
            </w: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10.17</w:t>
            </w:r>
          </w:p>
        </w:tc>
        <w:tc>
          <w:tcPr>
            <w:tcW w:w="3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Form of Confirmation for Capped Call Transaction.</w:t>
              </w:r>
            </w:hyperlink>
          </w:p>
        </w:tc>
        <w:tc>
          <w:tcPr>
            <w:tcW w:w="300" w:type="dxa"/>
            <w:vAlign w:val="bottom"/>
            <w:gridSpan w:val="3"/>
          </w:tcPr>
          <w:p>
            <w:pPr>
              <w:spacing w:after="0"/>
              <w:rPr>
                <w:sz w:val="24"/>
                <w:szCs w:val="24"/>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June 2, 2020</w:t>
            </w:r>
          </w:p>
        </w:tc>
      </w:tr>
      <w:tr>
        <w:trPr>
          <w:trHeight w:val="264"/>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10.18</w:t>
            </w:r>
          </w:p>
        </w:tc>
        <w:tc>
          <w:tcPr>
            <w:tcW w:w="4040" w:type="dxa"/>
            <w:vAlign w:val="bottom"/>
            <w:gridSpan w:val="2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Confirmation for Capped Call Transaction.</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20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December 12,</w:t>
            </w:r>
          </w:p>
        </w:tc>
      </w:tr>
      <w:tr>
        <w:trPr>
          <w:trHeight w:val="214"/>
        </w:trPr>
        <w:tc>
          <w:tcPr>
            <w:tcW w:w="9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8"/>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10.19</w:t>
            </w:r>
          </w:p>
        </w:tc>
        <w:tc>
          <w:tcPr>
            <w:tcW w:w="4040" w:type="dxa"/>
            <w:vAlign w:val="bottom"/>
            <w:gridSpan w:val="2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Agreement of Sublease, by and between Datadog,</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March 1, 2021</w:t>
            </w:r>
          </w:p>
        </w:tc>
      </w:tr>
      <w:tr>
        <w:trPr>
          <w:trHeight w:val="156"/>
        </w:trPr>
        <w:tc>
          <w:tcPr>
            <w:tcW w:w="9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Inc. and Clearbridge Investments, LLC, dated July</w:t>
              </w:r>
            </w:hyperlink>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5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6"/>
              </w:rPr>
            </w:pPr>
            <w:hyperlink r:id="rId148">
              <w:r>
                <w:rPr>
                  <w:rFonts w:ascii="Times New Roman" w:cs="Times New Roman" w:eastAsia="Times New Roman" w:hAnsi="Times New Roman"/>
                  <w:sz w:val="18"/>
                  <w:szCs w:val="18"/>
                  <w:color w:val="0000FF"/>
                  <w:w w:val="96"/>
                </w:rPr>
                <w:t>9, 2020</w:t>
              </w:r>
            </w:hyperlink>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10.20</w:t>
            </w:r>
          </w:p>
        </w:tc>
        <w:tc>
          <w:tcPr>
            <w:tcW w:w="4040" w:type="dxa"/>
            <w:vAlign w:val="bottom"/>
            <w:gridSpan w:val="2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Lease, by and between Datadog, Inc. and FC Eighth</w:t>
              </w:r>
            </w:hyperlink>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August 8, 2022</w:t>
            </w:r>
          </w:p>
        </w:tc>
      </w:tr>
      <w:tr>
        <w:trPr>
          <w:trHeight w:val="155"/>
        </w:trPr>
        <w:tc>
          <w:tcPr>
            <w:tcW w:w="920" w:type="dxa"/>
            <w:vAlign w:val="bottom"/>
          </w:tcPr>
          <w:p>
            <w:pPr>
              <w:spacing w:after="0"/>
              <w:rPr>
                <w:sz w:val="13"/>
                <w:szCs w:val="13"/>
                <w:color w:val="auto"/>
              </w:rPr>
            </w:pPr>
          </w:p>
        </w:tc>
        <w:tc>
          <w:tcPr>
            <w:tcW w:w="37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Ave., LLC, dated July 28,2022.</w:t>
              </w:r>
            </w:hyperlink>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19.1</w:t>
            </w:r>
          </w:p>
        </w:tc>
        <w:tc>
          <w:tcPr>
            <w:tcW w:w="22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780" w:type="dxa"/>
            <w:vAlign w:val="bottom"/>
            <w:gridSpan w:val="14"/>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4"/>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21.1</w:t>
            </w:r>
          </w:p>
        </w:tc>
        <w:tc>
          <w:tcPr>
            <w:tcW w:w="4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List of Subsidiaries of Datadog, Inc.</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3"/>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23.1</w:t>
            </w:r>
          </w:p>
        </w:tc>
        <w:tc>
          <w:tcPr>
            <w:tcW w:w="4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920" w:type="dxa"/>
            <w:vAlign w:val="bottom"/>
          </w:tcPr>
          <w:p>
            <w:pPr>
              <w:spacing w:after="0"/>
              <w:rPr>
                <w:sz w:val="13"/>
                <w:szCs w:val="13"/>
                <w:color w:val="auto"/>
              </w:rPr>
            </w:pPr>
          </w:p>
        </w:tc>
        <w:tc>
          <w:tcPr>
            <w:tcW w:w="34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24.1</w:t>
            </w:r>
          </w:p>
        </w:tc>
        <w:tc>
          <w:tcPr>
            <w:tcW w:w="4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Power of Attorney (incorporated by reference to the</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920" w:type="dxa"/>
            <w:vAlign w:val="bottom"/>
          </w:tcPr>
          <w:p>
            <w:pPr>
              <w:spacing w:after="0"/>
              <w:rPr>
                <w:sz w:val="13"/>
                <w:szCs w:val="13"/>
                <w:color w:val="auto"/>
              </w:rPr>
            </w:pPr>
          </w:p>
        </w:tc>
        <w:tc>
          <w:tcPr>
            <w:tcW w:w="374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signature pages of this Annual Report on Form 10-</w:t>
            </w:r>
          </w:p>
        </w:tc>
        <w:tc>
          <w:tcPr>
            <w:tcW w:w="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68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K).</w:t>
            </w:r>
          </w:p>
        </w:tc>
        <w:tc>
          <w:tcPr>
            <w:tcW w:w="1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31.1</w:t>
            </w:r>
          </w:p>
        </w:tc>
        <w:tc>
          <w:tcPr>
            <w:tcW w:w="4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920" w:type="dxa"/>
            <w:vAlign w:val="bottom"/>
          </w:tcPr>
          <w:p>
            <w:pPr>
              <w:spacing w:after="0"/>
              <w:rPr>
                <w:sz w:val="13"/>
                <w:szCs w:val="13"/>
                <w:color w:val="auto"/>
              </w:rPr>
            </w:pPr>
          </w:p>
        </w:tc>
        <w:tc>
          <w:tcPr>
            <w:tcW w:w="31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0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under the</w:t>
            </w: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380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ind w:left="920"/>
        <w:spacing w:after="0" w:line="205" w:lineRule="auto"/>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w:t>
      </w:r>
    </w:p>
    <w:p>
      <w:pPr>
        <w:ind w:left="920"/>
        <w:spacing w:after="0"/>
        <w:rPr>
          <w:sz w:val="20"/>
          <w:szCs w:val="20"/>
          <w:color w:val="auto"/>
        </w:rPr>
      </w:pPr>
      <w:r>
        <w:rPr>
          <w:rFonts w:ascii="Times New Roman" w:cs="Times New Roman" w:eastAsia="Times New Roman" w:hAnsi="Times New Roman"/>
          <w:sz w:val="18"/>
          <w:szCs w:val="18"/>
          <w:u w:val="single" w:color="auto"/>
          <w:color w:val="0000FF"/>
        </w:rPr>
        <w:t>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620" w:top="1013" w:right="859" w:bottom="1440" w:gutter="0" w:footer="0" w:header="0"/>
          <w:type w:val="continuous"/>
        </w:sectPr>
      </w:pPr>
    </w:p>
    <w:bookmarkStart w:id="97" w:name="page98"/>
    <w:bookmarkEnd w:id="97"/>
    <w:tbl>
      <w:tblPr>
        <w:tblLayout w:type="fixed"/>
        <w:tblInd w:w="220" w:type="dxa"/>
        <w:tblCellMar>
          <w:top w:w="0" w:type="dxa"/>
          <w:left w:w="0" w:type="dxa"/>
          <w:bottom w:w="0" w:type="dxa"/>
          <w:right w:w="0" w:type="dxa"/>
        </w:tblCellMar>
      </w:tblPr>
      <w:tr>
        <w:trPr>
          <w:trHeight w:val="20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31.2</w:t>
            </w:r>
          </w:p>
        </w:tc>
        <w:tc>
          <w:tcPr>
            <w:tcW w:w="4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to Rules 13a-14(a) and 15d-14(a) under the</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402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w:t>
            </w: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328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6"/>
              </w:rPr>
              <w:t>Pursuant to Section 302 of the Sarbanes-Oxley</w:t>
            </w:r>
          </w:p>
        </w:tc>
        <w:tc>
          <w:tcPr>
            <w:tcW w:w="740" w:type="dxa"/>
            <w:vAlign w:val="bottom"/>
            <w:gridSpan w:val="10"/>
          </w:tcPr>
          <w:p>
            <w:pPr>
              <w:jc w:val="right"/>
              <w:ind w:right="340"/>
              <w:spacing w:after="0" w:line="169" w:lineRule="exact"/>
              <w:rPr>
                <w:sz w:val="20"/>
                <w:szCs w:val="20"/>
                <w:color w:val="auto"/>
              </w:rPr>
            </w:pPr>
            <w:r>
              <w:rPr>
                <w:rFonts w:ascii="Times New Roman" w:cs="Times New Roman" w:eastAsia="Times New Roman" w:hAnsi="Times New Roman"/>
                <w:sz w:val="18"/>
                <w:szCs w:val="18"/>
                <w:color w:val="0000FF"/>
              </w:rPr>
              <w:t>Act</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368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32.1*</w:t>
            </w:r>
          </w:p>
        </w:tc>
        <w:tc>
          <w:tcPr>
            <w:tcW w:w="3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880" w:type="dxa"/>
            <w:vAlign w:val="bottom"/>
            <w:gridSpan w:val="13"/>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4020" w:type="dxa"/>
            <w:vAlign w:val="bottom"/>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348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540" w:type="dxa"/>
            <w:vAlign w:val="bottom"/>
            <w:gridSpan w:val="8"/>
          </w:tcPr>
          <w:p>
            <w:pPr>
              <w:jc w:val="right"/>
              <w:ind w:right="340"/>
              <w:spacing w:after="0" w:line="155" w:lineRule="exact"/>
              <w:rPr>
                <w:sz w:val="20"/>
                <w:szCs w:val="20"/>
                <w:color w:val="auto"/>
              </w:rPr>
            </w:pPr>
            <w:r>
              <w:rPr>
                <w:rFonts w:ascii="Times New Roman" w:cs="Times New Roman" w:eastAsia="Times New Roman" w:hAnsi="Times New Roman"/>
                <w:sz w:val="17"/>
                <w:szCs w:val="17"/>
                <w:color w:val="0000FF"/>
                <w:w w:val="73"/>
              </w:rPr>
              <w:t>Act</w:t>
            </w: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368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32.2*</w:t>
            </w:r>
          </w:p>
        </w:tc>
        <w:tc>
          <w:tcPr>
            <w:tcW w:w="4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1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to 18 U.S.C. Section 1350, as Adopted Pursuant to</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366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 w:type="dxa"/>
            <w:vAlign w:val="bottom"/>
            <w:gridSpan w:val="2"/>
          </w:tcPr>
          <w:p>
            <w:pPr>
              <w:spacing w:after="0"/>
              <w:rPr>
                <w:sz w:val="13"/>
                <w:szCs w:val="13"/>
                <w:color w:val="auto"/>
              </w:rPr>
            </w:pPr>
          </w:p>
        </w:tc>
        <w:tc>
          <w:tcPr>
            <w:tcW w:w="3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97.1*</w:t>
            </w:r>
          </w:p>
        </w:tc>
        <w:tc>
          <w:tcPr>
            <w:tcW w:w="346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Policy Relating to Recovery of Erroneously</w:t>
              </w:r>
            </w:hyperlink>
          </w:p>
        </w:tc>
        <w:tc>
          <w:tcPr>
            <w:tcW w:w="560" w:type="dxa"/>
            <w:vAlign w:val="bottom"/>
            <w:gridSpan w:val="9"/>
          </w:tcPr>
          <w:p>
            <w:pPr>
              <w:spacing w:after="0"/>
              <w:rPr>
                <w:sz w:val="24"/>
                <w:szCs w:val="24"/>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001-39051</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97.1</w:t>
            </w:r>
          </w:p>
        </w:tc>
        <w:tc>
          <w:tcPr>
            <w:tcW w:w="2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February 23,</w:t>
            </w:r>
          </w:p>
        </w:tc>
      </w:tr>
      <w:tr>
        <w:trPr>
          <w:trHeight w:val="155"/>
        </w:trPr>
        <w:tc>
          <w:tcPr>
            <w:tcW w:w="10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Awarded Compensation</w:t>
              </w:r>
            </w:hyperlink>
          </w:p>
        </w:tc>
        <w:tc>
          <w:tcPr>
            <w:tcW w:w="142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ind w:left="580"/>
              <w:spacing w:after="0" w:line="156" w:lineRule="exact"/>
              <w:rPr>
                <w:sz w:val="20"/>
                <w:szCs w:val="20"/>
                <w:color w:val="auto"/>
              </w:rPr>
            </w:pPr>
            <w:r>
              <w:rPr>
                <w:rFonts w:ascii="Times New Roman" w:cs="Times New Roman" w:eastAsia="Times New Roman" w:hAnsi="Times New Roman"/>
                <w:sz w:val="18"/>
                <w:szCs w:val="18"/>
                <w:color w:val="auto"/>
              </w:rPr>
              <w:t>2024</w:t>
            </w: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101.INS</w:t>
            </w:r>
          </w:p>
        </w:tc>
        <w:tc>
          <w:tcPr>
            <w:tcW w:w="4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3"/>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35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XBRL Taxonomy Extension Schema Document</w:t>
            </w:r>
          </w:p>
        </w:tc>
        <w:tc>
          <w:tcPr>
            <w:tcW w:w="520" w:type="dxa"/>
            <w:vAlign w:val="bottom"/>
            <w:gridSpan w:val="7"/>
          </w:tcPr>
          <w:p>
            <w:pPr>
              <w:spacing w:after="0"/>
              <w:rPr>
                <w:sz w:val="22"/>
                <w:szCs w:val="22"/>
                <w:color w:val="auto"/>
              </w:rPr>
            </w:pPr>
          </w:p>
        </w:tc>
        <w:tc>
          <w:tcPr>
            <w:tcW w:w="1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26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101.CAL</w:t>
            </w:r>
          </w:p>
        </w:tc>
        <w:tc>
          <w:tcPr>
            <w:tcW w:w="4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1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8"/>
              </w:rPr>
              <w:t>Document</w:t>
            </w:r>
          </w:p>
        </w:tc>
        <w:tc>
          <w:tcPr>
            <w:tcW w:w="2880" w:type="dxa"/>
            <w:vAlign w:val="bottom"/>
            <w:tcBorders>
              <w:top w:val="single" w:sz="8" w:color="auto"/>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3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7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4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8"/>
              </w:rPr>
              <w:t>Document</w:t>
            </w:r>
          </w:p>
        </w:tc>
        <w:tc>
          <w:tcPr>
            <w:tcW w:w="2800" w:type="dxa"/>
            <w:vAlign w:val="bottom"/>
            <w:tcBorders>
              <w:top w:val="single" w:sz="8" w:color="auto"/>
            </w:tcBorders>
            <w:gridSpan w:val="11"/>
          </w:tcPr>
          <w:p>
            <w:pPr>
              <w:spacing w:after="0"/>
              <w:rPr>
                <w:sz w:val="13"/>
                <w:szCs w:val="13"/>
                <w:color w:val="auto"/>
              </w:rPr>
            </w:pPr>
          </w:p>
        </w:tc>
        <w:tc>
          <w:tcPr>
            <w:tcW w:w="140" w:type="dxa"/>
            <w:vAlign w:val="bottom"/>
            <w:gridSpan w:val="4"/>
          </w:tcPr>
          <w:p>
            <w:pPr>
              <w:spacing w:after="0"/>
              <w:rPr>
                <w:sz w:val="13"/>
                <w:szCs w:val="13"/>
                <w:color w:val="auto"/>
              </w:rPr>
            </w:pPr>
          </w:p>
        </w:tc>
        <w:tc>
          <w:tcPr>
            <w:tcW w:w="3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101.LAB</w:t>
            </w:r>
          </w:p>
        </w:tc>
        <w:tc>
          <w:tcPr>
            <w:tcW w:w="4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8"/>
              </w:rPr>
              <w:t>Document</w:t>
            </w:r>
          </w:p>
        </w:tc>
        <w:tc>
          <w:tcPr>
            <w:tcW w:w="2460" w:type="dxa"/>
            <w:vAlign w:val="bottom"/>
            <w:tcBorders>
              <w:top w:val="single" w:sz="8" w:color="auto"/>
            </w:tcBorders>
            <w:gridSpan w:val="6"/>
          </w:tcPr>
          <w:p>
            <w:pPr>
              <w:spacing w:after="0"/>
              <w:rPr>
                <w:sz w:val="13"/>
                <w:szCs w:val="13"/>
                <w:color w:val="auto"/>
              </w:rPr>
            </w:pPr>
          </w:p>
        </w:tc>
        <w:tc>
          <w:tcPr>
            <w:tcW w:w="480" w:type="dxa"/>
            <w:vAlign w:val="bottom"/>
            <w:gridSpan w:val="9"/>
          </w:tcPr>
          <w:p>
            <w:pPr>
              <w:spacing w:after="0"/>
              <w:rPr>
                <w:sz w:val="13"/>
                <w:szCs w:val="13"/>
                <w:color w:val="auto"/>
              </w:rPr>
            </w:pPr>
          </w:p>
        </w:tc>
        <w:tc>
          <w:tcPr>
            <w:tcW w:w="3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101.PRE</w:t>
            </w:r>
          </w:p>
        </w:tc>
        <w:tc>
          <w:tcPr>
            <w:tcW w:w="4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76"/>
              </w:rPr>
              <w:t>X</w:t>
            </w:r>
          </w:p>
        </w:tc>
      </w:tr>
      <w:tr>
        <w:trPr>
          <w:trHeight w:val="155"/>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8"/>
              </w:rPr>
              <w:t>Document</w:t>
            </w:r>
          </w:p>
        </w:tc>
        <w:tc>
          <w:tcPr>
            <w:tcW w:w="2940" w:type="dxa"/>
            <w:vAlign w:val="bottom"/>
            <w:tcBorders>
              <w:top w:val="single" w:sz="8" w:color="auto"/>
            </w:tcBorders>
            <w:gridSpan w:val="15"/>
          </w:tcPr>
          <w:p>
            <w:pPr>
              <w:spacing w:after="0"/>
              <w:rPr>
                <w:sz w:val="13"/>
                <w:szCs w:val="13"/>
                <w:color w:val="auto"/>
              </w:rPr>
            </w:pPr>
          </w:p>
        </w:tc>
        <w:tc>
          <w:tcPr>
            <w:tcW w:w="3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7" w:lineRule="exact"/>
        <w:rPr>
          <w:sz w:val="20"/>
          <w:szCs w:val="20"/>
          <w:color w:val="auto"/>
        </w:rPr>
      </w:pPr>
    </w:p>
    <w:p>
      <w:pPr>
        <w:ind w:left="820" w:hanging="812"/>
        <w:spacing w:after="0" w:line="255" w:lineRule="auto"/>
        <w:tabs>
          <w:tab w:leader="none" w:pos="3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82"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DATADOG, INC.</w:t>
            </w:r>
          </w:p>
        </w:tc>
      </w:tr>
      <w:tr>
        <w:trPr>
          <w:trHeight w:val="49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Olivier Pomel</w:t>
            </w:r>
          </w:p>
        </w:tc>
      </w:tr>
      <w:tr>
        <w:trPr>
          <w:trHeight w:val="218"/>
        </w:trPr>
        <w:tc>
          <w:tcPr>
            <w:tcW w:w="3660" w:type="dxa"/>
            <w:vAlign w:val="bottom"/>
          </w:tcPr>
          <w:p>
            <w:pPr>
              <w:spacing w:after="0"/>
              <w:rPr>
                <w:sz w:val="18"/>
                <w:szCs w:val="18"/>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4"/>
        </w:trPr>
        <w:tc>
          <w:tcPr>
            <w:tcW w:w="3660" w:type="dxa"/>
            <w:vAlign w:val="bottom"/>
          </w:tcPr>
          <w:p>
            <w:pPr>
              <w:spacing w:after="0"/>
              <w:rPr>
                <w:sz w:val="20"/>
                <w:szCs w:val="20"/>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Olivier Pomel and Alexis Lê-Quôc,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9" w:name="page100"/>
    <w:bookmarkEnd w:id="99"/>
    <w:p>
      <w:pPr>
        <w:ind w:left="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33655</wp:posOffset>
            </wp:positionV>
            <wp:extent cx="2040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Olivier Pomel</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David Obstler</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Alexis Le-Qu</w:t>
      </w:r>
      <w:r>
        <w:rPr>
          <w:rFonts w:ascii="Times New Roman" w:cs="Times New Roman" w:eastAsia="Times New Roman" w:hAnsi="Times New Roman"/>
          <w:sz w:val="18"/>
          <w:szCs w:val="18"/>
          <w:color w:val="auto"/>
        </w:rPr>
        <w:t>ô</w:t>
      </w:r>
      <w:r>
        <w:rPr>
          <w:rFonts w:ascii="Times New Roman" w:cs="Times New Roman" w:eastAsia="Times New Roman" w:hAnsi="Times New Roman"/>
          <w:sz w:val="18"/>
          <w:szCs w:val="18"/>
          <w:i w:val="1"/>
          <w:i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Alexis Le-Quôc</w:t>
      </w:r>
    </w:p>
    <w:p>
      <w:pPr>
        <w:spacing w:after="0" w:line="3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Amit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Amit Agarwal</w:t>
      </w:r>
    </w:p>
    <w:p>
      <w:pPr>
        <w:spacing w:after="0" w:line="3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Michael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Michael Callahan</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Titi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Titi Cole</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Dev Ittycheria</w:t>
      </w:r>
    </w:p>
    <w:p>
      <w:pPr>
        <w:spacing w:after="0" w:line="3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 Matthew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Matthew Jacobson</w:t>
      </w:r>
    </w:p>
    <w:p>
      <w:pPr>
        <w:spacing w:after="0" w:line="3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 Julie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Julie Richardson</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Shardul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Shardul Shah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4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5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52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440" w:type="dxa"/>
            <w:vAlign w:val="bottom"/>
          </w:tcPr>
          <w:p>
            <w:pPr>
              <w:spacing w:after="0"/>
              <w:rPr>
                <w:sz w:val="20"/>
                <w:szCs w:val="20"/>
                <w:color w:val="auto"/>
              </w:rPr>
            </w:pPr>
          </w:p>
        </w:tc>
      </w:tr>
      <w:tr>
        <w:trPr>
          <w:trHeight w:val="57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440" w:type="dxa"/>
            <w:vAlign w:val="bottom"/>
          </w:tcPr>
          <w:p>
            <w:pPr>
              <w:spacing w:after="0"/>
              <w:rPr>
                <w:sz w:val="20"/>
                <w:szCs w:val="20"/>
                <w:color w:val="auto"/>
              </w:rPr>
            </w:pPr>
          </w:p>
        </w:tc>
      </w:tr>
      <w:tr>
        <w:trPr>
          <w:trHeight w:val="62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79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79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2">
            <w:col w:w="1780" w:space="720"/>
            <w:col w:w="7880"/>
          </w:cols>
          <w:pgMar w:left="1140" w:top="1019" w:right="37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Datadog, Inc.</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620 8th Avenue, 45th Floor</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New York, NY 10018</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(866) 329-4466</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www.datadoghq.com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105535" cy="1148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11055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Yanbing 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Yanbing,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Datadog, Inc. (the “Company”) is pleased to offer you employment on the following terms:</w:t>
      </w:r>
    </w:p>
    <w:p>
      <w:pPr>
        <w:spacing w:after="0" w:line="248" w:lineRule="exact"/>
        <w:rPr>
          <w:sz w:val="20"/>
          <w:szCs w:val="20"/>
          <w:color w:val="auto"/>
        </w:rPr>
      </w:pPr>
    </w:p>
    <w:p>
      <w:pPr>
        <w:jc w:val="both"/>
        <w:ind w:left="340" w:hanging="332"/>
        <w:spacing w:after="0" w:line="259"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Position. </w:t>
      </w:r>
      <w:r>
        <w:rPr>
          <w:rFonts w:ascii="Times New Roman" w:cs="Times New Roman" w:eastAsia="Times New Roman" w:hAnsi="Times New Roman"/>
          <w:sz w:val="18"/>
          <w:szCs w:val="18"/>
          <w:color w:val="auto"/>
        </w:rPr>
        <w:t>Your initial title will be</w:t>
      </w:r>
      <w:r>
        <w:rPr>
          <w:rFonts w:ascii="Times New Roman" w:cs="Times New Roman" w:eastAsia="Times New Roman" w:hAnsi="Times New Roman"/>
          <w:sz w:val="18"/>
          <w:szCs w:val="18"/>
          <w:b w:val="1"/>
          <w:bCs w:val="1"/>
          <w:color w:val="auto"/>
        </w:rPr>
        <w:t xml:space="preserve"> Chief Product Officer (CPO)</w:t>
      </w:r>
      <w:r>
        <w:rPr>
          <w:rFonts w:ascii="Times New Roman" w:cs="Times New Roman" w:eastAsia="Times New Roman" w:hAnsi="Times New Roman"/>
          <w:sz w:val="18"/>
          <w:szCs w:val="18"/>
          <w:color w:val="auto"/>
        </w:rPr>
        <w:t>, and you will report to the Company’s</w:t>
      </w:r>
      <w:r>
        <w:rPr>
          <w:rFonts w:ascii="Times New Roman" w:cs="Times New Roman" w:eastAsia="Times New Roman" w:hAnsi="Times New Roman"/>
          <w:sz w:val="18"/>
          <w:szCs w:val="18"/>
          <w:b w:val="1"/>
          <w:bCs w:val="1"/>
          <w:color w:val="auto"/>
        </w:rPr>
        <w:t xml:space="preserve"> Chief Executive Officer </w:t>
      </w:r>
      <w:r>
        <w:rPr>
          <w:rFonts w:ascii="Times New Roman" w:cs="Times New Roman" w:eastAsia="Times New Roman" w:hAnsi="Times New Roman"/>
          <w:sz w:val="18"/>
          <w:szCs w:val="18"/>
          <w:color w:val="auto"/>
        </w:rPr>
        <w:t>beginning on</w:t>
      </w:r>
      <w:r>
        <w:rPr>
          <w:rFonts w:ascii="Times New Roman" w:cs="Times New Roman" w:eastAsia="Times New Roman" w:hAnsi="Times New Roman"/>
          <w:sz w:val="18"/>
          <w:szCs w:val="18"/>
          <w:b w:val="1"/>
          <w:bCs w:val="1"/>
          <w:color w:val="auto"/>
        </w:rPr>
        <w:t xml:space="preserve"> August 5, 2024</w:t>
      </w:r>
      <w:r>
        <w:rPr>
          <w:rFonts w:ascii="Times New Roman" w:cs="Times New Roman" w:eastAsia="Times New Roman" w:hAnsi="Times New Roman"/>
          <w:sz w:val="18"/>
          <w:szCs w:val="18"/>
          <w:color w:val="auto"/>
        </w:rPr>
        <w:t>. This is a</w:t>
      </w:r>
      <w:r>
        <w:rPr>
          <w:rFonts w:ascii="Times New Roman" w:cs="Times New Roman" w:eastAsia="Times New Roman" w:hAnsi="Times New Roman"/>
          <w:sz w:val="18"/>
          <w:szCs w:val="18"/>
          <w:b w:val="1"/>
          <w:bCs w:val="1"/>
          <w:color w:val="auto"/>
        </w:rPr>
        <w:t xml:space="preserve"> full-time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exempt </w:t>
      </w:r>
      <w:r>
        <w:rPr>
          <w:rFonts w:ascii="Times New Roman" w:cs="Times New Roman" w:eastAsia="Times New Roman" w:hAnsi="Times New Roman"/>
          <w:sz w:val="18"/>
          <w:szCs w:val="18"/>
          <w:color w:val="auto"/>
        </w:rPr>
        <w:t>position based in</w:t>
      </w:r>
      <w:r>
        <w:rPr>
          <w:rFonts w:ascii="Times New Roman" w:cs="Times New Roman" w:eastAsia="Times New Roman" w:hAnsi="Times New Roman"/>
          <w:sz w:val="18"/>
          <w:szCs w:val="18"/>
          <w:b w:val="1"/>
          <w:bCs w:val="1"/>
          <w:color w:val="auto"/>
        </w:rPr>
        <w:t xml:space="preserve"> New York, New York</w:t>
      </w:r>
      <w:r>
        <w:rPr>
          <w:rFonts w:ascii="Times New Roman" w:cs="Times New Roman" w:eastAsia="Times New Roman" w:hAnsi="Times New Roman"/>
          <w:sz w:val="18"/>
          <w:szCs w:val="18"/>
          <w:color w:val="auto"/>
        </w:rPr>
        <w:t>. While you render services to the Company, you will not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The Company will pay you a starting salary of</w:t>
      </w:r>
      <w:r>
        <w:rPr>
          <w:rFonts w:ascii="Times New Roman" w:cs="Times New Roman" w:eastAsia="Times New Roman" w:hAnsi="Times New Roman"/>
          <w:sz w:val="18"/>
          <w:szCs w:val="18"/>
          <w:b w:val="1"/>
          <w:bCs w:val="1"/>
          <w:color w:val="auto"/>
        </w:rPr>
        <w:t xml:space="preserve"> $17,708.33 </w:t>
      </w:r>
      <w:r>
        <w:rPr>
          <w:rFonts w:ascii="Times New Roman" w:cs="Times New Roman" w:eastAsia="Times New Roman" w:hAnsi="Times New Roman"/>
          <w:sz w:val="18"/>
          <w:szCs w:val="18"/>
          <w:color w:val="auto"/>
        </w:rPr>
        <w:t>per pay period (equivalent to</w:t>
      </w:r>
      <w:r>
        <w:rPr>
          <w:rFonts w:ascii="Times New Roman" w:cs="Times New Roman" w:eastAsia="Times New Roman" w:hAnsi="Times New Roman"/>
          <w:sz w:val="18"/>
          <w:szCs w:val="18"/>
          <w:b w:val="1"/>
          <w:bCs w:val="1"/>
          <w:color w:val="auto"/>
        </w:rPr>
        <w:t xml:space="preserve"> $425,000.00 </w:t>
      </w:r>
      <w:r>
        <w:rPr>
          <w:rFonts w:ascii="Times New Roman" w:cs="Times New Roman" w:eastAsia="Times New Roman" w:hAnsi="Times New Roman"/>
          <w:sz w:val="18"/>
          <w:szCs w:val="18"/>
          <w:color w:val="auto"/>
        </w:rPr>
        <w:t>annually), subject to appropriate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withholdings and deductions, payable in accordance with the Company’s standard payroll schedule. This salary may be subject to adjustment pursuant to the Company’s compensation policies in effect from time to time. As an exempt employee, you will not be entitled to overtime pay and your salary is intended to cover all hours worked, including any hours worked in excess of limits mandated by applicable law.</w:t>
      </w:r>
    </w:p>
    <w:p>
      <w:pPr>
        <w:spacing w:after="0" w:line="203"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You will also be eligible for an annualized target bonus of</w:t>
      </w:r>
      <w:r>
        <w:rPr>
          <w:rFonts w:ascii="Times New Roman" w:cs="Times New Roman" w:eastAsia="Times New Roman" w:hAnsi="Times New Roman"/>
          <w:sz w:val="18"/>
          <w:szCs w:val="18"/>
          <w:b w:val="1"/>
          <w:bCs w:val="1"/>
          <w:color w:val="auto"/>
        </w:rPr>
        <w:t xml:space="preserve"> $400,000.00</w:t>
      </w:r>
      <w:r>
        <w:rPr>
          <w:rFonts w:ascii="Times New Roman" w:cs="Times New Roman" w:eastAsia="Times New Roman" w:hAnsi="Times New Roman"/>
          <w:sz w:val="18"/>
          <w:szCs w:val="18"/>
          <w:color w:val="auto"/>
        </w:rPr>
        <w:t>, paid on an</w:t>
      </w:r>
      <w:r>
        <w:rPr>
          <w:rFonts w:ascii="Times New Roman" w:cs="Times New Roman" w:eastAsia="Times New Roman" w:hAnsi="Times New Roman"/>
          <w:sz w:val="18"/>
          <w:szCs w:val="18"/>
          <w:b w:val="1"/>
          <w:bCs w:val="1"/>
          <w:color w:val="auto"/>
        </w:rPr>
        <w:t xml:space="preserve"> Annual Bonus Plan</w:t>
      </w:r>
      <w:r>
        <w:rPr>
          <w:rFonts w:ascii="Times New Roman" w:cs="Times New Roman" w:eastAsia="Times New Roman" w:hAnsi="Times New Roman"/>
          <w:sz w:val="18"/>
          <w:szCs w:val="18"/>
          <w:color w:val="auto"/>
        </w:rPr>
        <w:t>, based on certain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achievements, prorated to your start date.</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Relocation</w:t>
      </w:r>
      <w:r>
        <w:rPr>
          <w:rFonts w:ascii="Times New Roman" w:cs="Times New Roman" w:eastAsia="Times New Roman" w:hAnsi="Times New Roman"/>
          <w:sz w:val="18"/>
          <w:szCs w:val="18"/>
          <w:color w:val="auto"/>
        </w:rPr>
        <w:t>. By accepting this offer, you agree to relocate to the New York area to work in the New York Datadog office by your start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provide you with a one-time Relocation Payment of $200,000 in order to assist with the expenses you expect to incur during your relocation to the New York area. This payment will be grossed up for payroll tax withholding purposes and will be paid in the second pay period following your relocation to the New York area. Subject to applicable law, you agree to repay a prorated portion of the gross amount, less FICA taxes, of Relocation Payment to the Company in full if you voluntarily terminate your employment with the Company before the one-year anniversary of your start date.</w:t>
      </w:r>
    </w:p>
    <w:p>
      <w:pPr>
        <w:sectPr>
          <w:pgSz w:w="11900" w:h="16838" w:orient="portrait"/>
          <w:cols w:equalWidth="0" w:num="1">
            <w:col w:w="11240"/>
          </w:cols>
          <w:pgMar w:left="320" w:top="383"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40" w:right="20" w:hanging="332"/>
        <w:spacing w:after="0" w:line="268"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As a regular employee of the Company, you will be eligible to participate in a number of Company-sponsored benefits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outlined in the benefits guide. Please note, however, that the terms of the full benefits plans will take precedence over descriptions in the Benefits Guide.</w:t>
      </w:r>
    </w:p>
    <w:p>
      <w:pPr>
        <w:spacing w:after="0" w:line="19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Award. </w:t>
      </w:r>
      <w:r>
        <w:rPr>
          <w:rFonts w:ascii="Times New Roman" w:cs="Times New Roman" w:eastAsia="Times New Roman" w:hAnsi="Times New Roman"/>
          <w:sz w:val="18"/>
          <w:szCs w:val="18"/>
          <w:color w:val="auto"/>
        </w:rPr>
        <w:t>Subject to the approval of the Company’s Board of Directors or its Compensation Committee (the “Administrator”), you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granted with respect to the Company’s Class A Common Stock a restricted stock unit award with a value of </w:t>
      </w:r>
      <w:r>
        <w:rPr>
          <w:rFonts w:ascii="Times New Roman" w:cs="Times New Roman" w:eastAsia="Times New Roman" w:hAnsi="Times New Roman"/>
          <w:sz w:val="18"/>
          <w:szCs w:val="18"/>
          <w:b w:val="1"/>
          <w:bCs w:val="1"/>
          <w:color w:val="auto"/>
        </w:rPr>
        <w:t>$10,000,000.00</w:t>
      </w:r>
      <w:r>
        <w:rPr>
          <w:rFonts w:ascii="Times New Roman" w:cs="Times New Roman" w:eastAsia="Times New Roman" w:hAnsi="Times New Roman"/>
          <w:sz w:val="18"/>
          <w:szCs w:val="18"/>
          <w:color w:val="auto"/>
        </w:rPr>
        <w:t xml:space="preserve"> and a performance stock unit award, based on certain specified achievements, with a value of </w:t>
      </w:r>
      <w:r>
        <w:rPr>
          <w:rFonts w:ascii="Times New Roman" w:cs="Times New Roman" w:eastAsia="Times New Roman" w:hAnsi="Times New Roman"/>
          <w:sz w:val="18"/>
          <w:szCs w:val="18"/>
          <w:b w:val="1"/>
          <w:bCs w:val="1"/>
          <w:color w:val="auto"/>
        </w:rPr>
        <w:t>$10,000,000.00</w:t>
      </w:r>
      <w:r>
        <w:rPr>
          <w:rFonts w:ascii="Times New Roman" w:cs="Times New Roman" w:eastAsia="Times New Roman" w:hAnsi="Times New Roman"/>
          <w:sz w:val="18"/>
          <w:szCs w:val="18"/>
          <w:color w:val="auto"/>
        </w:rPr>
        <w:t>, in each case as determined by the Administrator (the “RSU/PSU”). The exact value of the RSU/PSU may increase or decrease depending on stock prices during the month of your start date with the Company as calculated under the Company's standard procedures. The RSU/PSU will be granted under and subject to the terms and conditions applicable to RSUs/PSUs granted under the Company’s 2019 Equity Incentive Plan (the “Plan”), as described in the Plan and the applicable RSU Agreement or PSU Agreement. The RSU/PSU will vest over a four-year schedule in accordance with the Company’s standard policy and the applicable RSU Agreement or PSU Agreement.</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Proprietary Information and Inventions Agreement. </w:t>
      </w:r>
      <w:r>
        <w:rPr>
          <w:rFonts w:ascii="Times New Roman" w:cs="Times New Roman" w:eastAsia="Times New Roman" w:hAnsi="Times New Roman"/>
          <w:sz w:val="18"/>
          <w:szCs w:val="18"/>
          <w:color w:val="auto"/>
        </w:rPr>
        <w:t>Like all Company employees, you will be required, as a condition of your employment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to sign and to comply with the Company’s standard Proprietary Information and Inventions Agreement, which is attached hereto as </w:t>
      </w: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(the “PIIA”). Upon your relocation to the New York area, you will be required to sign a New York-specific amendment.</w:t>
      </w:r>
    </w:p>
    <w:p>
      <w:pPr>
        <w:spacing w:after="0" w:line="19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 You will be eligible for severance benefits in accordance with the Severance Agreement attached hereto as</w:t>
      </w:r>
      <w:r>
        <w:rPr>
          <w:rFonts w:ascii="Times New Roman" w:cs="Times New Roman" w:eastAsia="Times New Roman" w:hAnsi="Times New Roman"/>
          <w:sz w:val="18"/>
          <w:szCs w:val="18"/>
          <w:b w:val="1"/>
          <w:bCs w:val="1"/>
          <w:color w:val="auto"/>
        </w:rPr>
        <w:t xml:space="preserve"> Exhibit B</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Relationship. </w:t>
      </w:r>
      <w:r>
        <w:rPr>
          <w:rFonts w:ascii="Times New Roman" w:cs="Times New Roman" w:eastAsia="Times New Roman" w:hAnsi="Times New Roman"/>
          <w:sz w:val="18"/>
          <w:szCs w:val="18"/>
          <w:color w:val="auto"/>
        </w:rPr>
        <w:t>Employment with the Company is for no specific period of time. Your employment with the Company will be “at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employment policies and procedures, may change from time to time, the “at will” nature of your employment may only be changed in an express written agreement signed by you and a duly authorized officer of the Company (other than you).</w:t>
      </w:r>
    </w:p>
    <w:p>
      <w:pPr>
        <w:spacing w:after="0" w:line="20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Required Conditions. </w:t>
      </w:r>
      <w:r>
        <w:rPr>
          <w:rFonts w:ascii="Times New Roman" w:cs="Times New Roman" w:eastAsia="Times New Roman" w:hAnsi="Times New Roman"/>
          <w:sz w:val="18"/>
          <w:szCs w:val="18"/>
          <w:color w:val="auto"/>
        </w:rPr>
        <w:t>This offer of employment is contingent on the following:</w:t>
      </w:r>
    </w:p>
    <w:p>
      <w:pPr>
        <w:spacing w:after="0" w:line="256" w:lineRule="exact"/>
        <w:rPr>
          <w:rFonts w:ascii="Times New Roman" w:cs="Times New Roman" w:eastAsia="Times New Roman" w:hAnsi="Times New Roman"/>
          <w:sz w:val="18"/>
          <w:szCs w:val="18"/>
          <w:color w:val="auto"/>
        </w:rPr>
      </w:pPr>
    </w:p>
    <w:p>
      <w:pPr>
        <w:ind w:left="1620" w:hanging="411"/>
        <w:spacing w:after="0"/>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reference check(s);</w:t>
      </w:r>
    </w:p>
    <w:p>
      <w:pPr>
        <w:spacing w:after="0" w:line="27" w:lineRule="exact"/>
        <w:rPr>
          <w:rFonts w:ascii="Times New Roman" w:cs="Times New Roman" w:eastAsia="Times New Roman" w:hAnsi="Times New Roman"/>
          <w:sz w:val="18"/>
          <w:szCs w:val="18"/>
          <w:color w:val="auto"/>
        </w:rPr>
      </w:pPr>
    </w:p>
    <w:p>
      <w:pPr>
        <w:ind w:left="1620" w:hanging="461"/>
        <w:spacing w:after="0" w:line="250" w:lineRule="auto"/>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clearance of a background investigation, which may include verification of previous employers, verification of education, and review of criminal record; and</w:t>
      </w:r>
    </w:p>
    <w:p>
      <w:pPr>
        <w:ind w:left="1620" w:hanging="510"/>
        <w:spacing w:after="0"/>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legal proof of your identity and authorization to work in the United States subject to applicable E-Verify requirements.</w:t>
      </w:r>
    </w:p>
    <w:p>
      <w:pPr>
        <w:spacing w:after="0" w:line="20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u w:val="single" w:color="auto"/>
          <w:color w:val="auto"/>
        </w:rPr>
        <w:t>Important Note</w:t>
      </w:r>
      <w:r>
        <w:rPr>
          <w:rFonts w:ascii="Times New Roman" w:cs="Times New Roman" w:eastAsia="Times New Roman" w:hAnsi="Times New Roman"/>
          <w:sz w:val="18"/>
          <w:szCs w:val="18"/>
          <w:color w:val="auto"/>
        </w:rPr>
        <w:t>: While your start date may not be delayed, your continued employment with the Company will remain subject to the completion of the above conditions. You are expected to fully cooperate with providing the Company additional documentation or information related to these matters upon request, subject to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p>
    <w:p>
      <w:pPr>
        <w:spacing w:after="0" w:line="252" w:lineRule="exact"/>
        <w:rPr>
          <w:rFonts w:ascii="Times New Roman" w:cs="Times New Roman" w:eastAsia="Times New Roman" w:hAnsi="Times New Roman"/>
          <w:sz w:val="18"/>
          <w:szCs w:val="18"/>
          <w:color w:val="auto"/>
        </w:rPr>
      </w:pPr>
    </w:p>
    <w:p>
      <w:pPr>
        <w:ind w:left="1620" w:hanging="411"/>
        <w:spacing w:after="0" w:line="263" w:lineRule="auto"/>
        <w:tabs>
          <w:tab w:leader="none" w:pos="1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All forms of compensation referred to in this letter agreement are subject to reduction to reflect applicable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payroll taxes and other deductions as required by law.</w:t>
      </w:r>
    </w:p>
    <w:p>
      <w:pPr>
        <w:jc w:val="both"/>
        <w:ind w:left="1620" w:hanging="461"/>
        <w:spacing w:after="0" w:line="255" w:lineRule="auto"/>
        <w:tabs>
          <w:tab w:leader="none" w:pos="1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Advice. </w:t>
      </w:r>
      <w:r>
        <w:rPr>
          <w:rFonts w:ascii="Times New Roman" w:cs="Times New Roman" w:eastAsia="Times New Roman" w:hAnsi="Times New Roman"/>
          <w:sz w:val="18"/>
          <w:szCs w:val="18"/>
          <w:color w:val="auto"/>
        </w:rPr>
        <w:t>You are encouraged to obtain your own tax advice regarding your compensation from the Company. You agree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20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Interpretation, Amendment and Enforcement. </w:t>
      </w:r>
      <w:r>
        <w:rPr>
          <w:rFonts w:ascii="Times New Roman" w:cs="Times New Roman" w:eastAsia="Times New Roman" w:hAnsi="Times New Roman"/>
          <w:sz w:val="18"/>
          <w:szCs w:val="18"/>
          <w:color w:val="auto"/>
        </w:rPr>
        <w:t>This letter agreement and the exhibits hereto constitute the complete agreement between you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contain all of the terms of your employment with the Company and supersede any prior agreements, representations or understandings (whether written, oral or implied) between you and the Company. The terms of this letter agreement and the resolution of any disputes as to the meaning, effect, performance or validity of this letter agreement, your employment with the Company or any other relationship between you and the Company (the “Disputes”) will be governed by </w:t>
      </w:r>
      <w:r>
        <w:rPr>
          <w:rFonts w:ascii="Times New Roman" w:cs="Times New Roman" w:eastAsia="Times New Roman" w:hAnsi="Times New Roman"/>
          <w:sz w:val="18"/>
          <w:szCs w:val="18"/>
          <w:b w:val="1"/>
          <w:bCs w:val="1"/>
          <w:color w:val="auto"/>
        </w:rPr>
        <w:t>New York</w:t>
      </w:r>
      <w:r>
        <w:rPr>
          <w:rFonts w:ascii="Times New Roman" w:cs="Times New Roman" w:eastAsia="Times New Roman" w:hAnsi="Times New Roman"/>
          <w:sz w:val="18"/>
          <w:szCs w:val="18"/>
          <w:color w:val="auto"/>
        </w:rPr>
        <w:t xml:space="preserve"> law, excluding laws relating to conflicts or choice of law. You and the Company submit to the exclusive personal jurisdiction of the federal and state courts located in </w:t>
      </w:r>
      <w:r>
        <w:rPr>
          <w:rFonts w:ascii="Times New Roman" w:cs="Times New Roman" w:eastAsia="Times New Roman" w:hAnsi="Times New Roman"/>
          <w:sz w:val="18"/>
          <w:szCs w:val="18"/>
          <w:b w:val="1"/>
          <w:bCs w:val="1"/>
          <w:color w:val="auto"/>
        </w:rPr>
        <w:t>New York</w:t>
      </w:r>
      <w:r>
        <w:rPr>
          <w:rFonts w:ascii="Times New Roman" w:cs="Times New Roman" w:eastAsia="Times New Roman" w:hAnsi="Times New Roman"/>
          <w:sz w:val="18"/>
          <w:szCs w:val="18"/>
          <w:color w:val="auto"/>
        </w:rPr>
        <w:t xml:space="preserve"> in connection with any Dispute or any claim related to any dispute.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You may indicate your agreement with these terms and accept this offer by signing and dating both this letter agreement and the attached Proprietary Information and Inventions Agreement and returning them to me. This offer, if not accepted, will expire at the close of business on </w:t>
      </w:r>
      <w:r>
        <w:rPr>
          <w:rFonts w:ascii="Times New Roman" w:cs="Times New Roman" w:eastAsia="Times New Roman" w:hAnsi="Times New Roman"/>
          <w:sz w:val="18"/>
          <w:szCs w:val="18"/>
          <w:b w:val="1"/>
          <w:bCs w:val="1"/>
          <w:color w:val="auto"/>
        </w:rPr>
        <w:t>Friday,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July 5, 2024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DATADOG, INC.</w:t>
      </w:r>
    </w:p>
    <w:p>
      <w:pPr>
        <w:spacing w:after="0" w:line="272" w:lineRule="exact"/>
        <w:rPr>
          <w:sz w:val="20"/>
          <w:szCs w:val="20"/>
          <w:color w:val="auto"/>
        </w:rPr>
      </w:pPr>
    </w:p>
    <w:p>
      <w:pPr>
        <w:ind w:left="3820"/>
        <w:spacing w:after="0"/>
        <w:tabs>
          <w:tab w:leader="none" w:pos="4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18415</wp:posOffset>
            </wp:positionV>
            <wp:extent cx="20231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222222"/>
        </w:rPr>
        <w:t>Olivier Pomel</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222222"/>
        </w:rPr>
        <w:t>Chief Executive Officer</w:t>
      </w:r>
    </w:p>
    <w:p>
      <w:pPr>
        <w:spacing w:after="0" w:line="200" w:lineRule="exact"/>
        <w:rPr>
          <w:sz w:val="20"/>
          <w:szCs w:val="20"/>
          <w:color w:val="auto"/>
        </w:rPr>
      </w:pPr>
    </w:p>
    <w:p>
      <w:pPr>
        <w:spacing w:after="0" w:line="3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 ACKNOWLEDGE RECEIPT OF, AND AGREE TO THE TERMS OF, THIS LETTER AGREEMENT (INCLUDING SALARY, PAY RATE AND PAYDAY INFORMATION). I ADVISED DATADOG THAT MY PRIMARY LANGUAGE IS ENGLISH, AND WAS GIVEN THIS LETTER AGREEMENT IN ENGLISH BECAUSE IT IS MY PRIMARY LANGUAGE.</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Yanbing L</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w:t>
            </w:r>
          </w:p>
        </w:tc>
        <w:tc>
          <w:tcPr>
            <w:tcW w:w="4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July 1, 2024</w:t>
            </w:r>
          </w:p>
        </w:tc>
      </w:tr>
      <w:tr>
        <w:trPr>
          <w:trHeight w:val="228"/>
        </w:trPr>
        <w:tc>
          <w:tcPr>
            <w:tcW w:w="64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Yanbing Li</w:t>
            </w:r>
          </w:p>
        </w:tc>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40" w:right="339" w:bottom="1440" w:gutter="0" w:footer="0" w:header="0"/>
        </w:sectPr>
      </w:pPr>
    </w:p>
    <w:bookmarkStart w:id="104" w:name="page105"/>
    <w:bookmarkEnd w:id="104"/>
    <w:p>
      <w:pPr>
        <w:ind w:left="10140"/>
        <w:spacing w:after="0"/>
        <w:rPr>
          <w:sz w:val="20"/>
          <w:szCs w:val="20"/>
          <w:color w:val="auto"/>
        </w:rPr>
      </w:pPr>
      <w:r>
        <w:rPr>
          <w:rFonts w:ascii="Arial" w:cs="Arial" w:eastAsia="Arial" w:hAnsi="Arial"/>
          <w:sz w:val="19"/>
          <w:szCs w:val="19"/>
          <w:b w:val="1"/>
          <w:bCs w:val="1"/>
          <w:color w:val="auto"/>
        </w:rPr>
        <w:t>Exhibit 19.1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8000FF"/>
        </w:rPr>
        <w:t>DATADOG INSIDER TRADING POLICY</w:t>
      </w: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Insider trading laws prohibit buying or selling securities of a public company (like Datadog) when possessing “material non-public information” (MNPI)</w:t>
      </w:r>
      <w:r>
        <w:rPr>
          <w:rFonts w:ascii="Arial" w:cs="Arial" w:eastAsia="Arial" w:hAnsi="Arial"/>
          <w:sz w:val="25"/>
          <w:szCs w:val="25"/>
          <w:color w:val="auto"/>
          <w:vertAlign w:val="superscript"/>
        </w:rPr>
        <w:t>1</w:t>
      </w:r>
      <w:r>
        <w:rPr>
          <w:rFonts w:ascii="Arial" w:cs="Arial" w:eastAsia="Arial" w:hAnsi="Arial"/>
          <w:sz w:val="20"/>
          <w:szCs w:val="20"/>
          <w:color w:val="auto"/>
        </w:rPr>
        <w:t>. To that end, Datadog has adopted this Insider Trading Policy which applies to all employees, officers and directors worldwide of Datadog, Inc. and its subsidiaries as well as anyone living with you (friends or family) and to any entities whose transactions in securities you control. If Datadog itself transacts in Datadog securities, it must also comply with applicable laws and regulations relating to insider trading.</w:t>
      </w:r>
    </w:p>
    <w:p>
      <w:pPr>
        <w:spacing w:after="0" w:line="214"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Violations of insider trading laws risk serious legal consequences (including prison) and violations of this Policy risk Datadog disciplinary action (including termination).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8000FF"/>
        </w:rPr>
        <w:t>YOUR RESPONSIBILITY</w:t>
      </w:r>
    </w:p>
    <w:p>
      <w:pPr>
        <w:spacing w:after="0" w:line="296"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Comply with this Policy and applicable laws. Know that trading during the designated window does not ensure protection. You should always exercise good judgment and when in doubt, ask.</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8000FF"/>
        </w:rPr>
        <w:t>RESTRICTIONS</w:t>
      </w:r>
    </w:p>
    <w:p>
      <w:pPr>
        <w:spacing w:after="0" w:line="294" w:lineRule="exact"/>
        <w:rPr>
          <w:sz w:val="20"/>
          <w:szCs w:val="20"/>
          <w:color w:val="auto"/>
        </w:rPr>
      </w:pPr>
    </w:p>
    <w:p>
      <w:pPr>
        <w:ind w:left="620" w:hanging="288"/>
        <w:spacing w:after="0"/>
        <w:tabs>
          <w:tab w:leader="none" w:pos="620" w:val="left"/>
        </w:tabs>
        <w:numPr>
          <w:ilvl w:val="0"/>
          <w:numId w:val="43"/>
        </w:numPr>
        <w:rPr>
          <w:rFonts w:ascii="Arial" w:cs="Arial" w:eastAsia="Arial" w:hAnsi="Arial"/>
          <w:sz w:val="20"/>
          <w:szCs w:val="20"/>
          <w:color w:val="8000FF"/>
        </w:rPr>
      </w:pPr>
      <w:r>
        <w:rPr>
          <w:rFonts w:ascii="Arial" w:cs="Arial" w:eastAsia="Arial" w:hAnsi="Arial"/>
          <w:sz w:val="20"/>
          <w:szCs w:val="20"/>
          <w:b w:val="1"/>
          <w:bCs w:val="1"/>
          <w:color w:val="8000FF"/>
        </w:rPr>
        <w:t>Never buy, sell, transfer or gift Datadog securities when you possess MNPI</w:t>
      </w:r>
    </w:p>
    <w:p>
      <w:pPr>
        <w:spacing w:after="0" w:line="43" w:lineRule="exact"/>
        <w:rPr>
          <w:rFonts w:ascii="Arial" w:cs="Arial" w:eastAsia="Arial" w:hAnsi="Arial"/>
          <w:sz w:val="20"/>
          <w:szCs w:val="20"/>
          <w:color w:val="8000FF"/>
        </w:rPr>
      </w:pPr>
    </w:p>
    <w:p>
      <w:pPr>
        <w:ind w:left="1280" w:hanging="300"/>
        <w:spacing w:after="0"/>
        <w:tabs>
          <w:tab w:leader="none" w:pos="12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You may not buy, sell, transfer or gift Datadog securities while possessing MNPI.</w:t>
      </w:r>
    </w:p>
    <w:p>
      <w:pPr>
        <w:spacing w:after="0" w:line="25" w:lineRule="exact"/>
        <w:rPr>
          <w:rFonts w:ascii="Arial" w:cs="Arial" w:eastAsia="Arial" w:hAnsi="Arial"/>
          <w:sz w:val="20"/>
          <w:szCs w:val="20"/>
          <w:color w:val="auto"/>
        </w:rPr>
      </w:pPr>
    </w:p>
    <w:p>
      <w:pPr>
        <w:jc w:val="both"/>
        <w:ind w:left="1300" w:hanging="320"/>
        <w:spacing w:after="0" w:line="273" w:lineRule="auto"/>
        <w:tabs>
          <w:tab w:leader="none" w:pos="1298" w:val="left"/>
        </w:tabs>
        <w:numPr>
          <w:ilvl w:val="1"/>
          <w:numId w:val="43"/>
        </w:numPr>
        <w:rPr>
          <w:rFonts w:ascii="Arial" w:cs="Arial" w:eastAsia="Arial" w:hAnsi="Arial"/>
          <w:sz w:val="20"/>
          <w:szCs w:val="20"/>
          <w:color w:val="auto"/>
        </w:rPr>
      </w:pPr>
      <w:r>
        <w:rPr>
          <w:rFonts w:ascii="Arial" w:cs="Arial" w:eastAsia="Arial" w:hAnsi="Arial"/>
          <w:sz w:val="20"/>
          <w:szCs w:val="20"/>
          <w:color w:val="auto"/>
        </w:rPr>
        <w:t>During a blackout period, this prohibition is absolute with no exceptions other than as follows, even for small amounts, even when you don’t actually have MNPI or where you consider it irrelevant, and even if you’re experiencing economic hardship:</w:t>
      </w:r>
    </w:p>
    <w:p>
      <w:pPr>
        <w:spacing w:after="0" w:line="2" w:lineRule="exact"/>
        <w:rPr>
          <w:rFonts w:ascii="Arial" w:cs="Arial" w:eastAsia="Arial" w:hAnsi="Arial"/>
          <w:sz w:val="20"/>
          <w:szCs w:val="20"/>
          <w:color w:val="auto"/>
        </w:rPr>
      </w:pPr>
    </w:p>
    <w:p>
      <w:pPr>
        <w:ind w:left="1920" w:hanging="292"/>
        <w:spacing w:after="0"/>
        <w:tabs>
          <w:tab w:leader="none" w:pos="1920" w:val="left"/>
        </w:tabs>
        <w:numPr>
          <w:ilvl w:val="2"/>
          <w:numId w:val="43"/>
        </w:numPr>
        <w:rPr>
          <w:rFonts w:ascii="Arial" w:cs="Arial" w:eastAsia="Arial" w:hAnsi="Arial"/>
          <w:sz w:val="20"/>
          <w:szCs w:val="20"/>
          <w:color w:val="auto"/>
        </w:rPr>
      </w:pPr>
      <w:r>
        <w:rPr>
          <w:rFonts w:ascii="Arial" w:cs="Arial" w:eastAsia="Arial" w:hAnsi="Arial"/>
          <w:sz w:val="20"/>
          <w:szCs w:val="20"/>
          <w:color w:val="auto"/>
        </w:rPr>
        <w:t>Cash exercise of stock options (but not the sale of any acquired shares)</w:t>
      </w:r>
    </w:p>
    <w:p>
      <w:pPr>
        <w:spacing w:after="0" w:line="35" w:lineRule="exact"/>
        <w:rPr>
          <w:rFonts w:ascii="Arial" w:cs="Arial" w:eastAsia="Arial" w:hAnsi="Arial"/>
          <w:sz w:val="20"/>
          <w:szCs w:val="20"/>
          <w:color w:val="auto"/>
        </w:rPr>
      </w:pPr>
    </w:p>
    <w:p>
      <w:pPr>
        <w:ind w:left="1920" w:hanging="292"/>
        <w:spacing w:after="0"/>
        <w:tabs>
          <w:tab w:leader="none" w:pos="1920" w:val="left"/>
        </w:tabs>
        <w:numPr>
          <w:ilvl w:val="2"/>
          <w:numId w:val="43"/>
        </w:numPr>
        <w:rPr>
          <w:rFonts w:ascii="Arial" w:cs="Arial" w:eastAsia="Arial" w:hAnsi="Arial"/>
          <w:sz w:val="20"/>
          <w:szCs w:val="20"/>
          <w:color w:val="auto"/>
        </w:rPr>
      </w:pPr>
      <w:r>
        <w:rPr>
          <w:rFonts w:ascii="Arial" w:cs="Arial" w:eastAsia="Arial" w:hAnsi="Arial"/>
          <w:sz w:val="20"/>
          <w:szCs w:val="20"/>
          <w:color w:val="auto"/>
        </w:rPr>
        <w:t>Trading in mutual funds or ETFs that happen to hold Datadog stock</w:t>
      </w:r>
    </w:p>
    <w:p>
      <w:pPr>
        <w:spacing w:after="0" w:line="31" w:lineRule="exact"/>
        <w:rPr>
          <w:rFonts w:ascii="Arial" w:cs="Arial" w:eastAsia="Arial" w:hAnsi="Arial"/>
          <w:sz w:val="20"/>
          <w:szCs w:val="20"/>
          <w:color w:val="auto"/>
        </w:rPr>
      </w:pPr>
    </w:p>
    <w:p>
      <w:pPr>
        <w:ind w:left="1920" w:hanging="292"/>
        <w:spacing w:after="0"/>
        <w:tabs>
          <w:tab w:leader="none" w:pos="1920" w:val="left"/>
        </w:tabs>
        <w:numPr>
          <w:ilvl w:val="2"/>
          <w:numId w:val="43"/>
        </w:numPr>
        <w:rPr>
          <w:rFonts w:ascii="Arial" w:cs="Arial" w:eastAsia="Arial" w:hAnsi="Arial"/>
          <w:sz w:val="20"/>
          <w:szCs w:val="20"/>
          <w:color w:val="auto"/>
        </w:rPr>
      </w:pPr>
      <w:r>
        <w:rPr>
          <w:rFonts w:ascii="Arial" w:cs="Arial" w:eastAsia="Arial" w:hAnsi="Arial"/>
          <w:sz w:val="20"/>
          <w:szCs w:val="20"/>
          <w:color w:val="auto"/>
        </w:rPr>
        <w:t>Trading through Company-approved, pre-set trading plans (10b5-1 plans)</w:t>
      </w:r>
    </w:p>
    <w:p>
      <w:pPr>
        <w:spacing w:after="0" w:line="35" w:lineRule="exact"/>
        <w:rPr>
          <w:rFonts w:ascii="Arial" w:cs="Arial" w:eastAsia="Arial" w:hAnsi="Arial"/>
          <w:sz w:val="20"/>
          <w:szCs w:val="20"/>
          <w:color w:val="auto"/>
        </w:rPr>
      </w:pPr>
    </w:p>
    <w:p>
      <w:pPr>
        <w:ind w:left="1960" w:hanging="332"/>
        <w:spacing w:after="0" w:line="274" w:lineRule="auto"/>
        <w:tabs>
          <w:tab w:leader="none" w:pos="1958" w:val="left"/>
        </w:tabs>
        <w:numPr>
          <w:ilvl w:val="2"/>
          <w:numId w:val="43"/>
        </w:numPr>
        <w:rPr>
          <w:rFonts w:ascii="Arial" w:cs="Arial" w:eastAsia="Arial" w:hAnsi="Arial"/>
          <w:sz w:val="20"/>
          <w:szCs w:val="20"/>
          <w:color w:val="auto"/>
        </w:rPr>
      </w:pPr>
      <w:r>
        <w:rPr>
          <w:rFonts w:ascii="Arial" w:cs="Arial" w:eastAsia="Arial" w:hAnsi="Arial"/>
          <w:sz w:val="20"/>
          <w:szCs w:val="20"/>
          <w:color w:val="auto"/>
        </w:rPr>
        <w:t>Sale of shares by Datadog to satisfy tax withholding obligations upon the vesting of equity awards in accordance with its mandatory “sell to cover” policy</w:t>
      </w:r>
    </w:p>
    <w:p>
      <w:pPr>
        <w:spacing w:after="0" w:line="1" w:lineRule="exact"/>
        <w:rPr>
          <w:rFonts w:ascii="Arial" w:cs="Arial" w:eastAsia="Arial" w:hAnsi="Arial"/>
          <w:sz w:val="20"/>
          <w:szCs w:val="20"/>
          <w:color w:val="auto"/>
        </w:rPr>
      </w:pPr>
    </w:p>
    <w:p>
      <w:pPr>
        <w:ind w:left="1960" w:hanging="332"/>
        <w:spacing w:after="0" w:line="273" w:lineRule="auto"/>
        <w:tabs>
          <w:tab w:leader="none" w:pos="1958" w:val="left"/>
        </w:tabs>
        <w:numPr>
          <w:ilvl w:val="2"/>
          <w:numId w:val="43"/>
        </w:numPr>
        <w:rPr>
          <w:rFonts w:ascii="Arial" w:cs="Arial" w:eastAsia="Arial" w:hAnsi="Arial"/>
          <w:sz w:val="20"/>
          <w:szCs w:val="20"/>
          <w:color w:val="auto"/>
        </w:rPr>
      </w:pPr>
      <w:r>
        <w:rPr>
          <w:rFonts w:ascii="Arial" w:cs="Arial" w:eastAsia="Arial" w:hAnsi="Arial"/>
          <w:sz w:val="20"/>
          <w:szCs w:val="20"/>
          <w:color w:val="auto"/>
        </w:rPr>
        <w:t>Purchase of stock under Datadog’s Employee Stock Purchase Plan (but not the sale of any acquired shares)</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43"/>
        </w:numPr>
        <w:rPr>
          <w:rFonts w:ascii="Arial" w:cs="Arial" w:eastAsia="Arial" w:hAnsi="Arial"/>
          <w:sz w:val="20"/>
          <w:szCs w:val="20"/>
          <w:color w:val="7030A0"/>
        </w:rPr>
      </w:pPr>
      <w:r>
        <w:rPr>
          <w:rFonts w:ascii="Arial" w:cs="Arial" w:eastAsia="Arial" w:hAnsi="Arial"/>
          <w:sz w:val="20"/>
          <w:szCs w:val="20"/>
          <w:b w:val="1"/>
          <w:bCs w:val="1"/>
          <w:color w:val="8000FF"/>
        </w:rPr>
        <w:t>Never improperly disclose MNP</w:t>
      </w:r>
      <w:r>
        <w:rPr>
          <w:rFonts w:ascii="Arial" w:cs="Arial" w:eastAsia="Arial" w:hAnsi="Arial"/>
          <w:sz w:val="20"/>
          <w:szCs w:val="20"/>
          <w:b w:val="1"/>
          <w:bCs w:val="1"/>
          <w:color w:val="7030A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645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78" w:lineRule="exact"/>
        <w:rPr>
          <w:sz w:val="20"/>
          <w:szCs w:val="20"/>
          <w:color w:val="auto"/>
        </w:rPr>
      </w:pPr>
    </w:p>
    <w:p>
      <w:pPr>
        <w:jc w:val="both"/>
        <w:ind w:firstLine="8"/>
        <w:spacing w:after="0" w:line="219" w:lineRule="auto"/>
        <w:tabs>
          <w:tab w:leader="none" w:pos="116" w:val="left"/>
        </w:tabs>
        <w:numPr>
          <w:ilvl w:val="0"/>
          <w:numId w:val="44"/>
        </w:numPr>
        <w:rPr>
          <w:rFonts w:ascii="Arial" w:cs="Arial" w:eastAsia="Arial" w:hAnsi="Arial"/>
          <w:sz w:val="26"/>
          <w:szCs w:val="26"/>
          <w:color w:val="auto"/>
          <w:vertAlign w:val="superscript"/>
        </w:rPr>
      </w:pPr>
      <w:r>
        <w:rPr>
          <w:rFonts w:ascii="Calibri" w:cs="Calibri" w:eastAsia="Calibri" w:hAnsi="Calibri"/>
          <w:sz w:val="18"/>
          <w:szCs w:val="18"/>
          <w:color w:val="auto"/>
        </w:rPr>
        <w:t xml:space="preserve">There is no bright-line test for determining what informaton consttutes </w:t>
      </w:r>
      <w:r>
        <w:rPr>
          <w:rFonts w:ascii="Calibri" w:cs="Calibri" w:eastAsia="Calibri" w:hAnsi="Calibri"/>
          <w:sz w:val="18"/>
          <w:szCs w:val="18"/>
          <w:b w:val="1"/>
          <w:bCs w:val="1"/>
          <w:color w:val="auto"/>
        </w:rPr>
        <w:t>MNPI</w:t>
      </w:r>
      <w:r>
        <w:rPr>
          <w:rFonts w:ascii="Calibri" w:cs="Calibri" w:eastAsia="Calibri" w:hAnsi="Calibri"/>
          <w:sz w:val="18"/>
          <w:szCs w:val="18"/>
          <w:color w:val="auto"/>
        </w:rPr>
        <w:t>, but it will typically include any news about Datadog, negatve or positve, that has not yet been made public and which could impact our stock price (for example, fnancial results and forecasts, changes to our senior management, operatons or strategy and signifcant acquisitons, litgaton, security incidents, product releases or customer contracts). Informaton will be considered public under this policy only afer one trading day has passed afer a Company press release, a fling with the Securites and Exchange Commission or other ofcial public Company statement. Rumors in the press or on social media are not considered public.</w:t>
      </w:r>
    </w:p>
    <w:p>
      <w:pPr>
        <w:sectPr>
          <w:pgSz w:w="11900" w:h="16838" w:orient="portrait"/>
          <w:cols w:equalWidth="0" w:num="1">
            <w:col w:w="11240"/>
          </w:cols>
          <w:pgMar w:left="320" w:top="1425" w:right="339" w:bottom="1440" w:gutter="0" w:footer="0" w:header="0"/>
        </w:sectPr>
      </w:pPr>
    </w:p>
    <w:bookmarkStart w:id="105" w:name="page106"/>
    <w:bookmarkEnd w:id="105"/>
    <w:p>
      <w:pPr>
        <w:jc w:val="both"/>
        <w:ind w:left="1300" w:hanging="320"/>
        <w:spacing w:after="0" w:line="276" w:lineRule="auto"/>
        <w:tabs>
          <w:tab w:leader="none" w:pos="1298" w:val="left"/>
        </w:tabs>
        <w:numPr>
          <w:ilvl w:val="1"/>
          <w:numId w:val="45"/>
        </w:numPr>
        <w:rPr>
          <w:rFonts w:ascii="Arial" w:cs="Arial" w:eastAsia="Arial" w:hAnsi="Arial"/>
          <w:sz w:val="20"/>
          <w:szCs w:val="20"/>
          <w:color w:val="auto"/>
        </w:rPr>
      </w:pPr>
      <w:r>
        <w:rPr>
          <w:rFonts w:ascii="Arial" w:cs="Arial" w:eastAsia="Arial" w:hAnsi="Arial"/>
          <w:sz w:val="20"/>
          <w:szCs w:val="20"/>
          <w:color w:val="auto"/>
        </w:rPr>
        <w:t>Disclosing MNPI to someone within Datadog whose job does not require them to have that information or to someone outside of Datadog or recommending that someone buy or sell Datadog stock while you are in possession of MNPI even without disclosing MNPI, exposes you to the risk of liability for insider trading.</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45"/>
        </w:numPr>
        <w:rPr>
          <w:rFonts w:ascii="Arial" w:cs="Arial" w:eastAsia="Arial" w:hAnsi="Arial"/>
          <w:sz w:val="20"/>
          <w:szCs w:val="20"/>
          <w:color w:val="8000FF"/>
        </w:rPr>
      </w:pPr>
      <w:r>
        <w:rPr>
          <w:rFonts w:ascii="Arial" w:cs="Arial" w:eastAsia="Arial" w:hAnsi="Arial"/>
          <w:sz w:val="20"/>
          <w:szCs w:val="20"/>
          <w:b w:val="1"/>
          <w:bCs w:val="1"/>
          <w:color w:val="8000FF"/>
        </w:rPr>
        <w:t>Never buy, sell or transact in securities of other public companies when you possess MNPI about that company</w:t>
      </w:r>
    </w:p>
    <w:p>
      <w:pPr>
        <w:spacing w:after="0" w:line="43" w:lineRule="exact"/>
        <w:rPr>
          <w:rFonts w:ascii="Arial" w:cs="Arial" w:eastAsia="Arial" w:hAnsi="Arial"/>
          <w:sz w:val="20"/>
          <w:szCs w:val="20"/>
          <w:color w:val="8000FF"/>
        </w:rPr>
      </w:pPr>
    </w:p>
    <w:p>
      <w:pPr>
        <w:jc w:val="both"/>
        <w:ind w:left="1300" w:hanging="320"/>
        <w:spacing w:after="0" w:line="271" w:lineRule="auto"/>
        <w:tabs>
          <w:tab w:leader="none" w:pos="1271" w:val="left"/>
        </w:tabs>
        <w:numPr>
          <w:ilvl w:val="1"/>
          <w:numId w:val="45"/>
        </w:numPr>
        <w:rPr>
          <w:rFonts w:ascii="Arial" w:cs="Arial" w:eastAsia="Arial" w:hAnsi="Arial"/>
          <w:sz w:val="20"/>
          <w:szCs w:val="20"/>
          <w:color w:val="auto"/>
        </w:rPr>
      </w:pPr>
      <w:r>
        <w:rPr>
          <w:rFonts w:ascii="Arial" w:cs="Arial" w:eastAsia="Arial" w:hAnsi="Arial"/>
          <w:sz w:val="20"/>
          <w:szCs w:val="20"/>
          <w:color w:val="auto"/>
        </w:rPr>
        <w:t>In rare instances for most employees, you may get access to MNPI about other public companies or information that could affect the stock price of that company, for example in discussions with customers or vendors, or in the context of an M&amp;A transaction. The information you gain may not only be considered MNPI of these companies, but also their competitors or businesses with close relationships to these companies. If you’re ever unsure if you have MNPI, confirm with ****@datadoghq.com.</w:t>
      </w:r>
    </w:p>
    <w:p>
      <w:pPr>
        <w:spacing w:after="0" w:line="1" w:lineRule="exact"/>
        <w:rPr>
          <w:rFonts w:ascii="Arial" w:cs="Arial" w:eastAsia="Arial" w:hAnsi="Arial"/>
          <w:sz w:val="20"/>
          <w:szCs w:val="20"/>
          <w:color w:val="auto"/>
        </w:rPr>
      </w:pPr>
    </w:p>
    <w:p>
      <w:pPr>
        <w:ind w:left="660" w:hanging="328"/>
        <w:spacing w:after="0" w:line="248" w:lineRule="auto"/>
        <w:tabs>
          <w:tab w:leader="none" w:pos="644" w:val="left"/>
        </w:tabs>
        <w:numPr>
          <w:ilvl w:val="0"/>
          <w:numId w:val="45"/>
        </w:numPr>
        <w:rPr>
          <w:rFonts w:ascii="Arial" w:cs="Arial" w:eastAsia="Arial" w:hAnsi="Arial"/>
          <w:sz w:val="20"/>
          <w:szCs w:val="20"/>
          <w:color w:val="8000FF"/>
        </w:rPr>
      </w:pPr>
      <w:r>
        <w:rPr>
          <w:rFonts w:ascii="Arial" w:cs="Arial" w:eastAsia="Arial" w:hAnsi="Arial"/>
          <w:sz w:val="20"/>
          <w:szCs w:val="20"/>
          <w:b w:val="1"/>
          <w:bCs w:val="1"/>
          <w:color w:val="8000FF"/>
        </w:rPr>
        <w:t>Never engage in any hedging</w:t>
      </w:r>
      <w:r>
        <w:rPr>
          <w:rFonts w:ascii="Arial" w:cs="Arial" w:eastAsia="Arial" w:hAnsi="Arial"/>
          <w:sz w:val="25"/>
          <w:szCs w:val="25"/>
          <w:b w:val="1"/>
          <w:bCs w:val="1"/>
          <w:color w:val="8000FF"/>
          <w:vertAlign w:val="superscript"/>
        </w:rPr>
        <w:t>2</w:t>
      </w:r>
      <w:r>
        <w:rPr>
          <w:rFonts w:ascii="Arial" w:cs="Arial" w:eastAsia="Arial" w:hAnsi="Arial"/>
          <w:sz w:val="20"/>
          <w:szCs w:val="20"/>
          <w:b w:val="1"/>
          <w:bCs w:val="1"/>
          <w:color w:val="8000FF"/>
        </w:rPr>
        <w:t xml:space="preserve"> or derivative transactions or short sales, even in an open trading window, and never pledge Datadog stock as collateral for loans</w:t>
      </w:r>
    </w:p>
    <w:p>
      <w:pPr>
        <w:spacing w:after="0" w:line="1" w:lineRule="exact"/>
        <w:rPr>
          <w:rFonts w:ascii="Arial" w:cs="Arial" w:eastAsia="Arial" w:hAnsi="Arial"/>
          <w:sz w:val="20"/>
          <w:szCs w:val="20"/>
          <w:color w:val="8000FF"/>
        </w:rPr>
      </w:pPr>
    </w:p>
    <w:p>
      <w:pPr>
        <w:ind w:left="1300" w:hanging="320"/>
        <w:spacing w:after="0" w:line="274" w:lineRule="auto"/>
        <w:tabs>
          <w:tab w:leader="none" w:pos="1298" w:val="left"/>
        </w:tabs>
        <w:numPr>
          <w:ilvl w:val="1"/>
          <w:numId w:val="45"/>
        </w:numPr>
        <w:rPr>
          <w:rFonts w:ascii="Arial" w:cs="Arial" w:eastAsia="Arial" w:hAnsi="Arial"/>
          <w:sz w:val="20"/>
          <w:szCs w:val="20"/>
          <w:color w:val="auto"/>
        </w:rPr>
      </w:pPr>
      <w:r>
        <w:rPr>
          <w:rFonts w:ascii="Arial" w:cs="Arial" w:eastAsia="Arial" w:hAnsi="Arial"/>
          <w:sz w:val="20"/>
          <w:szCs w:val="20"/>
          <w:color w:val="auto"/>
        </w:rPr>
        <w:t>Hedging transactions are prohibited because they permit you to own Datadog stock without the full risks and rewards of ownership.</w:t>
      </w:r>
    </w:p>
    <w:p>
      <w:pPr>
        <w:ind w:left="1300" w:hanging="320"/>
        <w:spacing w:after="0" w:line="300" w:lineRule="auto"/>
        <w:tabs>
          <w:tab w:leader="none" w:pos="1271" w:val="left"/>
        </w:tabs>
        <w:numPr>
          <w:ilvl w:val="1"/>
          <w:numId w:val="45"/>
        </w:numPr>
        <w:rPr>
          <w:rFonts w:ascii="Arial" w:cs="Arial" w:eastAsia="Arial" w:hAnsi="Arial"/>
          <w:sz w:val="20"/>
          <w:szCs w:val="20"/>
          <w:color w:val="auto"/>
        </w:rPr>
      </w:pPr>
      <w:r>
        <w:rPr>
          <w:rFonts w:ascii="Arial" w:cs="Arial" w:eastAsia="Arial" w:hAnsi="Arial"/>
          <w:sz w:val="20"/>
          <w:szCs w:val="20"/>
          <w:color w:val="auto"/>
        </w:rPr>
        <w:t>Pledging Datadog securities or purchasing Datadog securities on margin is prohibited because it could result in a scenario where your Datadog securities are sold without your consent during a blackout period.</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8000FF"/>
        </w:rPr>
        <w:t>TRADING WINDOWS AND BLACKOUT PERIODS</w:t>
      </w:r>
    </w:p>
    <w:p>
      <w:pPr>
        <w:spacing w:after="0" w:line="161" w:lineRule="exact"/>
        <w:rPr>
          <w:sz w:val="20"/>
          <w:szCs w:val="20"/>
          <w:color w:val="auto"/>
        </w:rPr>
      </w:pPr>
    </w:p>
    <w:p>
      <w:pPr>
        <w:jc w:val="both"/>
        <w:ind w:right="120"/>
        <w:spacing w:after="0" w:line="290" w:lineRule="auto"/>
        <w:rPr>
          <w:sz w:val="20"/>
          <w:szCs w:val="20"/>
          <w:color w:val="auto"/>
        </w:rPr>
      </w:pPr>
      <w:r>
        <w:rPr>
          <w:rFonts w:ascii="Arial" w:cs="Arial" w:eastAsia="Arial" w:hAnsi="Arial"/>
          <w:sz w:val="20"/>
          <w:szCs w:val="20"/>
          <w:color w:val="auto"/>
        </w:rPr>
        <w:t>Near the end of each quarter, some individuals will have a sense of our financial results while the public does not. To avoid any risk of insider trading or even the appearance of it, you are restricted from buying, selling, transferring or gifting Datadog securities during quarterly blackout periods.</w:t>
      </w:r>
    </w:p>
    <w:p>
      <w:pPr>
        <w:spacing w:after="0" w:line="192"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Our quarterly blackout periods begin after the trading day on the 15th of every March, June, September and December and end one full trading day after we announce earnings for the quarter.</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At certain times (and in rare instances for most employees), we may need to close the trading window outside of the quarterly blackout periods. In most cases you can rely on Datadog Legal to inform you of the need to refrain from trading outside of a quarterly blackout period. However, the legal responsibility lies with you, so if you’re ever unsure if you have MNPI, confirm with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****@datadoghq.com.</w:t>
      </w:r>
    </w:p>
    <w:p>
      <w:pPr>
        <w:spacing w:after="0" w:line="27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While your Datadog E*TRADE account is set up to prevent you from trading during a quarterly blackout period, you must always monitor your own compliance particularly if you’ve moved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6459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7" w:lineRule="exact"/>
        <w:rPr>
          <w:sz w:val="20"/>
          <w:szCs w:val="20"/>
          <w:color w:val="auto"/>
        </w:rPr>
      </w:pPr>
    </w:p>
    <w:p>
      <w:pPr>
        <w:jc w:val="both"/>
        <w:ind w:right="320" w:firstLine="8"/>
        <w:spacing w:after="0" w:line="215" w:lineRule="auto"/>
        <w:tabs>
          <w:tab w:leader="none" w:pos="121" w:val="left"/>
        </w:tabs>
        <w:numPr>
          <w:ilvl w:val="0"/>
          <w:numId w:val="46"/>
        </w:numPr>
        <w:rPr>
          <w:rFonts w:ascii="Arial" w:cs="Arial" w:eastAsia="Arial" w:hAnsi="Arial"/>
          <w:sz w:val="26"/>
          <w:szCs w:val="26"/>
          <w:color w:val="auto"/>
          <w:vertAlign w:val="superscript"/>
        </w:rPr>
      </w:pPr>
      <w:r>
        <w:rPr>
          <w:rFonts w:ascii="Arial" w:cs="Arial" w:eastAsia="Arial" w:hAnsi="Arial"/>
          <w:sz w:val="18"/>
          <w:szCs w:val="18"/>
          <w:color w:val="auto"/>
        </w:rPr>
        <w:t>This includes options, warrants, puts and calls, prepaid variable forward contracts, equity swaps, collars, and exchange funds, or similar instruments as well as any other transaction designed to hedge or offset any decrease in the market value of Datadog’s equity securities.</w:t>
      </w:r>
    </w:p>
    <w:p>
      <w:pPr>
        <w:sectPr>
          <w:pgSz w:w="11900" w:h="16838" w:orient="portrait"/>
          <w:cols w:equalWidth="0" w:num="1">
            <w:col w:w="11240"/>
          </w:cols>
          <w:pgMar w:left="320" w:top="1427"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securities outside of your E*TRADE account. You must cancel any standing or limit orders when the trading window closes.</w:t>
      </w:r>
    </w:p>
    <w:p>
      <w:pPr>
        <w:spacing w:after="0" w:line="28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If your employment with Datadog ends during a quarterly blackout period, you will be subject to the remainder of that trading blackout period.</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8000FF"/>
        </w:rPr>
        <w:t>TRADING PLANS</w:t>
      </w: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Company-approved, pre-set trading plans (10b5-1 plans) may be set up to trade during blackout periods. The strict requirements make this an unattractive option for many employees. However, if you understand the requirements and still wish to adopt a 10b5-1 plan, please contact ****@datadoghq.com for instructions.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8000FF"/>
        </w:rPr>
        <w:t>PRE-CLEARANCE</w:t>
      </w:r>
    </w:p>
    <w:p>
      <w:pPr>
        <w:spacing w:after="0" w:line="29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Even during an open trading window, directors, officers and other individuals specifically notified by Datadog management must obtain pre-clearance of the transaction from Datadog’s Chief Financial Officer or General Counsel or their designee at least two business days in advance of the proposed transaction. Pre-cleared transactions not completed within two business days will require new pre-clearance. Datadog may choose to shorten this period.</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8000FF"/>
        </w:rPr>
        <w:t>QUESTIONS</w:t>
      </w:r>
    </w:p>
    <w:p>
      <w:pPr>
        <w:spacing w:after="0" w:line="28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If you have any questions regarding this Policy, its application to a proposed transaction, or concerns about a potential violation of this Policy, email ****@datadoghq.com.</w:t>
      </w:r>
    </w:p>
    <w:p>
      <w:pPr>
        <w:spacing w:after="0" w:line="16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You may also anonymously report concerns by phone (****) or online to the Datadog Ethics Helpline. For toll-free calling from outside of the U.S., visit ********.</w:t>
      </w:r>
    </w:p>
    <w:p>
      <w:pPr>
        <w:sectPr>
          <w:pgSz w:w="11900" w:h="16838" w:orient="portrait"/>
          <w:cols w:equalWidth="0" w:num="1">
            <w:col w:w="11240"/>
          </w:cols>
          <w:pgMar w:left="320" w:top="142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5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List of Subsidiaries of Datadog, Inc.</w:t>
            </w:r>
          </w:p>
        </w:tc>
      </w:tr>
      <w:tr>
        <w:trPr>
          <w:trHeight w:val="459"/>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
        </w:trPr>
        <w:tc>
          <w:tcPr>
            <w:tcW w:w="4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5"/>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France SAS</w:t>
            </w:r>
          </w:p>
        </w:tc>
        <w:tc>
          <w:tcPr>
            <w:tcW w:w="218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Ireland Limited</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Cloud Spain SL</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Ireland Limited UK Branch</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Netherlands BV</w:t>
            </w:r>
          </w:p>
        </w:tc>
        <w:tc>
          <w:tcPr>
            <w:tcW w:w="218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1220"/>
          </w:cols>
          <w:pgMar w:left="34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Verdana" w:cs="Verdana" w:eastAsia="Verdana" w:hAnsi="Verdana"/>
          <w:sz w:val="16"/>
          <w:szCs w:val="16"/>
          <w:color w:val="auto"/>
        </w:rPr>
        <w:t>We consent to the incorporation by reference in Registration Statement Nos. 333-233903, 333-237176, 333-254229 and 333-270280 on</w:t>
      </w:r>
    </w:p>
    <w:p>
      <w:pPr>
        <w:ind w:right="80"/>
        <w:spacing w:after="0" w:line="208" w:lineRule="auto"/>
        <w:rPr>
          <w:sz w:val="20"/>
          <w:szCs w:val="20"/>
          <w:color w:val="auto"/>
        </w:rPr>
      </w:pPr>
      <w:r>
        <w:rPr>
          <w:rFonts w:ascii="Verdana" w:cs="Verdana" w:eastAsia="Verdana" w:hAnsi="Verdana"/>
          <w:sz w:val="16"/>
          <w:szCs w:val="16"/>
          <w:color w:val="auto"/>
        </w:rPr>
        <w:t>Form S-8 of our reports dated February 20, 2025 relating to the consolidated financial statements of Datadog, Inc. and subsidiaries (the “Company”), and the effectiveness of the Company's internal control over financial reporting, appearing in this Annual Report on Form</w:t>
      </w:r>
    </w:p>
    <w:p>
      <w:pPr>
        <w:spacing w:after="0"/>
        <w:rPr>
          <w:sz w:val="20"/>
          <w:szCs w:val="20"/>
          <w:color w:val="auto"/>
        </w:rPr>
      </w:pPr>
      <w:r>
        <w:rPr>
          <w:rFonts w:ascii="Verdana" w:cs="Verdana" w:eastAsia="Verdana" w:hAnsi="Verdana"/>
          <w:sz w:val="16"/>
          <w:szCs w:val="16"/>
          <w:color w:val="auto"/>
        </w:rPr>
        <w:t>10-K for the year ended December 31, 2024.</w:t>
      </w:r>
    </w:p>
    <w:p>
      <w:pPr>
        <w:spacing w:after="0" w:line="238"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224" w:lineRule="exact"/>
        <w:rPr>
          <w:sz w:val="20"/>
          <w:szCs w:val="20"/>
          <w:color w:val="auto"/>
        </w:rPr>
      </w:pPr>
    </w:p>
    <w:p>
      <w:pPr>
        <w:spacing w:after="0"/>
        <w:rPr>
          <w:sz w:val="20"/>
          <w:szCs w:val="20"/>
          <w:color w:val="auto"/>
        </w:rPr>
      </w:pPr>
      <w:r>
        <w:rPr>
          <w:rFonts w:ascii="Verdana" w:cs="Verdana" w:eastAsia="Verdana" w:hAnsi="Verdana"/>
          <w:sz w:val="16"/>
          <w:szCs w:val="16"/>
          <w:color w:val="auto"/>
        </w:rPr>
        <w:t>New York, New York</w:t>
      </w:r>
    </w:p>
    <w:p>
      <w:pPr>
        <w:spacing w:after="0" w:line="224" w:lineRule="exact"/>
        <w:rPr>
          <w:sz w:val="20"/>
          <w:szCs w:val="20"/>
          <w:color w:val="auto"/>
        </w:rPr>
      </w:pPr>
    </w:p>
    <w:p>
      <w:pPr>
        <w:spacing w:after="0"/>
        <w:rPr>
          <w:sz w:val="20"/>
          <w:szCs w:val="20"/>
          <w:color w:val="auto"/>
        </w:rPr>
      </w:pPr>
      <w:r>
        <w:rPr>
          <w:rFonts w:ascii="Verdana" w:cs="Verdana" w:eastAsia="Verdana" w:hAnsi="Verdana"/>
          <w:sz w:val="16"/>
          <w:szCs w:val="16"/>
          <w:color w:val="auto"/>
        </w:rPr>
        <w:t>February 20, 2025</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Datadog, Inc. (the “registrant”) for the fiscal year ended December 31, 2024;</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66" w:lineRule="auto"/>
        <w:tabs>
          <w:tab w:leader="none" w:pos="19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82" w:lineRule="auto"/>
        <w:tabs>
          <w:tab w:leader="none" w:pos="19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Olivier Pomel</w:t>
            </w:r>
          </w:p>
        </w:tc>
      </w:tr>
      <w:tr>
        <w:trPr>
          <w:trHeight w:val="184"/>
        </w:trPr>
        <w:tc>
          <w:tcPr>
            <w:tcW w:w="3500" w:type="dxa"/>
            <w:vAlign w:val="bottom"/>
          </w:tcPr>
          <w:p>
            <w:pPr>
              <w:spacing w:after="0"/>
              <w:rPr>
                <w:sz w:val="16"/>
                <w:szCs w:val="16"/>
                <w:color w:val="auto"/>
              </w:rPr>
            </w:pPr>
          </w:p>
        </w:tc>
        <w:tc>
          <w:tcPr>
            <w:tcW w:w="2480" w:type="dxa"/>
            <w:vAlign w:val="bottom"/>
          </w:tcPr>
          <w:p>
            <w:pPr>
              <w:ind w:left="17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Datadog, Inc. (the “registrant”) for the fiscal year ended December 31, 2024;</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66" w:lineRule="auto"/>
        <w:tabs>
          <w:tab w:leader="none" w:pos="19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82" w:lineRule="auto"/>
        <w:tabs>
          <w:tab w:leader="none" w:pos="19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Obstler</w:t>
            </w:r>
          </w:p>
        </w:tc>
      </w:tr>
      <w:tr>
        <w:trPr>
          <w:trHeight w:val="214"/>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4"/>
        </w:trPr>
        <w:tc>
          <w:tcPr>
            <w:tcW w:w="3480" w:type="dxa"/>
            <w:vAlign w:val="bottom"/>
          </w:tcPr>
          <w:p>
            <w:pPr>
              <w:spacing w:after="0"/>
              <w:rPr>
                <w:sz w:val="16"/>
                <w:szCs w:val="16"/>
                <w:color w:val="auto"/>
              </w:rPr>
            </w:pPr>
          </w:p>
        </w:tc>
        <w:tc>
          <w:tcPr>
            <w:tcW w:w="2480" w:type="dxa"/>
            <w:vAlign w:val="bottom"/>
          </w:tcPr>
          <w:p>
            <w:pPr>
              <w:ind w:left="172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ectPr>
          <w:pgSz w:w="11900" w:h="16838" w:orient="portrait"/>
          <w:cols w:equalWidth="0" w:num="1">
            <w:col w:w="11240"/>
          </w:cols>
          <w:pgMar w:left="320" w:top="88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Annual Report on Form 10-K of Datadog, Inc. for the fiscal year ended December 31, 2024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Olivier Pomel</w:t>
            </w:r>
          </w:p>
        </w:tc>
      </w:tr>
      <w:tr>
        <w:trPr>
          <w:trHeight w:val="214"/>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4"/>
        </w:trPr>
        <w:tc>
          <w:tcPr>
            <w:tcW w:w="3500" w:type="dxa"/>
            <w:vAlign w:val="bottom"/>
          </w:tcPr>
          <w:p>
            <w:pPr>
              <w:spacing w:after="0"/>
              <w:rPr>
                <w:sz w:val="16"/>
                <w:szCs w:val="16"/>
                <w:color w:val="auto"/>
              </w:rPr>
            </w:pPr>
          </w:p>
        </w:tc>
        <w:tc>
          <w:tcPr>
            <w:tcW w:w="2480" w:type="dxa"/>
            <w:vAlign w:val="bottom"/>
          </w:tcPr>
          <w:p>
            <w:pPr>
              <w:ind w:left="17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36"/>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88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Annual Report on Form 10-K of Datadog, Inc. for the fiscal year ended December 31, 2024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Obstler</w:t>
            </w:r>
          </w:p>
        </w:tc>
      </w:tr>
      <w:tr>
        <w:trPr>
          <w:trHeight w:val="214"/>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4"/>
        </w:trPr>
        <w:tc>
          <w:tcPr>
            <w:tcW w:w="3480" w:type="dxa"/>
            <w:vAlign w:val="bottom"/>
          </w:tcPr>
          <w:p>
            <w:pPr>
              <w:spacing w:after="0"/>
              <w:rPr>
                <w:sz w:val="16"/>
                <w:szCs w:val="16"/>
                <w:color w:val="auto"/>
              </w:rPr>
            </w:pPr>
          </w:p>
        </w:tc>
        <w:tc>
          <w:tcPr>
            <w:tcW w:w="2480" w:type="dxa"/>
            <w:vAlign w:val="bottom"/>
          </w:tcPr>
          <w:p>
            <w:pPr>
              <w:ind w:left="172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2"/>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3"/>
    </w:lvl>
  </w:abstractNum>
  <w:abstractNum w:abstractNumId="28">
    <w:nsid w:val="2463B9EA"/>
    <w:multiLevelType w:val="hybridMultilevel"/>
    <w:lvl w:ilvl="0">
      <w:lvlJc w:val="left"/>
      <w:lvlText w:val="(%1)"/>
      <w:numFmt w:val="decimal"/>
      <w:start w:val="4"/>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lvl w:ilvl="1">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5"/>
    </w:lvl>
    <w:lvl w:ilvl="1">
      <w:lvlJc w:val="left"/>
      <w:lvlText w:val="%2."/>
      <w:numFmt w:val="lowerRoman"/>
      <w:start w:val="1"/>
    </w:lvl>
  </w:abstractNum>
  <w:abstractNum w:abstractNumId="41">
    <w:nsid w:val="57E4CCAF"/>
    <w:multiLevelType w:val="hybridMultilevel"/>
    <w:lvl w:ilvl="0">
      <w:lvlJc w:val="left"/>
      <w:lvlText w:val="%1."/>
      <w:numFmt w:val="decimal"/>
      <w:start w:val="11"/>
    </w:lvl>
    <w:lvl w:ilvl="1">
      <w:lvlJc w:val="left"/>
      <w:lvlText w:val="%2."/>
      <w:numFmt w:val="lowerRoman"/>
      <w:start w:val="1"/>
    </w:lvl>
  </w:abstractNum>
  <w:abstractNum w:abstractNumId="42">
    <w:nsid w:val="7A6D8D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
    <w:nsid w:val="4B588F54"/>
    <w:multiLevelType w:val="hybridMultilevel"/>
    <w:lvl w:ilvl="0">
      <w:lvlJc w:val="left"/>
      <w:lvlText w:val="1"/>
      <w:numFmt w:val="bullet"/>
      <w:start w:val="1"/>
    </w:lvl>
  </w:abstractNum>
  <w:abstractNum w:abstractNumId="44">
    <w:nsid w:val="542289EC"/>
    <w:multiLevelType w:val="hybridMultilevel"/>
    <w:lvl w:ilvl="0">
      <w:lvlJc w:val="left"/>
      <w:lvlText w:val="●"/>
      <w:numFmt w:val="bullet"/>
      <w:start w:val="1"/>
    </w:lvl>
    <w:lvl w:ilvl="1">
      <w:lvlJc w:val="left"/>
      <w:lvlText w:val="○"/>
      <w:numFmt w:val="bullet"/>
      <w:start w:val="1"/>
    </w:lvl>
  </w:abstractNum>
  <w:abstractNum w:abstractNumId="45">
    <w:nsid w:val="6DE91B18"/>
    <w:multiLevelType w:val="hybridMultilevel"/>
    <w:lvl w:ilvl="0">
      <w:lvlJc w:val="left"/>
      <w:lvlText w:val="2"/>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50"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jpe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23" Type="http://schemas.openxmlformats.org/officeDocument/2006/relationships/hyperlink" Target="https://www.sec.gov/Archives/edgar/data/1561550/000119312519252279/d803834dex31.htm" TargetMode="External"/><Relationship Id="rId124" Type="http://schemas.openxmlformats.org/officeDocument/2006/relationships/hyperlink" Target="https://www.sec.gov/Archives/edgar/data/1561550/000156155023000039/exhibit32-amendedandrestat.htm" TargetMode="External"/><Relationship Id="rId125" Type="http://schemas.openxmlformats.org/officeDocument/2006/relationships/hyperlink" Target="https://www.sec.gov/Archives/edgar/data/1561550/000119312519240411/d745413dex41.htm" TargetMode="External"/><Relationship Id="rId126" Type="http://schemas.openxmlformats.org/officeDocument/2006/relationships/hyperlink" Target="https://www.sec.gov/Archives/edgar/data/1561550/000156459020006422/ddog-ex42_225.htm" TargetMode="External"/><Relationship Id="rId127" Type="http://schemas.openxmlformats.org/officeDocument/2006/relationships/hyperlink" Target="https://www.sec.gov/Archives/edgar/data/1561550/000119312520158639/d202955dex41.htm" TargetMode="External"/><Relationship Id="rId128" Type="http://schemas.openxmlformats.org/officeDocument/2006/relationships/hyperlink" Target="https://www.sec.gov/Archives/edgar/data/1561550/000119312524277122/d853741dex41.htm" TargetMode="External"/><Relationship Id="rId129" Type="http://schemas.openxmlformats.org/officeDocument/2006/relationships/hyperlink" Target="https://www.sec.gov/Archives/edgar/data/1561550/000119312519227783/d745413dex102.htm" TargetMode="External"/><Relationship Id="rId130" Type="http://schemas.openxmlformats.org/officeDocument/2006/relationships/hyperlink" Target="https://www.sec.gov/Archives/edgar/data/1561550/000119312519240411/d745413dex103.htm" TargetMode="External"/><Relationship Id="rId131" Type="http://schemas.openxmlformats.org/officeDocument/2006/relationships/hyperlink" Target="https://www.sec.gov/Archives/edgar/data/1561550/000119312519240411/d745413dex104.htm" TargetMode="External"/><Relationship Id="rId134" Type="http://schemas.openxmlformats.org/officeDocument/2006/relationships/hyperlink" Target="https://www.sec.gov/Archives/edgar/data/1561550/000156155022000038/datadog-performancestockun.htm" TargetMode="External"/><Relationship Id="rId135" Type="http://schemas.openxmlformats.org/officeDocument/2006/relationships/hyperlink" Target="https://www.sec.gov/Archives/edgar/data/1561550/000119312519240411/d745413dex105.htm" TargetMode="External"/><Relationship Id="rId136" Type="http://schemas.openxmlformats.org/officeDocument/2006/relationships/hyperlink" Target="https://www.sec.gov/Archives/edgar/data/1561550/000119312519240411/d745413dex106.htm" TargetMode="External"/><Relationship Id="rId137" Type="http://schemas.openxmlformats.org/officeDocument/2006/relationships/hyperlink" Target="https://www.sec.gov/Archives/edgar/data/1561550/000119312519240411/d745413dex107.htm" TargetMode="External"/><Relationship Id="rId138" Type="http://schemas.openxmlformats.org/officeDocument/2006/relationships/hyperlink" Target="https://www.sec.gov/Archives/edgar/data/1561550/000156155021000007/ex-101x20210331x10q.htm" TargetMode="External"/><Relationship Id="rId139" Type="http://schemas.openxmlformats.org/officeDocument/2006/relationships/hyperlink" Target="https://www.sec.gov/Archives/edgar/data/1561550/000156155021000007/ex-102x20210331x10q.htm" TargetMode="External"/><Relationship Id="rId140" Type="http://schemas.openxmlformats.org/officeDocument/2006/relationships/hyperlink" Target="https://www.sec.gov/Archives/edgar/data/1561550/000156155022000026/ex-101x20220331x10q.htm" TargetMode="External"/><Relationship Id="rId141" Type="http://schemas.openxmlformats.org/officeDocument/2006/relationships/hyperlink" Target="https://www.sec.gov/Archives/edgar/data/1561550/000156155023000006/ddog-20221231xex1012.htm" TargetMode="External"/><Relationship Id="rId142" Type="http://schemas.openxmlformats.org/officeDocument/2006/relationships/hyperlink" Target="https://www.sec.gov/Archives/edgar/data/0001561550/000119312519227783/d745413dex109.htm" TargetMode="External"/><Relationship Id="rId143" Type="http://schemas.openxmlformats.org/officeDocument/2006/relationships/hyperlink" Target="https://www.sec.gov/Archives/edgar/data/0001561550/000119312519227783/d745413dex1010.htm" TargetMode="External"/><Relationship Id="rId144" Type="http://schemas.openxmlformats.org/officeDocument/2006/relationships/hyperlink" Target="https://www.sec.gov/Archives/edgar/data/1561550/000156155023000039/exhibit101-amendedandresta.htm" TargetMode="External"/><Relationship Id="rId145" Type="http://schemas.openxmlformats.org/officeDocument/2006/relationships/hyperlink" Target="https://www.sec.gov/Archives/edgar/data/0001561550/000119312519240411/d745413dex1013.htm" TargetMode="External"/><Relationship Id="rId146" Type="http://schemas.openxmlformats.org/officeDocument/2006/relationships/hyperlink" Target="https://www.sec.gov/Archives/edgar/data/1561550/000119312520158639/d202955dex101.htm" TargetMode="External"/><Relationship Id="rId147" Type="http://schemas.openxmlformats.org/officeDocument/2006/relationships/hyperlink" Target="https://www.sec.gov/Archives/edgar/data/1561550/000119312524277122/d853741dex991.htm" TargetMode="External"/><Relationship Id="rId148" Type="http://schemas.openxmlformats.org/officeDocument/2006/relationships/hyperlink" Target="https://www.sec.gov/Archives/edgar/data/1561550/000156459021009770/ddog-ex1014_433.htm" TargetMode="External"/><Relationship Id="rId149" Type="http://schemas.openxmlformats.org/officeDocument/2006/relationships/hyperlink" Target="https://www.sec.gov/Archives/edgar/data/1561550/000156155022000038/datadog-leaseatnewyorktime.htm" TargetMode="External"/><Relationship Id="rId151" Type="http://schemas.openxmlformats.org/officeDocument/2006/relationships/hyperlink" Target="https://www.sec.gov/Archives/edgar/data/1561550/000156155024000009/ddog-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2025-02-20T08:07:58Z</dcterms:created>
  <dcterms:modified xsi:type="dcterms:W3CDTF">2025-02-20T08:07:58Z</dcterms:modified>
</cp:coreProperties>
</file>