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7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5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0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8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3933825</wp:posOffset>
            </wp:positionH>
            <wp:positionV relativeFrom="paragraph">
              <wp:posOffset>-7620</wp:posOffset>
            </wp:positionV>
            <wp:extent cx="7804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7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001-39051</w:t>
      </w:r>
    </w:p>
    <w:p>
      <w:pPr>
        <w:spacing w:after="0" w:line="27"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Datadog, Inc.</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124"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2900" w:type="dxa"/>
            <w:vAlign w:val="bottom"/>
          </w:tcPr>
          <w:p>
            <w:pPr>
              <w:jc w:val="center"/>
              <w:ind w:left="739"/>
              <w:spacing w:after="0"/>
              <w:rPr>
                <w:sz w:val="20"/>
                <w:szCs w:val="20"/>
                <w:color w:val="auto"/>
              </w:rPr>
            </w:pPr>
            <w:r>
              <w:rPr>
                <w:rFonts w:ascii="Arial" w:cs="Arial" w:eastAsia="Arial" w:hAnsi="Arial"/>
                <w:sz w:val="18"/>
                <w:szCs w:val="18"/>
                <w:b w:val="1"/>
                <w:bCs w:val="1"/>
                <w:color w:val="auto"/>
                <w:w w:val="91"/>
              </w:rPr>
              <w:t>Delaware</w:t>
            </w:r>
          </w:p>
        </w:tc>
        <w:tc>
          <w:tcPr>
            <w:tcW w:w="2780" w:type="dxa"/>
            <w:vAlign w:val="bottom"/>
          </w:tcPr>
          <w:p>
            <w:pPr>
              <w:spacing w:after="0"/>
              <w:rPr>
                <w:sz w:val="20"/>
                <w:szCs w:val="20"/>
                <w:color w:val="auto"/>
              </w:rPr>
            </w:pPr>
          </w:p>
        </w:tc>
        <w:tc>
          <w:tcPr>
            <w:tcW w:w="2980" w:type="dxa"/>
            <w:vAlign w:val="bottom"/>
          </w:tcPr>
          <w:p>
            <w:pPr>
              <w:jc w:val="right"/>
              <w:ind w:right="41"/>
              <w:spacing w:after="0"/>
              <w:rPr>
                <w:sz w:val="20"/>
                <w:szCs w:val="20"/>
                <w:color w:val="auto"/>
              </w:rPr>
            </w:pPr>
            <w:r>
              <w:rPr>
                <w:rFonts w:ascii="Arial" w:cs="Arial" w:eastAsia="Arial" w:hAnsi="Arial"/>
                <w:sz w:val="18"/>
                <w:szCs w:val="18"/>
                <w:b w:val="1"/>
                <w:bCs w:val="1"/>
                <w:color w:val="auto"/>
              </w:rPr>
              <w:t>27-2825503</w:t>
            </w:r>
          </w:p>
        </w:tc>
      </w:tr>
      <w:tr>
        <w:trPr>
          <w:trHeight w:val="193"/>
        </w:trPr>
        <w:tc>
          <w:tcPr>
            <w:tcW w:w="2900" w:type="dxa"/>
            <w:vAlign w:val="bottom"/>
          </w:tcPr>
          <w:p>
            <w:pPr>
              <w:jc w:val="center"/>
              <w:ind w:left="739"/>
              <w:spacing w:after="0"/>
              <w:rPr>
                <w:sz w:val="20"/>
                <w:szCs w:val="20"/>
                <w:color w:val="auto"/>
              </w:rPr>
            </w:pPr>
            <w:r>
              <w:rPr>
                <w:rFonts w:ascii="Arial" w:cs="Arial" w:eastAsia="Arial" w:hAnsi="Arial"/>
                <w:sz w:val="14"/>
                <w:szCs w:val="14"/>
                <w:b w:val="1"/>
                <w:bCs w:val="1"/>
                <w:color w:val="auto"/>
                <w:w w:val="93"/>
              </w:rPr>
              <w:t>(State or other jurisdiction of</w:t>
            </w:r>
          </w:p>
        </w:tc>
        <w:tc>
          <w:tcPr>
            <w:tcW w:w="2780" w:type="dxa"/>
            <w:vAlign w:val="bottom"/>
          </w:tcPr>
          <w:p>
            <w:pPr>
              <w:spacing w:after="0"/>
              <w:rPr>
                <w:sz w:val="16"/>
                <w:szCs w:val="16"/>
                <w:color w:val="auto"/>
              </w:rPr>
            </w:pPr>
          </w:p>
        </w:tc>
        <w:tc>
          <w:tcPr>
            <w:tcW w:w="2980" w:type="dxa"/>
            <w:vAlign w:val="bottom"/>
          </w:tcPr>
          <w:p>
            <w:pPr>
              <w:jc w:val="center"/>
              <w:ind w:left="17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left="739"/>
              <w:spacing w:after="0"/>
              <w:rPr>
                <w:sz w:val="20"/>
                <w:szCs w:val="20"/>
                <w:color w:val="auto"/>
              </w:rPr>
            </w:pPr>
            <w:r>
              <w:rPr>
                <w:rFonts w:ascii="Arial" w:cs="Arial" w:eastAsia="Arial" w:hAnsi="Arial"/>
                <w:sz w:val="14"/>
                <w:szCs w:val="14"/>
                <w:b w:val="1"/>
                <w:bCs w:val="1"/>
                <w:color w:val="auto"/>
                <w:w w:val="94"/>
              </w:rPr>
              <w:t>incorporation or organization)</w:t>
            </w:r>
          </w:p>
        </w:tc>
        <w:tc>
          <w:tcPr>
            <w:tcW w:w="2780" w:type="dxa"/>
            <w:vAlign w:val="bottom"/>
          </w:tcPr>
          <w:p>
            <w:pPr>
              <w:spacing w:after="0"/>
              <w:rPr>
                <w:sz w:val="16"/>
                <w:szCs w:val="16"/>
                <w:color w:val="auto"/>
              </w:rPr>
            </w:pPr>
          </w:p>
        </w:tc>
        <w:tc>
          <w:tcPr>
            <w:tcW w:w="2980" w:type="dxa"/>
            <w:vAlign w:val="bottom"/>
          </w:tcPr>
          <w:p>
            <w:pPr>
              <w:jc w:val="center"/>
              <w:ind w:left="1781"/>
              <w:spacing w:after="0"/>
              <w:rPr>
                <w:sz w:val="20"/>
                <w:szCs w:val="20"/>
                <w:color w:val="auto"/>
              </w:rPr>
            </w:pPr>
            <w:r>
              <w:rPr>
                <w:rFonts w:ascii="Arial" w:cs="Arial" w:eastAsia="Arial" w:hAnsi="Arial"/>
                <w:sz w:val="14"/>
                <w:szCs w:val="14"/>
                <w:b w:val="1"/>
                <w:bCs w:val="1"/>
                <w:color w:val="auto"/>
                <w:w w:val="94"/>
              </w:rPr>
              <w:t>Identification No.)</w:t>
            </w:r>
          </w:p>
        </w:tc>
      </w:tr>
      <w:tr>
        <w:trPr>
          <w:trHeight w:val="268"/>
        </w:trPr>
        <w:tc>
          <w:tcPr>
            <w:tcW w:w="2900" w:type="dxa"/>
            <w:vAlign w:val="bottom"/>
          </w:tcPr>
          <w:p>
            <w:pPr>
              <w:jc w:val="center"/>
              <w:ind w:right="1599"/>
              <w:spacing w:after="0"/>
              <w:rPr>
                <w:sz w:val="20"/>
                <w:szCs w:val="20"/>
                <w:color w:val="auto"/>
              </w:rPr>
            </w:pPr>
            <w:r>
              <w:rPr>
                <w:rFonts w:ascii="Arial" w:cs="Arial" w:eastAsia="Arial" w:hAnsi="Arial"/>
                <w:sz w:val="18"/>
                <w:szCs w:val="18"/>
                <w:b w:val="1"/>
                <w:bCs w:val="1"/>
                <w:color w:val="auto"/>
                <w:w w:val="88"/>
              </w:rPr>
              <w:t>620 8th Avenue,</w:t>
            </w:r>
          </w:p>
        </w:tc>
        <w:tc>
          <w:tcPr>
            <w:tcW w:w="2780" w:type="dxa"/>
            <w:vAlign w:val="bottom"/>
          </w:tcPr>
          <w:p>
            <w:pPr>
              <w:jc w:val="center"/>
              <w:ind w:right="1670"/>
              <w:spacing w:after="0"/>
              <w:rPr>
                <w:sz w:val="20"/>
                <w:szCs w:val="20"/>
                <w:color w:val="auto"/>
              </w:rPr>
            </w:pPr>
            <w:r>
              <w:rPr>
                <w:rFonts w:ascii="Arial" w:cs="Arial" w:eastAsia="Arial" w:hAnsi="Arial"/>
                <w:sz w:val="18"/>
                <w:szCs w:val="18"/>
                <w:b w:val="1"/>
                <w:bCs w:val="1"/>
                <w:color w:val="auto"/>
                <w:w w:val="94"/>
              </w:rPr>
              <w:t>45th Floor</w:t>
            </w:r>
          </w:p>
        </w:tc>
        <w:tc>
          <w:tcPr>
            <w:tcW w:w="2980" w:type="dxa"/>
            <w:vAlign w:val="bottom"/>
          </w:tcPr>
          <w:p>
            <w:pPr>
              <w:spacing w:after="0"/>
              <w:rPr>
                <w:sz w:val="23"/>
                <w:szCs w:val="23"/>
                <w:color w:val="auto"/>
              </w:rPr>
            </w:pPr>
          </w:p>
        </w:tc>
      </w:tr>
      <w:tr>
        <w:trPr>
          <w:trHeight w:val="513"/>
        </w:trPr>
        <w:tc>
          <w:tcPr>
            <w:tcW w:w="2900" w:type="dxa"/>
            <w:vAlign w:val="bottom"/>
          </w:tcPr>
          <w:p>
            <w:pPr>
              <w:jc w:val="center"/>
              <w:ind w:right="1599"/>
              <w:spacing w:after="0"/>
              <w:rPr>
                <w:sz w:val="20"/>
                <w:szCs w:val="20"/>
                <w:color w:val="auto"/>
              </w:rPr>
            </w:pPr>
            <w:r>
              <w:rPr>
                <w:rFonts w:ascii="Arial" w:cs="Arial" w:eastAsia="Arial" w:hAnsi="Arial"/>
                <w:sz w:val="18"/>
                <w:szCs w:val="18"/>
                <w:b w:val="1"/>
                <w:bCs w:val="1"/>
                <w:color w:val="auto"/>
                <w:w w:val="94"/>
              </w:rPr>
              <w:t>New York,</w:t>
            </w:r>
          </w:p>
        </w:tc>
        <w:tc>
          <w:tcPr>
            <w:tcW w:w="2780" w:type="dxa"/>
            <w:vAlign w:val="bottom"/>
          </w:tcPr>
          <w:p>
            <w:pPr>
              <w:jc w:val="center"/>
              <w:ind w:right="1670"/>
              <w:spacing w:after="0"/>
              <w:rPr>
                <w:sz w:val="20"/>
                <w:szCs w:val="20"/>
                <w:color w:val="auto"/>
              </w:rPr>
            </w:pPr>
            <w:r>
              <w:rPr>
                <w:rFonts w:ascii="Arial" w:cs="Arial" w:eastAsia="Arial" w:hAnsi="Arial"/>
                <w:sz w:val="18"/>
                <w:szCs w:val="18"/>
                <w:b w:val="1"/>
                <w:bCs w:val="1"/>
                <w:color w:val="auto"/>
              </w:rPr>
              <w:t>NY</w:t>
            </w:r>
          </w:p>
        </w:tc>
        <w:tc>
          <w:tcPr>
            <w:tcW w:w="2980" w:type="dxa"/>
            <w:vAlign w:val="bottom"/>
          </w:tcPr>
          <w:p>
            <w:pPr>
              <w:jc w:val="right"/>
              <w:ind w:right="261"/>
              <w:spacing w:after="0"/>
              <w:rPr>
                <w:sz w:val="20"/>
                <w:szCs w:val="20"/>
                <w:color w:val="auto"/>
              </w:rPr>
            </w:pPr>
            <w:r>
              <w:rPr>
                <w:rFonts w:ascii="Arial" w:cs="Arial" w:eastAsia="Arial" w:hAnsi="Arial"/>
                <w:sz w:val="18"/>
                <w:szCs w:val="18"/>
                <w:b w:val="1"/>
                <w:bCs w:val="1"/>
                <w:color w:val="auto"/>
              </w:rPr>
              <w:t>10018</w:t>
            </w:r>
          </w:p>
        </w:tc>
      </w:tr>
      <w:tr>
        <w:trPr>
          <w:trHeight w:val="190"/>
        </w:trPr>
        <w:tc>
          <w:tcPr>
            <w:tcW w:w="5680" w:type="dxa"/>
            <w:vAlign w:val="bottom"/>
            <w:gridSpan w:val="2"/>
          </w:tcPr>
          <w:p>
            <w:pPr>
              <w:jc w:val="center"/>
              <w:ind w:right="185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80" w:type="dxa"/>
            <w:vAlign w:val="bottom"/>
          </w:tcPr>
          <w:p>
            <w:pPr>
              <w:jc w:val="center"/>
              <w:ind w:left="1781"/>
              <w:spacing w:after="0"/>
              <w:rPr>
                <w:sz w:val="20"/>
                <w:szCs w:val="20"/>
                <w:color w:val="auto"/>
              </w:rPr>
            </w:pPr>
            <w:r>
              <w:rPr>
                <w:rFonts w:ascii="Arial" w:cs="Arial" w:eastAsia="Arial" w:hAnsi="Arial"/>
                <w:sz w:val="14"/>
                <w:szCs w:val="14"/>
                <w:b w:val="1"/>
                <w:bCs w:val="1"/>
                <w:color w:val="auto"/>
                <w:w w:val="98"/>
              </w:rPr>
              <w:t>(Zip Code)</w:t>
            </w:r>
          </w:p>
        </w:tc>
      </w:tr>
    </w:tbl>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(866) 329-4466</w:t>
      </w:r>
    </w:p>
    <w:p>
      <w:pPr>
        <w:spacing w:after="0" w:line="27"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204"/>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c>
          <w:tcPr>
            <w:tcW w:w="0" w:type="dxa"/>
            <w:vAlign w:val="bottom"/>
          </w:tcPr>
          <w:p>
            <w:pPr>
              <w:spacing w:after="0"/>
              <w:rPr>
                <w:sz w:val="1"/>
                <w:szCs w:val="1"/>
                <w:color w:val="auto"/>
              </w:rPr>
            </w:pPr>
          </w:p>
        </w:tc>
      </w:tr>
      <w:tr>
        <w:trPr>
          <w:trHeight w:val="25"/>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Class A common stock, par value $0.00001 per share</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DDOG</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3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(Nasdaq Global Select Market)</w:t>
            </w: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right w:val="single" w:sz="8" w:color="auto"/>
            </w:tcBorders>
          </w:tcPr>
          <w:p>
            <w:pPr>
              <w:spacing w:after="0"/>
              <w:rPr>
                <w:sz w:val="9"/>
                <w:szCs w:val="9"/>
                <w:color w:val="auto"/>
              </w:rPr>
            </w:pPr>
          </w:p>
        </w:tc>
        <w:tc>
          <w:tcPr>
            <w:tcW w:w="3740" w:type="dxa"/>
            <w:vAlign w:val="bottom"/>
            <w:tcBorders>
              <w:right w:val="single" w:sz="8" w:color="auto"/>
            </w:tcBorders>
          </w:tcPr>
          <w:p>
            <w:pPr>
              <w:spacing w:after="0"/>
              <w:rPr>
                <w:sz w:val="9"/>
                <w:szCs w:val="9"/>
                <w:color w:val="auto"/>
              </w:rPr>
            </w:pPr>
          </w:p>
        </w:tc>
        <w:tc>
          <w:tcPr>
            <w:tcW w:w="3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1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4" w:lineRule="exact"/>
        <w:rPr>
          <w:sz w:val="24"/>
          <w:szCs w:val="24"/>
          <w:color w:val="auto"/>
        </w:rPr>
      </w:pPr>
    </w:p>
    <w:tbl>
      <w:tblPr>
        <w:tblLayout w:type="fixed"/>
        <w:tblInd w:w="20" w:type="dxa"/>
        <w:tblCellMar>
          <w:top w:w="0" w:type="dxa"/>
          <w:left w:w="0" w:type="dxa"/>
          <w:bottom w:w="0" w:type="dxa"/>
          <w:right w:w="0" w:type="dxa"/>
        </w:tblCellMar>
      </w:tblPr>
      <w:tr>
        <w:trPr>
          <w:trHeight w:val="337"/>
        </w:trPr>
        <w:tc>
          <w:tcPr>
            <w:tcW w:w="28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Arial" w:cs="Arial" w:eastAsia="Arial" w:hAnsi="Arial"/>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Arial" w:cs="Arial" w:eastAsia="Arial" w:hAnsi="Arial"/>
                <w:sz w:val="18"/>
                <w:szCs w:val="18"/>
                <w:color w:val="auto"/>
              </w:rPr>
              <w:t>Non-accelerated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Arial" w:cs="Arial" w:eastAsia="Arial" w:hAnsi="Arial"/>
                <w:sz w:val="18"/>
                <w:szCs w:val="18"/>
                <w:color w:val="auto"/>
              </w:rPr>
              <w:t>Small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68"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6"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As of April 28, 2021, there were 233,936,813 shares of the registrant’s Class A common stock and 74,446,636 shares of the registrant’s Class B common stock, each with a par value of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918845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60"/>
          </w:cols>
          <w:pgMar w:left="320" w:top="1322" w:right="31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1200" w:type="dxa"/>
            <w:vAlign w:val="bottom"/>
            <w:gridSpan w:val="2"/>
            <w:vMerge w:val="restart"/>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9100" w:type="dxa"/>
            <w:vAlign w:val="bottom"/>
            <w:gridSpan w:val="19"/>
            <w:vMerge w:val="restart"/>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200" w:type="dxa"/>
            <w:vAlign w:val="bottom"/>
            <w:gridSpan w:val="2"/>
            <w:vMerge w:val="continue"/>
          </w:tcPr>
          <w:p>
            <w:pPr>
              <w:spacing w:after="0"/>
              <w:rPr>
                <w:sz w:val="15"/>
                <w:szCs w:val="15"/>
                <w:color w:val="auto"/>
              </w:rPr>
            </w:pPr>
          </w:p>
        </w:tc>
        <w:tc>
          <w:tcPr>
            <w:tcW w:w="9100" w:type="dxa"/>
            <w:vAlign w:val="bottom"/>
            <w:gridSpan w:val="19"/>
            <w:vMerge w:val="continue"/>
          </w:tcPr>
          <w:p>
            <w:pPr>
              <w:spacing w:after="0"/>
              <w:rPr>
                <w:sz w:val="15"/>
                <w:szCs w:val="15"/>
                <w:color w:val="auto"/>
              </w:rPr>
            </w:pPr>
          </w:p>
        </w:tc>
        <w:tc>
          <w:tcPr>
            <w:tcW w:w="880" w:type="dxa"/>
            <w:vAlign w:val="bottom"/>
          </w:tcPr>
          <w:p>
            <w:pPr>
              <w:jc w:val="right"/>
              <w:spacing w:after="0" w:line="169" w:lineRule="exact"/>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63"/>
        </w:trPr>
        <w:tc>
          <w:tcPr>
            <w:tcW w:w="1200" w:type="dxa"/>
            <w:vAlign w:val="bottom"/>
            <w:gridSpan w:val="2"/>
          </w:tcPr>
          <w:p>
            <w:pPr>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150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Financial Statements</w:t>
              </w:r>
            </w:hyperlink>
          </w:p>
        </w:tc>
        <w:tc>
          <w:tcPr>
            <w:tcW w:w="740" w:type="dxa"/>
            <w:vAlign w:val="bottom"/>
            <w:tcBorders>
              <w:top w:val="single" w:sz="8" w:color="0000FF"/>
            </w:tcBorders>
            <w:gridSpan w:val="3"/>
          </w:tcPr>
          <w:p>
            <w:pPr>
              <w:spacing w:after="0"/>
              <w:rPr>
                <w:sz w:val="22"/>
                <w:szCs w:val="22"/>
                <w:color w:val="auto"/>
              </w:rPr>
            </w:pPr>
          </w:p>
        </w:tc>
        <w:tc>
          <w:tcPr>
            <w:tcW w:w="6860" w:type="dxa"/>
            <w:vAlign w:val="bottom"/>
            <w:gridSpan w:val="11"/>
          </w:tcPr>
          <w:p>
            <w:pPr>
              <w:spacing w:after="0"/>
              <w:rPr>
                <w:sz w:val="22"/>
                <w:szCs w:val="22"/>
                <w:color w:val="auto"/>
              </w:rPr>
            </w:pPr>
          </w:p>
        </w:tc>
        <w:tc>
          <w:tcPr>
            <w:tcW w:w="8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as of March 31, 2021 and December 31, 2020</w:t>
              </w:r>
            </w:hyperlink>
          </w:p>
        </w:tc>
        <w:tc>
          <w:tcPr>
            <w:tcW w:w="8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4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Operations for the Three Months Ended March 31, 2021 and 2020</w:t>
              </w:r>
            </w:hyperlink>
          </w:p>
        </w:tc>
        <w:tc>
          <w:tcPr>
            <w:tcW w:w="1460" w:type="dxa"/>
            <w:vAlign w:val="bottom"/>
            <w:gridSpan w:val="4"/>
          </w:tcPr>
          <w:p>
            <w:pPr>
              <w:spacing w:after="0"/>
              <w:rPr>
                <w:sz w:val="21"/>
                <w:szCs w:val="21"/>
                <w:color w:val="auto"/>
              </w:rPr>
            </w:pPr>
          </w:p>
        </w:tc>
        <w:tc>
          <w:tcPr>
            <w:tcW w:w="8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19"/>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Condensed Consolidated Statements of Comprehensive (Loss) Income for the Three Months Ended March 31, 2021 and 2020</w:t>
              </w:r>
            </w:hyperlink>
          </w:p>
        </w:tc>
        <w:tc>
          <w:tcPr>
            <w:tcW w:w="8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300" w:type="dxa"/>
            <w:vAlign w:val="bottom"/>
            <w:tcBorders>
              <w:top w:val="single" w:sz="8" w:color="0000FF"/>
              <w:bottom w:val="single" w:sz="8" w:color="0000FF"/>
            </w:tcBorders>
            <w:gridSpan w:val="17"/>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Condensed Consolidated Statement of Stockholders’ Equity for the Three Months Ended March 31, 2021 and 2020</w:t>
              </w:r>
            </w:hyperlink>
          </w:p>
        </w:tc>
        <w:tc>
          <w:tcPr>
            <w:tcW w:w="76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1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 for the Three Months Ended March 31, 2021 and 2020</w:t>
              </w:r>
            </w:hyperlink>
          </w:p>
        </w:tc>
        <w:tc>
          <w:tcPr>
            <w:tcW w:w="8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80" w:type="dxa"/>
            <w:vAlign w:val="bottom"/>
            <w:tcBorders>
              <w:top w:val="single" w:sz="8" w:color="0000FF"/>
            </w:tcBorders>
            <w:gridSpan w:val="16"/>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 (unaudited)</w:t>
              </w:r>
            </w:hyperlink>
          </w:p>
        </w:tc>
        <w:tc>
          <w:tcPr>
            <w:tcW w:w="1420" w:type="dxa"/>
            <w:vAlign w:val="bottom"/>
            <w:gridSpan w:val="3"/>
          </w:tcPr>
          <w:p>
            <w:pPr>
              <w:spacing w:after="0"/>
              <w:rPr>
                <w:sz w:val="21"/>
                <w:szCs w:val="21"/>
                <w:color w:val="auto"/>
              </w:rPr>
            </w:pPr>
          </w:p>
        </w:tc>
        <w:tc>
          <w:tcPr>
            <w:tcW w:w="8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tcPr>
          <w:p>
            <w:pPr>
              <w:spacing w:after="0"/>
              <w:rPr>
                <w:rFonts w:ascii="Arial" w:cs="Arial" w:eastAsia="Arial" w:hAnsi="Arial"/>
                <w:sz w:val="18"/>
                <w:szCs w:val="18"/>
                <w:color w:val="auto"/>
              </w:rPr>
            </w:pPr>
            <w:hyperlink w:anchor="page23">
              <w:r>
                <w:rPr>
                  <w:rFonts w:ascii="Arial" w:cs="Arial" w:eastAsia="Arial" w:hAnsi="Arial"/>
                  <w:sz w:val="18"/>
                  <w:szCs w:val="18"/>
                  <w:color w:val="auto"/>
                </w:rPr>
                <w:t>Item 2.</w:t>
              </w:r>
            </w:hyperlink>
          </w:p>
        </w:tc>
        <w:tc>
          <w:tcPr>
            <w:tcW w:w="646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23">
              <w:r>
                <w:rPr>
                  <w:rFonts w:ascii="Arial" w:cs="Arial" w:eastAsia="Arial" w:hAnsi="Arial"/>
                  <w:sz w:val="18"/>
                  <w:szCs w:val="18"/>
                  <w:color w:val="0000FF"/>
                  <w:w w:val="90"/>
                </w:rPr>
                <w:t>Management’s Discussion and Analysis of Financial Condition and Results of Operations</w:t>
              </w:r>
            </w:hyperlink>
          </w:p>
        </w:tc>
        <w:tc>
          <w:tcPr>
            <w:tcW w:w="2640" w:type="dxa"/>
            <w:vAlign w:val="bottom"/>
            <w:gridSpan w:val="5"/>
          </w:tcPr>
          <w:p>
            <w:pPr>
              <w:spacing w:after="0"/>
              <w:rPr>
                <w:sz w:val="24"/>
                <w:szCs w:val="24"/>
                <w:color w:val="auto"/>
              </w:rPr>
            </w:pPr>
          </w:p>
        </w:tc>
        <w:tc>
          <w:tcPr>
            <w:tcW w:w="88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34">
              <w:r>
                <w:rPr>
                  <w:rFonts w:ascii="Arial" w:cs="Arial" w:eastAsia="Arial" w:hAnsi="Arial"/>
                  <w:sz w:val="18"/>
                  <w:szCs w:val="18"/>
                  <w:color w:val="auto"/>
                </w:rPr>
                <w:t>Item 3.</w:t>
              </w:r>
            </w:hyperlink>
          </w:p>
        </w:tc>
        <w:tc>
          <w:tcPr>
            <w:tcW w:w="4360" w:type="dxa"/>
            <w:vAlign w:val="bottom"/>
            <w:tcBorders>
              <w:bottom w:val="single" w:sz="8" w:color="0000FF"/>
            </w:tcBorders>
            <w:gridSpan w:val="11"/>
          </w:tcPr>
          <w:p>
            <w:pPr>
              <w:spacing w:after="0"/>
              <w:rPr>
                <w:rFonts w:ascii="Arial" w:cs="Arial" w:eastAsia="Arial" w:hAnsi="Arial"/>
                <w:sz w:val="18"/>
                <w:szCs w:val="18"/>
                <w:color w:val="0000FF"/>
                <w:w w:val="92"/>
              </w:rPr>
            </w:pPr>
            <w:hyperlink w:anchor="page34">
              <w:r>
                <w:rPr>
                  <w:rFonts w:ascii="Arial" w:cs="Arial" w:eastAsia="Arial" w:hAnsi="Arial"/>
                  <w:sz w:val="18"/>
                  <w:szCs w:val="18"/>
                  <w:color w:val="0000FF"/>
                  <w:w w:val="92"/>
                </w:rPr>
                <w:t>Quantitative and Qualitative Disclosures About Market Risk</w:t>
              </w:r>
            </w:hyperlink>
          </w:p>
        </w:tc>
        <w:tc>
          <w:tcPr>
            <w:tcW w:w="4740" w:type="dxa"/>
            <w:vAlign w:val="bottom"/>
            <w:gridSpan w:val="8"/>
          </w:tcPr>
          <w:p>
            <w:pPr>
              <w:spacing w:after="0"/>
              <w:rPr>
                <w:sz w:val="21"/>
                <w:szCs w:val="21"/>
                <w:color w:val="auto"/>
              </w:rPr>
            </w:pPr>
          </w:p>
        </w:tc>
        <w:tc>
          <w:tcPr>
            <w:tcW w:w="88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34">
              <w:r>
                <w:rPr>
                  <w:rFonts w:ascii="Arial" w:cs="Arial" w:eastAsia="Arial" w:hAnsi="Arial"/>
                  <w:sz w:val="18"/>
                  <w:szCs w:val="18"/>
                  <w:color w:val="auto"/>
                </w:rPr>
                <w:t>Item 4.</w:t>
              </w:r>
            </w:hyperlink>
          </w:p>
        </w:tc>
        <w:tc>
          <w:tcPr>
            <w:tcW w:w="9100" w:type="dxa"/>
            <w:vAlign w:val="bottom"/>
            <w:gridSpan w:val="19"/>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Controls and Procedures</w:t>
              </w:r>
            </w:hyperlink>
          </w:p>
        </w:tc>
        <w:tc>
          <w:tcPr>
            <w:tcW w:w="88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PART II.</w:t>
              </w:r>
            </w:hyperlink>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76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vMerge w:val="continue"/>
          </w:tcPr>
          <w:p>
            <w:pPr>
              <w:spacing w:after="0"/>
              <w:rPr>
                <w:sz w:val="24"/>
                <w:szCs w:val="24"/>
                <w:color w:val="auto"/>
              </w:rPr>
            </w:pPr>
          </w:p>
        </w:tc>
        <w:tc>
          <w:tcPr>
            <w:tcW w:w="1880" w:type="dxa"/>
            <w:vAlign w:val="bottom"/>
            <w:tcBorders>
              <w:bottom w:val="single" w:sz="8" w:color="0000FF"/>
            </w:tcBorders>
            <w:gridSpan w:val="7"/>
          </w:tcPr>
          <w:p>
            <w:pPr>
              <w:spacing w:after="0"/>
              <w:rPr>
                <w:rFonts w:ascii="Arial" w:cs="Arial" w:eastAsia="Arial" w:hAnsi="Arial"/>
                <w:sz w:val="18"/>
                <w:szCs w:val="18"/>
                <w:color w:val="0000FF"/>
                <w:w w:val="95"/>
              </w:rPr>
            </w:pPr>
            <w:hyperlink w:anchor="page35">
              <w:r>
                <w:rPr>
                  <w:rFonts w:ascii="Arial" w:cs="Arial" w:eastAsia="Arial" w:hAnsi="Arial"/>
                  <w:sz w:val="18"/>
                  <w:szCs w:val="18"/>
                  <w:color w:val="0000FF"/>
                  <w:w w:val="95"/>
                </w:rPr>
                <w:t>OTHER INFORMATION</w:t>
              </w:r>
            </w:hyperlink>
          </w:p>
        </w:tc>
        <w:tc>
          <w:tcPr>
            <w:tcW w:w="7220" w:type="dxa"/>
            <w:vAlign w:val="bottom"/>
            <w:gridSpan w:val="12"/>
          </w:tcPr>
          <w:p>
            <w:pPr>
              <w:spacing w:after="0"/>
              <w:rPr>
                <w:sz w:val="24"/>
                <w:szCs w:val="24"/>
                <w:color w:val="auto"/>
              </w:rPr>
            </w:pPr>
          </w:p>
        </w:tc>
        <w:tc>
          <w:tcPr>
            <w:tcW w:w="88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1.</w:t>
              </w:r>
            </w:hyperlink>
          </w:p>
        </w:tc>
        <w:tc>
          <w:tcPr>
            <w:tcW w:w="9100" w:type="dxa"/>
            <w:vAlign w:val="bottom"/>
            <w:gridSpan w:val="19"/>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Legal Proceedings</w:t>
              </w:r>
            </w:hyperlink>
          </w:p>
        </w:tc>
        <w:tc>
          <w:tcPr>
            <w:tcW w:w="88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1A.</w:t>
              </w:r>
            </w:hyperlink>
          </w:p>
        </w:tc>
        <w:tc>
          <w:tcPr>
            <w:tcW w:w="9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7"/>
              </w:rPr>
            </w:pPr>
            <w:hyperlink w:anchor="page36">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21"/>
                <w:szCs w:val="21"/>
                <w:color w:val="auto"/>
              </w:rPr>
            </w:pPr>
          </w:p>
        </w:tc>
        <w:tc>
          <w:tcPr>
            <w:tcW w:w="7780" w:type="dxa"/>
            <w:vAlign w:val="bottom"/>
            <w:gridSpan w:val="15"/>
          </w:tcPr>
          <w:p>
            <w:pPr>
              <w:spacing w:after="0"/>
              <w:rPr>
                <w:sz w:val="21"/>
                <w:szCs w:val="21"/>
                <w:color w:val="auto"/>
              </w:rPr>
            </w:pPr>
          </w:p>
        </w:tc>
        <w:tc>
          <w:tcPr>
            <w:tcW w:w="88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62">
              <w:r>
                <w:rPr>
                  <w:rFonts w:ascii="Arial" w:cs="Arial" w:eastAsia="Arial" w:hAnsi="Arial"/>
                  <w:sz w:val="18"/>
                  <w:szCs w:val="18"/>
                  <w:color w:val="auto"/>
                </w:rPr>
                <w:t>Item 2.</w:t>
              </w:r>
            </w:hyperlink>
          </w:p>
        </w:tc>
        <w:tc>
          <w:tcPr>
            <w:tcW w:w="9100" w:type="dxa"/>
            <w:vAlign w:val="bottom"/>
            <w:gridSpan w:val="19"/>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Unregistered Sales of Equity Securities and Use of Proceeds</w:t>
              </w:r>
            </w:hyperlink>
          </w:p>
        </w:tc>
        <w:tc>
          <w:tcPr>
            <w:tcW w:w="88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61</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63">
              <w:r>
                <w:rPr>
                  <w:rFonts w:ascii="Arial" w:cs="Arial" w:eastAsia="Arial" w:hAnsi="Arial"/>
                  <w:sz w:val="18"/>
                  <w:szCs w:val="18"/>
                  <w:color w:val="auto"/>
                </w:rPr>
                <w:t>Item 3.</w:t>
              </w:r>
            </w:hyperlink>
          </w:p>
        </w:tc>
        <w:tc>
          <w:tcPr>
            <w:tcW w:w="232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0"/>
              </w:rPr>
            </w:pPr>
            <w:hyperlink w:anchor="page63">
              <w:r>
                <w:rPr>
                  <w:rFonts w:ascii="Arial" w:cs="Arial" w:eastAsia="Arial" w:hAnsi="Arial"/>
                  <w:sz w:val="18"/>
                  <w:szCs w:val="18"/>
                  <w:color w:val="0000FF"/>
                  <w:w w:val="90"/>
                </w:rPr>
                <w:t>Defaults Upon Senior Securities</w:t>
              </w:r>
            </w:hyperlink>
          </w:p>
        </w:tc>
        <w:tc>
          <w:tcPr>
            <w:tcW w:w="2020" w:type="dxa"/>
            <w:vAlign w:val="bottom"/>
            <w:tcBorders>
              <w:top w:val="single" w:sz="8" w:color="0000FF"/>
            </w:tcBorders>
          </w:tcPr>
          <w:p>
            <w:pPr>
              <w:spacing w:after="0"/>
              <w:rPr>
                <w:sz w:val="21"/>
                <w:szCs w:val="21"/>
                <w:color w:val="auto"/>
              </w:rPr>
            </w:pPr>
          </w:p>
        </w:tc>
        <w:tc>
          <w:tcPr>
            <w:tcW w:w="4760" w:type="dxa"/>
            <w:vAlign w:val="bottom"/>
            <w:gridSpan w:val="9"/>
          </w:tcPr>
          <w:p>
            <w:pPr>
              <w:spacing w:after="0"/>
              <w:rPr>
                <w:sz w:val="21"/>
                <w:szCs w:val="21"/>
                <w:color w:val="auto"/>
              </w:rPr>
            </w:pPr>
          </w:p>
        </w:tc>
        <w:tc>
          <w:tcPr>
            <w:tcW w:w="88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62</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63">
              <w:r>
                <w:rPr>
                  <w:rFonts w:ascii="Arial" w:cs="Arial" w:eastAsia="Arial" w:hAnsi="Arial"/>
                  <w:sz w:val="18"/>
                  <w:szCs w:val="18"/>
                  <w:color w:val="auto"/>
                </w:rPr>
                <w:t>Item 4.</w:t>
              </w:r>
            </w:hyperlink>
          </w:p>
        </w:tc>
        <w:tc>
          <w:tcPr>
            <w:tcW w:w="9100" w:type="dxa"/>
            <w:vAlign w:val="bottom"/>
            <w:gridSpan w:val="19"/>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Mine Safety Disclosures</w:t>
              </w:r>
            </w:hyperlink>
          </w:p>
        </w:tc>
        <w:tc>
          <w:tcPr>
            <w:tcW w:w="88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62</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63">
              <w:r>
                <w:rPr>
                  <w:rFonts w:ascii="Arial" w:cs="Arial" w:eastAsia="Arial" w:hAnsi="Arial"/>
                  <w:sz w:val="18"/>
                  <w:szCs w:val="18"/>
                  <w:color w:val="auto"/>
                </w:rPr>
                <w:t>Item 5.</w:t>
              </w:r>
            </w:hyperlink>
          </w:p>
        </w:tc>
        <w:tc>
          <w:tcPr>
            <w:tcW w:w="1760" w:type="dxa"/>
            <w:vAlign w:val="bottom"/>
            <w:tcBorders>
              <w:top w:val="single" w:sz="8" w:color="0000FF"/>
            </w:tcBorders>
            <w:gridSpan w:val="6"/>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Other Information</w:t>
              </w:r>
            </w:hyperlink>
          </w:p>
        </w:tc>
        <w:tc>
          <w:tcPr>
            <w:tcW w:w="7340" w:type="dxa"/>
            <w:vAlign w:val="bottom"/>
            <w:gridSpan w:val="13"/>
          </w:tcPr>
          <w:p>
            <w:pPr>
              <w:spacing w:after="0"/>
              <w:rPr>
                <w:sz w:val="21"/>
                <w:szCs w:val="21"/>
                <w:color w:val="auto"/>
              </w:rPr>
            </w:pPr>
          </w:p>
        </w:tc>
        <w:tc>
          <w:tcPr>
            <w:tcW w:w="88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62</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63">
              <w:r>
                <w:rPr>
                  <w:rFonts w:ascii="Arial" w:cs="Arial" w:eastAsia="Arial" w:hAnsi="Arial"/>
                  <w:sz w:val="18"/>
                  <w:szCs w:val="18"/>
                  <w:color w:val="auto"/>
                </w:rPr>
                <w:t>Item 6.</w:t>
              </w:r>
            </w:hyperlink>
          </w:p>
        </w:tc>
        <w:tc>
          <w:tcPr>
            <w:tcW w:w="1300" w:type="dxa"/>
            <w:vAlign w:val="bottom"/>
            <w:tcBorders>
              <w:top w:val="single" w:sz="8" w:color="0000FF"/>
            </w:tcBorders>
            <w:gridSpan w:val="3"/>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Exhibits</w:t>
              </w:r>
            </w:hyperlink>
          </w:p>
        </w:tc>
        <w:tc>
          <w:tcPr>
            <w:tcW w:w="7800" w:type="dxa"/>
            <w:vAlign w:val="bottom"/>
            <w:gridSpan w:val="16"/>
          </w:tcPr>
          <w:p>
            <w:pPr>
              <w:spacing w:after="0"/>
              <w:rPr>
                <w:sz w:val="21"/>
                <w:szCs w:val="21"/>
                <w:color w:val="auto"/>
              </w:rPr>
            </w:pPr>
          </w:p>
        </w:tc>
        <w:tc>
          <w:tcPr>
            <w:tcW w:w="88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63</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64</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89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56" w:lineRule="exact"/>
        <w:rPr>
          <w:sz w:val="20"/>
          <w:szCs w:val="20"/>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new customers and successfully retain existing customers;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usage of our platform and upsell and cross sell additional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our profitability;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and our ability to promote our brand;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any costs associated therewith;</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the ongoing COVID-19 pandemic on our business, results of operations and financial condition.</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You should not rely on forward-looking statements as predictions of future events. The outcome of the events described in these forward-looking statements is subject to risks, uncertainties and other factors described under the header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9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Unless the context otherwise indicates, references in this report to the terms “Datadog”, “the Company,” “we,” “our” and “us” refer to Datadog,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its subsidiaries.</w:t>
      </w:r>
    </w:p>
    <w:p>
      <w:pPr>
        <w:spacing w:after="0" w:line="21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may announce material business and financial information to our investors using our investor relations website (www.investors.datadoghq.com). We therefore encourage investors and others interested in Datadog to review the information that we make available on our website, in addition to following our filings with the Securities and Exchange Commission, webcasts, press releases and conference calls.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140" w:type="dxa"/>
            <w:vAlign w:val="bottom"/>
          </w:tcPr>
          <w:p>
            <w:pPr>
              <w:jc w:val="right"/>
              <w:ind w:right="151"/>
              <w:spacing w:after="0"/>
              <w:rPr>
                <w:sz w:val="20"/>
                <w:szCs w:val="20"/>
                <w:color w:val="auto"/>
              </w:rPr>
            </w:pPr>
            <w:r>
              <w:rPr>
                <w:rFonts w:ascii="Arial" w:cs="Arial" w:eastAsia="Arial" w:hAnsi="Arial"/>
                <w:sz w:val="14"/>
                <w:szCs w:val="14"/>
                <w:b w:val="1"/>
                <w:bCs w:val="1"/>
                <w:color w:val="auto"/>
                <w:w w:val="96"/>
              </w:rPr>
              <w:t>December 31,</w:t>
            </w:r>
          </w:p>
        </w:tc>
      </w:tr>
      <w:tr>
        <w:trPr>
          <w:trHeight w:val="186"/>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6"/>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369,706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224,927</w:t>
            </w:r>
          </w:p>
        </w:tc>
      </w:tr>
      <w:tr>
        <w:trPr>
          <w:trHeight w:val="243"/>
        </w:trPr>
        <w:tc>
          <w:tcPr>
            <w:tcW w:w="844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1,178,190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1,292,532</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 net of allowance for credit losses of $2,317 and $2,468 as of</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8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March 31, 2021 and December 31, 2020,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154,111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163,359</w:t>
            </w:r>
          </w:p>
        </w:tc>
      </w:tr>
      <w:tr>
        <w:trPr>
          <w:trHeight w:val="243"/>
        </w:trPr>
        <w:tc>
          <w:tcPr>
            <w:tcW w:w="8440" w:type="dxa"/>
            <w:vAlign w:val="bottom"/>
          </w:tcPr>
          <w:p>
            <w:pPr>
              <w:ind w:left="220"/>
              <w:spacing w:after="0"/>
              <w:rPr>
                <w:sz w:val="20"/>
                <w:szCs w:val="20"/>
                <w:color w:val="auto"/>
              </w:rPr>
            </w:pPr>
            <w:r>
              <w:rPr>
                <w:rFonts w:ascii="Arial" w:cs="Arial" w:eastAsia="Arial" w:hAnsi="Arial"/>
                <w:sz w:val="18"/>
                <w:szCs w:val="18"/>
                <w:color w:val="auto"/>
              </w:rPr>
              <w:t>Deferred contract costs, current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13,638</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23,624</w:t>
            </w:r>
          </w:p>
        </w:tc>
      </w:tr>
      <w:tr>
        <w:trPr>
          <w:trHeight w:val="237"/>
        </w:trPr>
        <w:tc>
          <w:tcPr>
            <w:tcW w:w="844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1,746,857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1,718,080</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47,197</w:t>
            </w:r>
          </w:p>
        </w:tc>
      </w:tr>
      <w:tr>
        <w:trPr>
          <w:trHeight w:val="243"/>
        </w:trPr>
        <w:tc>
          <w:tcPr>
            <w:tcW w:w="8440" w:type="dxa"/>
            <w:vAlign w:val="bottom"/>
          </w:tcPr>
          <w:p>
            <w:pPr>
              <w:ind w:left="220"/>
              <w:spacing w:after="0"/>
              <w:rPr>
                <w:sz w:val="20"/>
                <w:szCs w:val="20"/>
                <w:color w:val="auto"/>
              </w:rPr>
            </w:pPr>
            <w:r>
              <w:rPr>
                <w:rFonts w:ascii="Arial" w:cs="Arial" w:eastAsia="Arial" w:hAnsi="Arial"/>
                <w:sz w:val="18"/>
                <w:szCs w:val="18"/>
                <w:color w:val="auto"/>
              </w:rPr>
              <w:t>Operating lease assets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53,117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57,829</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17,609</w:t>
            </w:r>
          </w:p>
        </w:tc>
      </w:tr>
      <w:tr>
        <w:trPr>
          <w:trHeight w:val="243"/>
        </w:trPr>
        <w:tc>
          <w:tcPr>
            <w:tcW w:w="8440" w:type="dxa"/>
            <w:vAlign w:val="bottom"/>
          </w:tcPr>
          <w:p>
            <w:pPr>
              <w:ind w:left="2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2,069</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contract costs, non-current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26,750</w:t>
            </w:r>
          </w:p>
        </w:tc>
      </w:tr>
      <w:tr>
        <w:trPr>
          <w:trHeight w:val="243"/>
        </w:trPr>
        <w:tc>
          <w:tcPr>
            <w:tcW w:w="844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3,784</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16,967</w:t>
            </w:r>
          </w:p>
        </w:tc>
      </w:tr>
      <w:tr>
        <w:trPr>
          <w:trHeight w:val="264"/>
        </w:trPr>
        <w:tc>
          <w:tcPr>
            <w:tcW w:w="84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1,952,074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1,890,285</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21,342</w:t>
            </w:r>
          </w:p>
        </w:tc>
      </w:tr>
      <w:tr>
        <w:trPr>
          <w:trHeight w:val="243"/>
        </w:trPr>
        <w:tc>
          <w:tcPr>
            <w:tcW w:w="844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68,476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55,351</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 liabilities, current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16,326</w:t>
            </w:r>
          </w:p>
        </w:tc>
      </w:tr>
      <w:tr>
        <w:trPr>
          <w:trHeight w:val="243"/>
        </w:trPr>
        <w:tc>
          <w:tcPr>
            <w:tcW w:w="8440" w:type="dxa"/>
            <w:vAlign w:val="bottom"/>
          </w:tcPr>
          <w:p>
            <w:pPr>
              <w:ind w:left="220"/>
              <w:spacing w:after="0"/>
              <w:rPr>
                <w:sz w:val="20"/>
                <w:szCs w:val="20"/>
                <w:color w:val="auto"/>
              </w:rPr>
            </w:pPr>
            <w:r>
              <w:rPr>
                <w:rFonts w:ascii="Arial" w:cs="Arial" w:eastAsia="Arial" w:hAnsi="Arial"/>
                <w:sz w:val="18"/>
                <w:szCs w:val="18"/>
                <w:color w:val="auto"/>
              </w:rPr>
              <w:t>Deferred revenue, current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223,647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204,825</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320,814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297,844</w:t>
            </w:r>
          </w:p>
        </w:tc>
      </w:tr>
      <w:tr>
        <w:trPr>
          <w:trHeight w:val="243"/>
        </w:trPr>
        <w:tc>
          <w:tcPr>
            <w:tcW w:w="8440" w:type="dxa"/>
            <w:vAlign w:val="bottom"/>
          </w:tcPr>
          <w:p>
            <w:pPr>
              <w:ind w:left="220"/>
              <w:spacing w:after="0"/>
              <w:rPr>
                <w:sz w:val="20"/>
                <w:szCs w:val="20"/>
                <w:color w:val="auto"/>
              </w:rPr>
            </w:pPr>
            <w:r>
              <w:rPr>
                <w:rFonts w:ascii="Arial" w:cs="Arial" w:eastAsia="Arial" w:hAnsi="Arial"/>
                <w:sz w:val="18"/>
                <w:szCs w:val="18"/>
                <w:color w:val="auto"/>
              </w:rPr>
              <w:t>Operating lease liabilities, non-current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46,620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51,433</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Convertible senior notes, net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732,968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575,864</w:t>
            </w:r>
          </w:p>
        </w:tc>
      </w:tr>
      <w:tr>
        <w:trPr>
          <w:trHeight w:val="243"/>
        </w:trPr>
        <w:tc>
          <w:tcPr>
            <w:tcW w:w="8440" w:type="dxa"/>
            <w:vAlign w:val="bottom"/>
          </w:tcPr>
          <w:p>
            <w:pPr>
              <w:ind w:left="220"/>
              <w:spacing w:after="0"/>
              <w:rPr>
                <w:sz w:val="20"/>
                <w:szCs w:val="20"/>
                <w:color w:val="auto"/>
              </w:rPr>
            </w:pPr>
            <w:r>
              <w:rPr>
                <w:rFonts w:ascii="Arial" w:cs="Arial" w:eastAsia="Arial" w:hAnsi="Arial"/>
                <w:sz w:val="18"/>
                <w:szCs w:val="18"/>
                <w:color w:val="auto"/>
              </w:rPr>
              <w:t>Deferred revenue, non-current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3,450</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4,262</w:t>
            </w:r>
          </w:p>
        </w:tc>
      </w:tr>
      <w:tr>
        <w:trPr>
          <w:trHeight w:val="237"/>
        </w:trPr>
        <w:tc>
          <w:tcPr>
            <w:tcW w:w="844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1,110,744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932,853</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8)</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Class A common stock, $0.00001 par value per share; 2,000,000,000 shares authorized as of March 31, 2021 and</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December 31, 2020; 232,419,196 and 218,510,509 shares issued and outstanding as of March 31, 2021 and</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7"/>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2020,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440" w:type="dxa"/>
            <w:vAlign w:val="bottom"/>
          </w:tcPr>
          <w:p>
            <w:pPr>
              <w:ind w:left="180"/>
              <w:spacing w:after="0"/>
              <w:rPr>
                <w:sz w:val="20"/>
                <w:szCs w:val="20"/>
                <w:color w:val="auto"/>
              </w:rPr>
            </w:pPr>
            <w:r>
              <w:rPr>
                <w:rFonts w:ascii="Arial" w:cs="Arial" w:eastAsia="Arial" w:hAnsi="Arial"/>
                <w:sz w:val="18"/>
                <w:szCs w:val="18"/>
                <w:color w:val="auto"/>
                <w:w w:val="92"/>
              </w:rPr>
              <w:t>Class B common stock, $0.00001 par value per share; 310,000,000 shares authorized as of March 31, 2021 and</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w w:val="97"/>
              </w:rPr>
              <w:t>December 31, 2020; 75,385,154 and 87,369,554 shares issued and outstanding as of March 31, 2021 and</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440" w:type="dxa"/>
            <w:vAlign w:val="bottom"/>
          </w:tcPr>
          <w:p>
            <w:pPr>
              <w:ind w:left="180"/>
              <w:spacing w:after="0"/>
              <w:rPr>
                <w:sz w:val="20"/>
                <w:szCs w:val="20"/>
                <w:color w:val="auto"/>
              </w:rPr>
            </w:pPr>
            <w:r>
              <w:rPr>
                <w:rFonts w:ascii="Arial" w:cs="Arial" w:eastAsia="Arial" w:hAnsi="Arial"/>
                <w:sz w:val="18"/>
                <w:szCs w:val="18"/>
                <w:color w:val="auto"/>
              </w:rPr>
              <w:t>December 31, 2020, respectively</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985,004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1,103,305</w:t>
            </w: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2,287</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(148,163)</w:t>
            </w:r>
          </w:p>
        </w:tc>
      </w:tr>
      <w:tr>
        <w:trPr>
          <w:trHeight w:val="236"/>
        </w:trPr>
        <w:tc>
          <w:tcPr>
            <w:tcW w:w="844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841,330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957,432</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1,952,074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1,890,285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00"/>
          </w:cols>
          <w:pgMar w:left="320" w:top="891" w:right="379" w:bottom="946"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946" w:gutter="0" w:footer="0" w:header="0"/>
          <w:type w:val="continuous"/>
        </w:sectPr>
      </w:pPr>
    </w:p>
    <w:bookmarkStart w:id="4" w:name="page5"/>
    <w:bookmarkEnd w:id="4"/>
    <w:p>
      <w:pPr>
        <w:ind w:left="4940"/>
        <w:spacing w:after="0"/>
        <w:rPr>
          <w:sz w:val="20"/>
          <w:szCs w:val="20"/>
          <w:color w:val="auto"/>
        </w:rPr>
      </w:pPr>
      <w:r>
        <w:rPr>
          <w:rFonts w:ascii="Arial" w:cs="Arial" w:eastAsia="Arial" w:hAnsi="Arial"/>
          <w:sz w:val="18"/>
          <w:szCs w:val="18"/>
          <w:b w:val="1"/>
          <w:bCs w:val="1"/>
          <w:color w:val="auto"/>
        </w:rPr>
        <w:t>DATADOG, INC.</w:t>
      </w:r>
    </w:p>
    <w:p>
      <w:pPr>
        <w:spacing w:after="0" w:line="18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22225</wp:posOffset>
            </wp:positionV>
            <wp:extent cx="17487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131,248</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46,666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26,479</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104,769</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40,824</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64,353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45,215</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21,094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14,952</w:t>
            </w:r>
          </w:p>
        </w:tc>
        <w:tc>
          <w:tcPr>
            <w:tcW w:w="0" w:type="dxa"/>
            <w:vAlign w:val="bottom"/>
          </w:tcPr>
          <w:p>
            <w:pPr>
              <w:spacing w:after="0"/>
              <w:rPr>
                <w:sz w:val="1"/>
                <w:szCs w:val="1"/>
                <w:color w:val="auto"/>
              </w:rPr>
            </w:pPr>
          </w:p>
        </w:tc>
      </w:tr>
      <w:tr>
        <w:trPr>
          <w:trHeight w:val="237"/>
        </w:trPr>
        <w:tc>
          <w:tcPr>
            <w:tcW w:w="848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164,713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100,991</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Interest income and other income,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237"/>
        </w:trPr>
        <w:tc>
          <w:tcPr>
            <w:tcW w:w="8480" w:type="dxa"/>
            <w:vAlign w:val="bottom"/>
          </w:tcPr>
          <w:p>
            <w:pPr>
              <w:ind w:left="20"/>
              <w:spacing w:after="0"/>
              <w:rPr>
                <w:sz w:val="20"/>
                <w:szCs w:val="20"/>
                <w:color w:val="auto"/>
              </w:rPr>
            </w:pPr>
            <w:r>
              <w:rPr>
                <w:rFonts w:ascii="Arial" w:cs="Arial" w:eastAsia="Arial" w:hAnsi="Arial"/>
                <w:sz w:val="18"/>
                <w:szCs w:val="18"/>
                <w:color w:val="auto"/>
              </w:rPr>
              <w:t>(Loss) income before provision for income taxes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6,674</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64"/>
        </w:trPr>
        <w:tc>
          <w:tcPr>
            <w:tcW w:w="84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common stockholders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net (loss) income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80" w:type="dxa"/>
            <w:vAlign w:val="bottom"/>
            <w:vMerge w:val="continue"/>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(loss) income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color w:val="auto"/>
              </w:rPr>
              <w:t>Weighted average shares used in calculating basic net (loss) income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306,034</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295,455</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Weighted average shares used in calculating diluted net (loss) income per share</w:t>
            </w: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306,034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327,801</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22225</wp:posOffset>
            </wp:positionV>
            <wp:extent cx="1748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6"/>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6,479</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8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43"/>
        </w:trPr>
        <w:tc>
          <w:tcPr>
            <w:tcW w:w="8480" w:type="dxa"/>
            <w:vAlign w:val="bottom"/>
          </w:tcPr>
          <w:p>
            <w:pPr>
              <w:ind w:left="240"/>
              <w:spacing w:after="0"/>
              <w:rPr>
                <w:sz w:val="20"/>
                <w:szCs w:val="20"/>
                <w:color w:val="auto"/>
              </w:rPr>
            </w:pPr>
            <w:r>
              <w:rPr>
                <w:rFonts w:ascii="Arial" w:cs="Arial" w:eastAsia="Arial" w:hAnsi="Arial"/>
                <w:sz w:val="18"/>
                <w:szCs w:val="18"/>
                <w:color w:val="auto"/>
              </w:rPr>
              <w:t>Unrealized loss on available-for-sale marketable securities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(908)</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comprehensive loss: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r>
      <w:tr>
        <w:trPr>
          <w:trHeight w:val="257"/>
        </w:trPr>
        <w:tc>
          <w:tcPr>
            <w:tcW w:w="848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5,284</w:t>
            </w:r>
          </w:p>
        </w:tc>
      </w:tr>
      <w:tr>
        <w:trPr>
          <w:trHeight w:val="27"/>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2400" w:type="dxa"/>
            <w:vAlign w:val="bottom"/>
            <w:gridSpan w:val="3"/>
          </w:tcPr>
          <w:p>
            <w:pPr>
              <w:jc w:val="right"/>
              <w:ind w:right="342"/>
              <w:spacing w:after="0"/>
              <w:rPr>
                <w:sz w:val="20"/>
                <w:szCs w:val="20"/>
                <w:color w:val="auto"/>
              </w:rPr>
            </w:pPr>
            <w:r>
              <w:rPr>
                <w:rFonts w:ascii="Arial" w:cs="Arial" w:eastAsia="Arial" w:hAnsi="Arial"/>
                <w:sz w:val="14"/>
                <w:szCs w:val="14"/>
                <w:b w:val="1"/>
                <w:bCs w:val="1"/>
                <w:color w:val="auto"/>
              </w:rPr>
              <w:t>Class A and Class B</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2400" w:type="dxa"/>
            <w:vAlign w:val="bottom"/>
            <w:gridSpan w:val="3"/>
          </w:tcPr>
          <w:p>
            <w:pPr>
              <w:jc w:val="right"/>
              <w:ind w:right="482"/>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3"/>
        </w:trPr>
        <w:tc>
          <w:tcPr>
            <w:tcW w:w="2840" w:type="dxa"/>
            <w:vAlign w:val="bottom"/>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5"/>
                <w:szCs w:val="5"/>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5"/>
                <w:szCs w:val="5"/>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5"/>
                <w:szCs w:val="5"/>
                <w:color w:val="auto"/>
              </w:rPr>
            </w:pPr>
          </w:p>
        </w:tc>
        <w:tc>
          <w:tcPr>
            <w:tcW w:w="114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79"/>
        </w:trPr>
        <w:tc>
          <w:tcPr>
            <w:tcW w:w="28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840" w:type="dxa"/>
            <w:vAlign w:val="bottom"/>
          </w:tcPr>
          <w:p>
            <w:pPr>
              <w:spacing w:after="0"/>
              <w:rPr>
                <w:sz w:val="16"/>
                <w:szCs w:val="16"/>
                <w:color w:val="auto"/>
              </w:rPr>
            </w:pPr>
          </w:p>
        </w:tc>
        <w:tc>
          <w:tcPr>
            <w:tcW w:w="142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980" w:type="dxa"/>
            <w:vAlign w:val="bottom"/>
          </w:tcPr>
          <w:p>
            <w:pPr>
              <w:jc w:val="right"/>
              <w:ind w:right="2"/>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(Loss) Income</w:t>
            </w: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6"/>
                <w:szCs w:val="16"/>
                <w:color w:val="auto"/>
              </w:rPr>
            </w:pPr>
          </w:p>
        </w:tc>
        <w:tc>
          <w:tcPr>
            <w:tcW w:w="114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28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BALANCE—December 31, 2020</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305,880,063</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1,103,305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(148,163)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957,432</w:t>
            </w:r>
          </w:p>
        </w:tc>
        <w:tc>
          <w:tcPr>
            <w:tcW w:w="0" w:type="dxa"/>
            <w:vAlign w:val="bottom"/>
          </w:tcPr>
          <w:p>
            <w:pPr>
              <w:spacing w:after="0"/>
              <w:rPr>
                <w:sz w:val="1"/>
                <w:szCs w:val="1"/>
                <w:color w:val="auto"/>
              </w:rPr>
            </w:pPr>
          </w:p>
        </w:tc>
      </w:tr>
      <w:tr>
        <w:trPr>
          <w:trHeight w:val="240"/>
        </w:trPr>
        <w:tc>
          <w:tcPr>
            <w:tcW w:w="2840" w:type="dxa"/>
            <w:vAlign w:val="bottom"/>
          </w:tcPr>
          <w:p>
            <w:pPr>
              <w:ind w:left="20"/>
              <w:spacing w:after="0"/>
              <w:rPr>
                <w:sz w:val="20"/>
                <w:szCs w:val="20"/>
                <w:color w:val="auto"/>
              </w:rPr>
            </w:pPr>
            <w:r>
              <w:rPr>
                <w:rFonts w:ascii="Arial" w:cs="Arial" w:eastAsia="Arial" w:hAnsi="Arial"/>
                <w:sz w:val="16"/>
                <w:szCs w:val="16"/>
                <w:color w:val="auto"/>
              </w:rPr>
              <w:t>Effect of adoption of ASU 2020-06</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(173,070)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16,802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(156,268)</w:t>
            </w:r>
          </w:p>
        </w:tc>
        <w:tc>
          <w:tcPr>
            <w:tcW w:w="0" w:type="dxa"/>
            <w:vAlign w:val="bottom"/>
          </w:tcPr>
          <w:p>
            <w:pPr>
              <w:spacing w:after="0"/>
              <w:rPr>
                <w:sz w:val="1"/>
                <w:szCs w:val="1"/>
                <w:color w:val="auto"/>
              </w:rPr>
            </w:pPr>
          </w:p>
        </w:tc>
      </w:tr>
      <w:tr>
        <w:trPr>
          <w:trHeight w:val="213"/>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BALANCE—January 1, 2021</w:t>
            </w: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305,880,063</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930,235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(131,361)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801,164</w:t>
            </w:r>
          </w:p>
        </w:tc>
        <w:tc>
          <w:tcPr>
            <w:tcW w:w="0" w:type="dxa"/>
            <w:vAlign w:val="bottom"/>
          </w:tcPr>
          <w:p>
            <w:pPr>
              <w:spacing w:after="0"/>
              <w:rPr>
                <w:sz w:val="1"/>
                <w:szCs w:val="1"/>
                <w:color w:val="auto"/>
              </w:rPr>
            </w:pPr>
          </w:p>
        </w:tc>
      </w:tr>
      <w:tr>
        <w:trPr>
          <w:trHeight w:val="206"/>
        </w:trPr>
        <w:tc>
          <w:tcPr>
            <w:tcW w:w="2840" w:type="dxa"/>
            <w:vAlign w:val="bottom"/>
          </w:tcPr>
          <w:p>
            <w:pPr>
              <w:ind w:left="20"/>
              <w:spacing w:after="0"/>
              <w:rPr>
                <w:sz w:val="20"/>
                <w:szCs w:val="20"/>
                <w:color w:val="auto"/>
              </w:rPr>
            </w:pPr>
            <w:r>
              <w:rPr>
                <w:rFonts w:ascii="Arial" w:cs="Arial" w:eastAsia="Arial" w:hAnsi="Arial"/>
                <w:sz w:val="16"/>
                <w:szCs w:val="16"/>
                <w:color w:val="auto"/>
                <w:w w:val="95"/>
              </w:rPr>
              <w:t>Issuance of common stock upon exercise</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180"/>
              <w:spacing w:after="0"/>
              <w:rPr>
                <w:sz w:val="20"/>
                <w:szCs w:val="20"/>
                <w:color w:val="auto"/>
              </w:rPr>
            </w:pPr>
            <w:r>
              <w:rPr>
                <w:rFonts w:ascii="Arial" w:cs="Arial" w:eastAsia="Arial" w:hAnsi="Arial"/>
                <w:sz w:val="16"/>
                <w:szCs w:val="16"/>
                <w:color w:val="auto"/>
              </w:rPr>
              <w:t>of stock options</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1,320,113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3,290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3,290</w:t>
            </w:r>
          </w:p>
        </w:tc>
        <w:tc>
          <w:tcPr>
            <w:tcW w:w="0" w:type="dxa"/>
            <w:vAlign w:val="bottom"/>
          </w:tcPr>
          <w:p>
            <w:pPr>
              <w:spacing w:after="0"/>
              <w:rPr>
                <w:sz w:val="1"/>
                <w:szCs w:val="1"/>
                <w:color w:val="auto"/>
              </w:rPr>
            </w:pPr>
          </w:p>
        </w:tc>
      </w:tr>
      <w:tr>
        <w:trPr>
          <w:trHeight w:val="253"/>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Vesting of early exercised stock options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33"/>
        </w:trPr>
        <w:tc>
          <w:tcPr>
            <w:tcW w:w="2840" w:type="dxa"/>
            <w:vAlign w:val="bottom"/>
          </w:tcPr>
          <w:p>
            <w:pPr>
              <w:ind w:left="20"/>
              <w:spacing w:after="0"/>
              <w:rPr>
                <w:sz w:val="20"/>
                <w:szCs w:val="20"/>
                <w:color w:val="auto"/>
              </w:rPr>
            </w:pPr>
            <w:r>
              <w:rPr>
                <w:rFonts w:ascii="Arial" w:cs="Arial" w:eastAsia="Arial" w:hAnsi="Arial"/>
                <w:sz w:val="16"/>
                <w:szCs w:val="16"/>
                <w:color w:val="auto"/>
              </w:rPr>
              <w:t>Vesting of restricted stock units</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348,352</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w w:val="97"/>
              </w:rPr>
              <w:t>Issuance of restricted shares of common</w:t>
            </w:r>
          </w:p>
        </w:tc>
        <w:tc>
          <w:tcPr>
            <w:tcW w:w="13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255,822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20,172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20,172</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from acquisition</w:t>
            </w: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84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31,014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31,014</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accumulated other</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w:t>
            </w:r>
          </w:p>
        </w:tc>
        <w:tc>
          <w:tcPr>
            <w:tcW w:w="0" w:type="dxa"/>
            <w:vAlign w:val="bottom"/>
          </w:tcPr>
          <w:p>
            <w:pPr>
              <w:spacing w:after="0"/>
              <w:rPr>
                <w:sz w:val="1"/>
                <w:szCs w:val="1"/>
                <w:color w:val="auto"/>
              </w:rPr>
            </w:pPr>
          </w:p>
        </w:tc>
      </w:tr>
      <w:tr>
        <w:trPr>
          <w:trHeight w:val="237"/>
        </w:trPr>
        <w:tc>
          <w:tcPr>
            <w:tcW w:w="28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(13,068)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(13,068)</w:t>
            </w:r>
          </w:p>
        </w:tc>
        <w:tc>
          <w:tcPr>
            <w:tcW w:w="0" w:type="dxa"/>
            <w:vAlign w:val="bottom"/>
          </w:tcPr>
          <w:p>
            <w:pPr>
              <w:spacing w:after="0"/>
              <w:rPr>
                <w:sz w:val="1"/>
                <w:szCs w:val="1"/>
                <w:color w:val="auto"/>
              </w:rPr>
            </w:pPr>
          </w:p>
        </w:tc>
      </w:tr>
      <w:tr>
        <w:trPr>
          <w:trHeight w:val="268"/>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BALANCE—March 31, 2021</w:t>
            </w:r>
          </w:p>
        </w:tc>
        <w:tc>
          <w:tcPr>
            <w:tcW w:w="13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307,804,350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985,004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(144,429)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841,330</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224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1"/>
              </w:rPr>
              <w:t>Class A and Class B</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2240" w:type="dxa"/>
            <w:vAlign w:val="bottom"/>
            <w:gridSpan w:val="5"/>
            <w:vMerge w:val="continue"/>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4"/>
                <w:szCs w:val="4"/>
                <w:color w:val="auto"/>
              </w:rPr>
            </w:pPr>
          </w:p>
        </w:tc>
        <w:tc>
          <w:tcPr>
            <w:tcW w:w="15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vMerge w:val="restart"/>
          </w:tcPr>
          <w:p>
            <w:pPr>
              <w:jc w:val="center"/>
              <w:ind w:right="20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8"/>
        </w:trPr>
        <w:tc>
          <w:tcPr>
            <w:tcW w:w="2740" w:type="dxa"/>
            <w:vAlign w:val="bottom"/>
          </w:tcPr>
          <w:p>
            <w:pPr>
              <w:spacing w:after="0"/>
              <w:rPr>
                <w:sz w:val="9"/>
                <w:szCs w:val="9"/>
                <w:color w:val="auto"/>
              </w:rPr>
            </w:pPr>
          </w:p>
        </w:tc>
        <w:tc>
          <w:tcPr>
            <w:tcW w:w="224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740" w:type="dxa"/>
            <w:vAlign w:val="bottom"/>
          </w:tcPr>
          <w:p>
            <w:pPr>
              <w:spacing w:after="0"/>
              <w:rPr>
                <w:sz w:val="6"/>
                <w:szCs w:val="6"/>
                <w:color w:val="auto"/>
              </w:rPr>
            </w:pPr>
          </w:p>
        </w:tc>
        <w:tc>
          <w:tcPr>
            <w:tcW w:w="2240" w:type="dxa"/>
            <w:vAlign w:val="bottom"/>
            <w:gridSpan w:val="5"/>
            <w:vMerge w:val="continue"/>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6"/>
                <w:szCs w:val="6"/>
                <w:color w:val="auto"/>
              </w:rPr>
            </w:pPr>
          </w:p>
        </w:tc>
        <w:tc>
          <w:tcPr>
            <w:tcW w:w="15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6"/>
                <w:szCs w:val="6"/>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6"/>
                <w:szCs w:val="6"/>
                <w:color w:val="auto"/>
              </w:rPr>
            </w:pPr>
          </w:p>
        </w:tc>
        <w:tc>
          <w:tcPr>
            <w:tcW w:w="1460" w:type="dxa"/>
            <w:vAlign w:val="bottom"/>
            <w:vMerge w:val="restart"/>
          </w:tcPr>
          <w:p>
            <w:pPr>
              <w:jc w:val="center"/>
              <w:ind w:right="222"/>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5"/>
        </w:trPr>
        <w:tc>
          <w:tcPr>
            <w:tcW w:w="27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7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740" w:type="dxa"/>
            <w:vAlign w:val="bottom"/>
          </w:tcPr>
          <w:p>
            <w:pPr>
              <w:spacing w:after="0"/>
              <w:rPr>
                <w:sz w:val="16"/>
                <w:szCs w:val="16"/>
                <w:color w:val="auto"/>
              </w:rPr>
            </w:pPr>
          </w:p>
        </w:tc>
        <w:tc>
          <w:tcPr>
            <w:tcW w:w="128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(Loss) Income</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280" w:type="dxa"/>
            <w:vAlign w:val="bottom"/>
          </w:tcPr>
          <w:p>
            <w:pPr>
              <w:spacing w:after="0"/>
              <w:rPr>
                <w:sz w:val="16"/>
                <w:szCs w:val="16"/>
                <w:color w:val="auto"/>
              </w:rPr>
            </w:pPr>
          </w:p>
        </w:tc>
        <w:tc>
          <w:tcPr>
            <w:tcW w:w="1460" w:type="dxa"/>
            <w:vAlign w:val="bottom"/>
          </w:tcPr>
          <w:p>
            <w:pPr>
              <w:jc w:val="center"/>
              <w:ind w:right="20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
        </w:trPr>
        <w:tc>
          <w:tcPr>
            <w:tcW w:w="27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BALANCE—December 31, 2019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296,386,950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905,821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782,341</w:t>
            </w:r>
          </w:p>
        </w:tc>
        <w:tc>
          <w:tcPr>
            <w:tcW w:w="0" w:type="dxa"/>
            <w:vAlign w:val="bottom"/>
          </w:tcPr>
          <w:p>
            <w:pPr>
              <w:spacing w:after="0"/>
              <w:rPr>
                <w:sz w:val="1"/>
                <w:szCs w:val="1"/>
                <w:color w:val="auto"/>
              </w:rPr>
            </w:pPr>
          </w:p>
        </w:tc>
      </w:tr>
      <w:tr>
        <w:trPr>
          <w:trHeight w:val="166"/>
        </w:trPr>
        <w:tc>
          <w:tcPr>
            <w:tcW w:w="2740" w:type="dxa"/>
            <w:vAlign w:val="bottom"/>
          </w:tcPr>
          <w:p>
            <w:pPr>
              <w:ind w:left="20"/>
              <w:spacing w:after="0" w:line="166" w:lineRule="exact"/>
              <w:rPr>
                <w:sz w:val="20"/>
                <w:szCs w:val="20"/>
                <w:color w:val="auto"/>
              </w:rPr>
            </w:pPr>
            <w:r>
              <w:rPr>
                <w:rFonts w:ascii="Arial" w:cs="Arial" w:eastAsia="Arial" w:hAnsi="Arial"/>
                <w:sz w:val="16"/>
                <w:szCs w:val="16"/>
                <w:color w:val="auto"/>
              </w:rPr>
              <w:t>Issuance of common stock upon</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2,347,770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2,813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2,813</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Vesting of early exercised stock options</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12,163</w:t>
            </w:r>
          </w:p>
        </w:tc>
        <w:tc>
          <w:tcPr>
            <w:tcW w:w="0" w:type="dxa"/>
            <w:vAlign w:val="bottom"/>
          </w:tcPr>
          <w:p>
            <w:pPr>
              <w:spacing w:after="0"/>
              <w:rPr>
                <w:sz w:val="1"/>
                <w:szCs w:val="1"/>
                <w:color w:val="auto"/>
              </w:rPr>
            </w:pPr>
          </w:p>
        </w:tc>
      </w:tr>
      <w:tr>
        <w:trPr>
          <w:trHeight w:val="169"/>
        </w:trPr>
        <w:tc>
          <w:tcPr>
            <w:tcW w:w="27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Change in accumulated other</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6,479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6,479</w:t>
            </w:r>
          </w:p>
        </w:tc>
        <w:tc>
          <w:tcPr>
            <w:tcW w:w="0" w:type="dxa"/>
            <w:vAlign w:val="bottom"/>
          </w:tcPr>
          <w:p>
            <w:pPr>
              <w:spacing w:after="0"/>
              <w:rPr>
                <w:sz w:val="1"/>
                <w:szCs w:val="1"/>
                <w:color w:val="auto"/>
              </w:rPr>
            </w:pPr>
          </w:p>
        </w:tc>
      </w:tr>
      <w:tr>
        <w:trPr>
          <w:trHeight w:val="237"/>
        </w:trPr>
        <w:tc>
          <w:tcPr>
            <w:tcW w:w="27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BALANCE—March 31, 2020</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298,734,720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921,091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802,895</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440" w:type="dxa"/>
            <w:vAlign w:val="bottom"/>
          </w:tcPr>
          <w:p>
            <w:pPr>
              <w:spacing w:after="0"/>
              <w:rPr>
                <w:sz w:val="14"/>
                <w:szCs w:val="14"/>
                <w:color w:val="auto"/>
              </w:rPr>
            </w:pPr>
          </w:p>
        </w:tc>
        <w:tc>
          <w:tcPr>
            <w:tcW w:w="2760" w:type="dxa"/>
            <w:vAlign w:val="bottom"/>
            <w:gridSpan w:val="5"/>
          </w:tcPr>
          <w:p>
            <w:pPr>
              <w:jc w:val="right"/>
              <w:ind w:right="457"/>
              <w:spacing w:after="0"/>
              <w:rPr>
                <w:sz w:val="20"/>
                <w:szCs w:val="20"/>
                <w:color w:val="auto"/>
              </w:rPr>
            </w:pPr>
            <w:r>
              <w:rPr>
                <w:rFonts w:ascii="Arial" w:cs="Arial" w:eastAsia="Arial" w:hAnsi="Arial"/>
                <w:sz w:val="13"/>
                <w:szCs w:val="13"/>
                <w:b w:val="1"/>
                <w:bCs w:val="1"/>
                <w:color w:val="auto"/>
              </w:rPr>
              <w:t>Three Months Ended March 31,</w:t>
            </w:r>
          </w:p>
        </w:tc>
      </w:tr>
      <w:tr>
        <w:trPr>
          <w:trHeight w:val="29"/>
        </w:trPr>
        <w:tc>
          <w:tcPr>
            <w:tcW w:w="84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7"/>
        </w:trPr>
        <w:tc>
          <w:tcPr>
            <w:tcW w:w="8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77"/>
              <w:spacing w:after="0"/>
              <w:rPr>
                <w:sz w:val="20"/>
                <w:szCs w:val="20"/>
                <w:color w:val="auto"/>
              </w:rPr>
            </w:pPr>
            <w:r>
              <w:rPr>
                <w:rFonts w:ascii="Arial" w:cs="Arial" w:eastAsia="Arial" w:hAnsi="Arial"/>
                <w:sz w:val="13"/>
                <w:szCs w:val="13"/>
                <w:b w:val="1"/>
                <w:bCs w:val="1"/>
                <w:color w:val="auto"/>
              </w:rPr>
              <w:t>2020</w:t>
            </w:r>
          </w:p>
        </w:tc>
      </w:tr>
      <w:tr>
        <w:trPr>
          <w:trHeight w:val="29"/>
        </w:trPr>
        <w:tc>
          <w:tcPr>
            <w:tcW w:w="8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76"/>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FLOWS FROM OPERATING ACTIVITIES: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73"/>
        </w:trPr>
        <w:tc>
          <w:tcPr>
            <w:tcW w:w="8440" w:type="dxa"/>
            <w:vAlign w:val="bottom"/>
          </w:tcPr>
          <w:p>
            <w:pPr>
              <w:ind w:left="220"/>
              <w:spacing w:after="0"/>
              <w:rPr>
                <w:sz w:val="20"/>
                <w:szCs w:val="20"/>
                <w:color w:val="auto"/>
              </w:rPr>
            </w:pPr>
            <w:r>
              <w:rPr>
                <w:rFonts w:ascii="Arial" w:cs="Arial" w:eastAsia="Arial" w:hAnsi="Arial"/>
                <w:sz w:val="13"/>
                <w:szCs w:val="13"/>
                <w:color w:val="auto"/>
              </w:rPr>
              <w:t>Net (loss) income</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9"/>
              </w:rPr>
              <w:t>(13,068)</w:t>
            </w:r>
          </w:p>
        </w:tc>
        <w:tc>
          <w:tcPr>
            <w:tcW w:w="120" w:type="dxa"/>
            <w:vAlign w:val="bottom"/>
          </w:tcPr>
          <w:p>
            <w:pPr>
              <w:spacing w:after="0"/>
              <w:rPr>
                <w:sz w:val="15"/>
                <w:szCs w:val="15"/>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6,479</w:t>
            </w:r>
          </w:p>
        </w:tc>
      </w:tr>
      <w:tr>
        <w:trPr>
          <w:trHeight w:val="29"/>
        </w:trPr>
        <w:tc>
          <w:tcPr>
            <w:tcW w:w="8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Adjustments to reconcile net (loss) income to net cash provided by operating activities: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73"/>
        </w:trPr>
        <w:tc>
          <w:tcPr>
            <w:tcW w:w="8440" w:type="dxa"/>
            <w:vAlign w:val="bottom"/>
          </w:tcPr>
          <w:p>
            <w:pPr>
              <w:ind w:left="480"/>
              <w:spacing w:after="0"/>
              <w:rPr>
                <w:sz w:val="20"/>
                <w:szCs w:val="20"/>
                <w:color w:val="auto"/>
              </w:rPr>
            </w:pPr>
            <w:r>
              <w:rPr>
                <w:rFonts w:ascii="Arial" w:cs="Arial" w:eastAsia="Arial" w:hAnsi="Arial"/>
                <w:sz w:val="13"/>
                <w:szCs w:val="13"/>
                <w:color w:val="auto"/>
              </w:rPr>
              <w:t>Depreciation and amortization</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4,402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3,688</w:t>
            </w:r>
          </w:p>
        </w:tc>
      </w:tr>
      <w:tr>
        <w:trPr>
          <w:trHeight w:val="29"/>
        </w:trPr>
        <w:tc>
          <w:tcPr>
            <w:tcW w:w="8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Amortization of discounts or premiums on marketable securities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4,259</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244</w:t>
            </w:r>
          </w:p>
        </w:tc>
      </w:tr>
      <w:tr>
        <w:trPr>
          <w:trHeight w:val="173"/>
        </w:trPr>
        <w:tc>
          <w:tcPr>
            <w:tcW w:w="8440" w:type="dxa"/>
            <w:vAlign w:val="bottom"/>
          </w:tcPr>
          <w:p>
            <w:pPr>
              <w:ind w:left="480"/>
              <w:spacing w:after="0"/>
              <w:rPr>
                <w:sz w:val="20"/>
                <w:szCs w:val="20"/>
                <w:color w:val="auto"/>
              </w:rPr>
            </w:pPr>
            <w:r>
              <w:rPr>
                <w:rFonts w:ascii="Arial" w:cs="Arial" w:eastAsia="Arial" w:hAnsi="Arial"/>
                <w:sz w:val="13"/>
                <w:szCs w:val="13"/>
                <w:color w:val="auto"/>
              </w:rPr>
              <w:t>Amortization of issuance costs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835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9"/>
        </w:trPr>
        <w:tc>
          <w:tcPr>
            <w:tcW w:w="8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Amortization of deferred contract costs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3,779</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2,185</w:t>
            </w:r>
          </w:p>
        </w:tc>
      </w:tr>
      <w:tr>
        <w:trPr>
          <w:trHeight w:val="173"/>
        </w:trPr>
        <w:tc>
          <w:tcPr>
            <w:tcW w:w="8440" w:type="dxa"/>
            <w:vAlign w:val="bottom"/>
          </w:tcPr>
          <w:p>
            <w:pPr>
              <w:ind w:left="480"/>
              <w:spacing w:after="0"/>
              <w:rPr>
                <w:sz w:val="20"/>
                <w:szCs w:val="20"/>
                <w:color w:val="auto"/>
              </w:rPr>
            </w:pPr>
            <w:r>
              <w:rPr>
                <w:rFonts w:ascii="Arial" w:cs="Arial" w:eastAsia="Arial" w:hAnsi="Arial"/>
                <w:sz w:val="13"/>
                <w:szCs w:val="13"/>
                <w:color w:val="auto"/>
              </w:rPr>
              <w:t>Stock-based compensation, net of amounts capitalized</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28,861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12,060</w:t>
            </w:r>
          </w:p>
        </w:tc>
      </w:tr>
      <w:tr>
        <w:trPr>
          <w:trHeight w:val="29"/>
        </w:trPr>
        <w:tc>
          <w:tcPr>
            <w:tcW w:w="8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Non-cash lease expense</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4,012</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3,226</w:t>
            </w:r>
          </w:p>
        </w:tc>
      </w:tr>
      <w:tr>
        <w:trPr>
          <w:trHeight w:val="173"/>
        </w:trPr>
        <w:tc>
          <w:tcPr>
            <w:tcW w:w="8440" w:type="dxa"/>
            <w:vAlign w:val="bottom"/>
          </w:tcPr>
          <w:p>
            <w:pPr>
              <w:ind w:left="480"/>
              <w:spacing w:after="0"/>
              <w:rPr>
                <w:sz w:val="20"/>
                <w:szCs w:val="20"/>
                <w:color w:val="auto"/>
              </w:rPr>
            </w:pPr>
            <w:r>
              <w:rPr>
                <w:rFonts w:ascii="Arial" w:cs="Arial" w:eastAsia="Arial" w:hAnsi="Arial"/>
                <w:sz w:val="13"/>
                <w:szCs w:val="13"/>
                <w:color w:val="auto"/>
              </w:rPr>
              <w:t>Allowance for credit losses on accounts receivable</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1,073</w:t>
            </w:r>
          </w:p>
        </w:tc>
      </w:tr>
      <w:tr>
        <w:trPr>
          <w:trHeight w:val="29"/>
        </w:trPr>
        <w:tc>
          <w:tcPr>
            <w:tcW w:w="8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Loss on disposal of property and equipment</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73"/>
        </w:trPr>
        <w:tc>
          <w:tcPr>
            <w:tcW w:w="8440" w:type="dxa"/>
            <w:vAlign w:val="bottom"/>
          </w:tcPr>
          <w:p>
            <w:pPr>
              <w:ind w:left="480"/>
              <w:spacing w:after="0"/>
              <w:rPr>
                <w:sz w:val="20"/>
                <w:szCs w:val="20"/>
                <w:color w:val="auto"/>
              </w:rPr>
            </w:pPr>
            <w:r>
              <w:rPr>
                <w:rFonts w:ascii="Arial" w:cs="Arial" w:eastAsia="Arial" w:hAnsi="Arial"/>
                <w:sz w:val="13"/>
                <w:szCs w:val="13"/>
                <w:color w:val="auto"/>
              </w:rPr>
              <w:t>Changes in operating assets and liabilities:</w:t>
            </w: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9"/>
        </w:trPr>
        <w:tc>
          <w:tcPr>
            <w:tcW w:w="8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Accounts receivable, net</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9,223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(7,116)</w:t>
            </w:r>
          </w:p>
        </w:tc>
      </w:tr>
      <w:tr>
        <w:trPr>
          <w:trHeight w:val="173"/>
        </w:trPr>
        <w:tc>
          <w:tcPr>
            <w:tcW w:w="8440" w:type="dxa"/>
            <w:vAlign w:val="bottom"/>
          </w:tcPr>
          <w:p>
            <w:pPr>
              <w:ind w:left="680"/>
              <w:spacing w:after="0"/>
              <w:rPr>
                <w:sz w:val="20"/>
                <w:szCs w:val="20"/>
                <w:color w:val="auto"/>
              </w:rPr>
            </w:pPr>
            <w:r>
              <w:rPr>
                <w:rFonts w:ascii="Arial" w:cs="Arial" w:eastAsia="Arial" w:hAnsi="Arial"/>
                <w:sz w:val="13"/>
                <w:szCs w:val="13"/>
                <w:color w:val="auto"/>
              </w:rPr>
              <w:t>Deferred contract costs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(6,711)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(4,619)</w:t>
            </w:r>
          </w:p>
        </w:tc>
      </w:tr>
      <w:tr>
        <w:trPr>
          <w:trHeight w:val="29"/>
        </w:trPr>
        <w:tc>
          <w:tcPr>
            <w:tcW w:w="8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Prepaid expenses and other current assets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(5,998)</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(1,404)</w:t>
            </w:r>
          </w:p>
        </w:tc>
      </w:tr>
      <w:tr>
        <w:trPr>
          <w:trHeight w:val="173"/>
        </w:trPr>
        <w:tc>
          <w:tcPr>
            <w:tcW w:w="8440" w:type="dxa"/>
            <w:vAlign w:val="bottom"/>
          </w:tcPr>
          <w:p>
            <w:pPr>
              <w:ind w:left="680"/>
              <w:spacing w:after="0"/>
              <w:rPr>
                <w:sz w:val="20"/>
                <w:szCs w:val="20"/>
                <w:color w:val="auto"/>
              </w:rPr>
            </w:pPr>
            <w:r>
              <w:rPr>
                <w:rFonts w:ascii="Arial" w:cs="Arial" w:eastAsia="Arial" w:hAnsi="Arial"/>
                <w:sz w:val="13"/>
                <w:szCs w:val="13"/>
                <w:color w:val="auto"/>
              </w:rPr>
              <w:t>Other assets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572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919</w:t>
            </w:r>
          </w:p>
        </w:tc>
      </w:tr>
      <w:tr>
        <w:trPr>
          <w:trHeight w:val="29"/>
        </w:trPr>
        <w:tc>
          <w:tcPr>
            <w:tcW w:w="8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Accounts payable</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(9,226)</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(1,391)</w:t>
            </w:r>
          </w:p>
        </w:tc>
      </w:tr>
      <w:tr>
        <w:trPr>
          <w:trHeight w:val="173"/>
        </w:trPr>
        <w:tc>
          <w:tcPr>
            <w:tcW w:w="8440" w:type="dxa"/>
            <w:vAlign w:val="bottom"/>
          </w:tcPr>
          <w:p>
            <w:pPr>
              <w:ind w:left="680"/>
              <w:spacing w:after="0"/>
              <w:rPr>
                <w:sz w:val="20"/>
                <w:szCs w:val="20"/>
                <w:color w:val="auto"/>
              </w:rPr>
            </w:pPr>
            <w:r>
              <w:rPr>
                <w:rFonts w:ascii="Arial" w:cs="Arial" w:eastAsia="Arial" w:hAnsi="Arial"/>
                <w:sz w:val="13"/>
                <w:szCs w:val="13"/>
                <w:color w:val="auto"/>
              </w:rPr>
              <w:t>Accrued expenses and other liabilities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9,682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2,025</w:t>
            </w:r>
          </w:p>
        </w:tc>
      </w:tr>
      <w:tr>
        <w:trPr>
          <w:trHeight w:val="29"/>
        </w:trPr>
        <w:tc>
          <w:tcPr>
            <w:tcW w:w="8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84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Deferred revenue</w:t>
            </w: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21,000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6,884</w:t>
            </w:r>
          </w:p>
        </w:tc>
      </w:tr>
      <w:tr>
        <w:trPr>
          <w:trHeight w:val="167"/>
        </w:trPr>
        <w:tc>
          <w:tcPr>
            <w:tcW w:w="8440" w:type="dxa"/>
            <w:vAlign w:val="bottom"/>
          </w:tcPr>
          <w:p>
            <w:pPr>
              <w:ind w:left="1000"/>
              <w:spacing w:after="0"/>
              <w:rPr>
                <w:sz w:val="20"/>
                <w:szCs w:val="20"/>
                <w:color w:val="auto"/>
              </w:rPr>
            </w:pPr>
            <w:r>
              <w:rPr>
                <w:rFonts w:ascii="Arial" w:cs="Arial" w:eastAsia="Arial" w:hAnsi="Arial"/>
                <w:sz w:val="13"/>
                <w:szCs w:val="13"/>
                <w:color w:val="auto"/>
              </w:rPr>
              <w:t>Net cash provided by operating activities</w:t>
            </w:r>
          </w:p>
        </w:tc>
        <w:tc>
          <w:tcPr>
            <w:tcW w:w="8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51,650</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24,255</w:t>
            </w:r>
          </w:p>
        </w:tc>
      </w:tr>
      <w:tr>
        <w:trPr>
          <w:trHeight w:val="68"/>
        </w:trPr>
        <w:tc>
          <w:tcPr>
            <w:tcW w:w="8440" w:type="dxa"/>
            <w:vAlign w:val="bottom"/>
            <w:tcBorders>
              <w:bottom w:val="single" w:sz="8" w:color="CCEEFF"/>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173"/>
        </w:trPr>
        <w:tc>
          <w:tcPr>
            <w:tcW w:w="8440" w:type="dxa"/>
            <w:vAlign w:val="bottom"/>
            <w:tcBorders>
              <w:top w:val="single" w:sz="8" w:color="CCEEFF"/>
            </w:tcBorders>
          </w:tcPr>
          <w:p>
            <w:pPr>
              <w:ind w:left="20"/>
              <w:spacing w:after="0"/>
              <w:rPr>
                <w:sz w:val="20"/>
                <w:szCs w:val="20"/>
                <w:color w:val="auto"/>
              </w:rPr>
            </w:pPr>
            <w:r>
              <w:rPr>
                <w:rFonts w:ascii="Arial" w:cs="Arial" w:eastAsia="Arial" w:hAnsi="Arial"/>
                <w:sz w:val="13"/>
                <w:szCs w:val="13"/>
                <w:color w:val="auto"/>
              </w:rPr>
              <w:t>CASH FLOWS FROM INVESTING ACTIVITIES:</w:t>
            </w:r>
          </w:p>
        </w:tc>
        <w:tc>
          <w:tcPr>
            <w:tcW w:w="80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30"/>
        </w:trPr>
        <w:tc>
          <w:tcPr>
            <w:tcW w:w="8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Purchases of marketable securities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6"/>
              </w:rPr>
              <w:t>(150,331)</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(427,482)</w:t>
            </w:r>
          </w:p>
        </w:tc>
      </w:tr>
      <w:tr>
        <w:trPr>
          <w:trHeight w:val="173"/>
        </w:trPr>
        <w:tc>
          <w:tcPr>
            <w:tcW w:w="8440" w:type="dxa"/>
            <w:vAlign w:val="bottom"/>
          </w:tcPr>
          <w:p>
            <w:pPr>
              <w:ind w:left="220"/>
              <w:spacing w:after="0"/>
              <w:rPr>
                <w:sz w:val="20"/>
                <w:szCs w:val="20"/>
                <w:color w:val="auto"/>
              </w:rPr>
            </w:pPr>
            <w:r>
              <w:rPr>
                <w:rFonts w:ascii="Arial" w:cs="Arial" w:eastAsia="Arial" w:hAnsi="Arial"/>
                <w:sz w:val="13"/>
                <w:szCs w:val="13"/>
                <w:color w:val="auto"/>
              </w:rPr>
              <w:t>Maturities of marketable securities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7"/>
              </w:rPr>
              <w:t>253,234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2,620</w:t>
            </w:r>
          </w:p>
        </w:tc>
      </w:tr>
      <w:tr>
        <w:trPr>
          <w:trHeight w:val="30"/>
        </w:trPr>
        <w:tc>
          <w:tcPr>
            <w:tcW w:w="8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Proceeds from sale of marketable securities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6,497</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8440" w:type="dxa"/>
            <w:vAlign w:val="bottom"/>
          </w:tcPr>
          <w:p>
            <w:pPr>
              <w:ind w:left="220"/>
              <w:spacing w:after="0"/>
              <w:rPr>
                <w:sz w:val="20"/>
                <w:szCs w:val="20"/>
                <w:color w:val="auto"/>
              </w:rPr>
            </w:pPr>
            <w:r>
              <w:rPr>
                <w:rFonts w:ascii="Arial" w:cs="Arial" w:eastAsia="Arial" w:hAnsi="Arial"/>
                <w:sz w:val="13"/>
                <w:szCs w:val="13"/>
                <w:color w:val="auto"/>
              </w:rPr>
              <w:t>Purchases of property and equipment</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(998)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(1,526)</w:t>
            </w:r>
          </w:p>
        </w:tc>
      </w:tr>
      <w:tr>
        <w:trPr>
          <w:trHeight w:val="29"/>
        </w:trPr>
        <w:tc>
          <w:tcPr>
            <w:tcW w:w="8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Capitalized software development costs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(6,183)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(3,417)</w:t>
            </w:r>
          </w:p>
        </w:tc>
      </w:tr>
      <w:tr>
        <w:trPr>
          <w:trHeight w:val="173"/>
        </w:trPr>
        <w:tc>
          <w:tcPr>
            <w:tcW w:w="8440" w:type="dxa"/>
            <w:vAlign w:val="bottom"/>
          </w:tcPr>
          <w:p>
            <w:pPr>
              <w:ind w:left="220"/>
              <w:spacing w:after="0"/>
              <w:rPr>
                <w:sz w:val="20"/>
                <w:szCs w:val="20"/>
                <w:color w:val="auto"/>
              </w:rPr>
            </w:pPr>
            <w:r>
              <w:rPr>
                <w:rFonts w:ascii="Arial" w:cs="Arial" w:eastAsia="Arial" w:hAnsi="Arial"/>
                <w:sz w:val="13"/>
                <w:szCs w:val="13"/>
                <w:color w:val="auto"/>
              </w:rPr>
              <w:t>Cash paid for acquisition of businesses; net of cash acquired</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9"/>
              </w:rPr>
              <w:t>(11,509)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
        </w:trPr>
        <w:tc>
          <w:tcPr>
            <w:tcW w:w="8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84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3"/>
                <w:szCs w:val="13"/>
                <w:color w:val="auto"/>
              </w:rPr>
              <w:t>Net cash provided by (used in) investing activities</w:t>
            </w: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90,710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(429,805)</w:t>
            </w:r>
          </w:p>
        </w:tc>
      </w:tr>
      <w:tr>
        <w:trPr>
          <w:trHeight w:val="34"/>
        </w:trPr>
        <w:tc>
          <w:tcPr>
            <w:tcW w:w="844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FLOWS FROM FINANCING ACTIVITIES: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73"/>
        </w:trPr>
        <w:tc>
          <w:tcPr>
            <w:tcW w:w="8440" w:type="dxa"/>
            <w:vAlign w:val="bottom"/>
          </w:tcPr>
          <w:p>
            <w:pPr>
              <w:ind w:left="220"/>
              <w:spacing w:after="0"/>
              <w:rPr>
                <w:sz w:val="20"/>
                <w:szCs w:val="20"/>
                <w:color w:val="auto"/>
              </w:rPr>
            </w:pPr>
            <w:r>
              <w:rPr>
                <w:rFonts w:ascii="Arial" w:cs="Arial" w:eastAsia="Arial" w:hAnsi="Arial"/>
                <w:sz w:val="13"/>
                <w:szCs w:val="13"/>
                <w:color w:val="auto"/>
              </w:rPr>
              <w:t>Proceeds from exercise of stock options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3,275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2,813</w:t>
            </w:r>
          </w:p>
        </w:tc>
      </w:tr>
      <w:tr>
        <w:trPr>
          <w:trHeight w:val="30"/>
        </w:trPr>
        <w:tc>
          <w:tcPr>
            <w:tcW w:w="8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Proceeds from initial public offering, net of underwriting discounts and commissions and other offering cost</w:t>
            </w:r>
          </w:p>
        </w:tc>
        <w:tc>
          <w:tcPr>
            <w:tcW w:w="8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(153)</w:t>
            </w:r>
          </w:p>
        </w:tc>
      </w:tr>
      <w:tr>
        <w:trPr>
          <w:trHeight w:val="173"/>
        </w:trPr>
        <w:tc>
          <w:tcPr>
            <w:tcW w:w="8440" w:type="dxa"/>
            <w:vAlign w:val="bottom"/>
          </w:tcPr>
          <w:p>
            <w:pPr>
              <w:ind w:left="220"/>
              <w:spacing w:after="0"/>
              <w:rPr>
                <w:sz w:val="20"/>
                <w:szCs w:val="20"/>
                <w:color w:val="auto"/>
              </w:rPr>
            </w:pPr>
            <w:r>
              <w:rPr>
                <w:rFonts w:ascii="Arial" w:cs="Arial" w:eastAsia="Arial" w:hAnsi="Arial"/>
                <w:sz w:val="13"/>
                <w:szCs w:val="13"/>
                <w:color w:val="auto"/>
              </w:rPr>
              <w:t>Employee payroll taxes paid related to net share settlement under the employee stock purchase plan</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(245)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
        </w:trPr>
        <w:tc>
          <w:tcPr>
            <w:tcW w:w="8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84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3"/>
                <w:szCs w:val="13"/>
                <w:color w:val="auto"/>
              </w:rPr>
              <w:t>Net cash provided by financing activities</w:t>
            </w: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3,030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2,660</w:t>
            </w:r>
          </w:p>
        </w:tc>
      </w:tr>
      <w:tr>
        <w:trPr>
          <w:trHeight w:val="34"/>
        </w:trPr>
        <w:tc>
          <w:tcPr>
            <w:tcW w:w="844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(782)</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(141)</w:t>
            </w:r>
          </w:p>
        </w:tc>
      </w:tr>
      <w:tr>
        <w:trPr>
          <w:trHeight w:val="54"/>
        </w:trPr>
        <w:tc>
          <w:tcPr>
            <w:tcW w:w="8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INCREASE (DECREASE) IN CASH, CASH EQUIVALENTS AND RESTRICTED CASH</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7"/>
              </w:rPr>
              <w:t>144,608</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(403,031)</w:t>
            </w:r>
          </w:p>
        </w:tc>
      </w:tr>
      <w:tr>
        <w:trPr>
          <w:trHeight w:val="173"/>
        </w:trPr>
        <w:tc>
          <w:tcPr>
            <w:tcW w:w="844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CASH—Beginning of period</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7"/>
              </w:rPr>
              <w:t>228,711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601,189</w:t>
            </w:r>
          </w:p>
        </w:tc>
      </w:tr>
      <w:tr>
        <w:trPr>
          <w:trHeight w:val="30"/>
        </w:trPr>
        <w:tc>
          <w:tcPr>
            <w:tcW w:w="8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CASH—End of period</w:t>
            </w:r>
          </w:p>
        </w:tc>
        <w:tc>
          <w:tcPr>
            <w:tcW w:w="800" w:type="dxa"/>
            <w:vAlign w:val="bottom"/>
            <w:tcBorders>
              <w:bottom w:val="single" w:sz="8" w:color="auto"/>
            </w:tcBorders>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373,319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198,158</w:t>
            </w:r>
          </w:p>
        </w:tc>
      </w:tr>
      <w:tr>
        <w:trPr>
          <w:trHeight w:val="21"/>
        </w:trPr>
        <w:tc>
          <w:tcPr>
            <w:tcW w:w="84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SUPPLEMENTAL DISCLOSURES OF CASH FLOW INFORMATION:</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73"/>
        </w:trPr>
        <w:tc>
          <w:tcPr>
            <w:tcW w:w="8440" w:type="dxa"/>
            <w:vAlign w:val="bottom"/>
          </w:tcPr>
          <w:p>
            <w:pPr>
              <w:ind w:left="220"/>
              <w:spacing w:after="0"/>
              <w:rPr>
                <w:sz w:val="20"/>
                <w:szCs w:val="20"/>
                <w:color w:val="auto"/>
              </w:rPr>
            </w:pPr>
            <w:r>
              <w:rPr>
                <w:rFonts w:ascii="Arial" w:cs="Arial" w:eastAsia="Arial" w:hAnsi="Arial"/>
                <w:sz w:val="13"/>
                <w:szCs w:val="13"/>
                <w:color w:val="auto"/>
              </w:rPr>
              <w:t>Cash paid for income taxes</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327</w:t>
            </w:r>
          </w:p>
        </w:tc>
        <w:tc>
          <w:tcPr>
            <w:tcW w:w="120" w:type="dxa"/>
            <w:vAlign w:val="bottom"/>
          </w:tcPr>
          <w:p>
            <w:pPr>
              <w:spacing w:after="0"/>
              <w:rPr>
                <w:sz w:val="15"/>
                <w:szCs w:val="15"/>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64"/>
        </w:trPr>
        <w:tc>
          <w:tcPr>
            <w:tcW w:w="8440" w:type="dxa"/>
            <w:vAlign w:val="bottom"/>
            <w:tcBorders>
              <w:bottom w:val="single" w:sz="8" w:color="CCEEFF"/>
            </w:tcBorders>
          </w:tcPr>
          <w:p>
            <w:pPr>
              <w:spacing w:after="0"/>
              <w:rPr>
                <w:sz w:val="5"/>
                <w:szCs w:val="5"/>
                <w:color w:val="auto"/>
              </w:rPr>
            </w:pPr>
          </w:p>
        </w:tc>
        <w:tc>
          <w:tcPr>
            <w:tcW w:w="800" w:type="dxa"/>
            <w:vAlign w:val="bottom"/>
            <w:tcBorders>
              <w:bottom w:val="single" w:sz="8" w:color="CCEEFF"/>
            </w:tcBorders>
          </w:tcPr>
          <w:p>
            <w:pPr>
              <w:spacing w:after="0"/>
              <w:rPr>
                <w:sz w:val="5"/>
                <w:szCs w:val="5"/>
                <w:color w:val="auto"/>
              </w:rPr>
            </w:pPr>
          </w:p>
        </w:tc>
        <w:tc>
          <w:tcPr>
            <w:tcW w:w="5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r>
      <w:tr>
        <w:trPr>
          <w:trHeight w:val="173"/>
        </w:trPr>
        <w:tc>
          <w:tcPr>
            <w:tcW w:w="8440" w:type="dxa"/>
            <w:vAlign w:val="bottom"/>
          </w:tcPr>
          <w:p>
            <w:pPr>
              <w:ind w:left="20"/>
              <w:spacing w:after="0"/>
              <w:rPr>
                <w:sz w:val="20"/>
                <w:szCs w:val="20"/>
                <w:color w:val="auto"/>
              </w:rPr>
            </w:pPr>
            <w:r>
              <w:rPr>
                <w:rFonts w:ascii="Arial" w:cs="Arial" w:eastAsia="Arial" w:hAnsi="Arial"/>
                <w:sz w:val="13"/>
                <w:szCs w:val="13"/>
                <w:color w:val="auto"/>
              </w:rPr>
              <w:t>SUPPLEMENTAL DISCLOSURE OF NON-CASH INVESTING AND FINANCING ACTIVITIES:</w:t>
            </w: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0"/>
        </w:trPr>
        <w:tc>
          <w:tcPr>
            <w:tcW w:w="8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Accrued property and equipment purchases</w:t>
            </w:r>
          </w:p>
        </w:tc>
        <w:tc>
          <w:tcPr>
            <w:tcW w:w="80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610</w:t>
            </w:r>
          </w:p>
        </w:tc>
      </w:tr>
      <w:tr>
        <w:trPr>
          <w:trHeight w:val="173"/>
        </w:trPr>
        <w:tc>
          <w:tcPr>
            <w:tcW w:w="8440" w:type="dxa"/>
            <w:vAlign w:val="bottom"/>
          </w:tcPr>
          <w:p>
            <w:pPr>
              <w:ind w:left="220"/>
              <w:spacing w:after="0"/>
              <w:rPr>
                <w:sz w:val="20"/>
                <w:szCs w:val="20"/>
                <w:color w:val="auto"/>
              </w:rPr>
            </w:pPr>
            <w:r>
              <w:rPr>
                <w:rFonts w:ascii="Arial" w:cs="Arial" w:eastAsia="Arial" w:hAnsi="Arial"/>
                <w:sz w:val="13"/>
                <w:szCs w:val="13"/>
                <w:color w:val="auto"/>
              </w:rPr>
              <w:t>Stock-based compensation included in capitalized software development costs</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2,153</w:t>
            </w:r>
          </w:p>
        </w:tc>
        <w:tc>
          <w:tcPr>
            <w:tcW w:w="120" w:type="dxa"/>
            <w:vAlign w:val="bottom"/>
          </w:tcPr>
          <w:p>
            <w:pPr>
              <w:spacing w:after="0"/>
              <w:rPr>
                <w:sz w:val="15"/>
                <w:szCs w:val="15"/>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103</w:t>
            </w:r>
          </w:p>
        </w:tc>
      </w:tr>
      <w:tr>
        <w:trPr>
          <w:trHeight w:val="30"/>
        </w:trPr>
        <w:tc>
          <w:tcPr>
            <w:tcW w:w="8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Vesting of early exercised options</w:t>
            </w:r>
          </w:p>
        </w:tc>
        <w:tc>
          <w:tcPr>
            <w:tcW w:w="80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294</w:t>
            </w:r>
          </w:p>
        </w:tc>
      </w:tr>
      <w:tr>
        <w:trPr>
          <w:trHeight w:val="173"/>
        </w:trPr>
        <w:tc>
          <w:tcPr>
            <w:tcW w:w="8440" w:type="dxa"/>
            <w:vAlign w:val="bottom"/>
          </w:tcPr>
          <w:p>
            <w:pPr>
              <w:ind w:left="220"/>
              <w:spacing w:after="0"/>
              <w:rPr>
                <w:sz w:val="20"/>
                <w:szCs w:val="20"/>
                <w:color w:val="auto"/>
              </w:rPr>
            </w:pPr>
            <w:r>
              <w:rPr>
                <w:rFonts w:ascii="Arial" w:cs="Arial" w:eastAsia="Arial" w:hAnsi="Arial"/>
                <w:sz w:val="13"/>
                <w:szCs w:val="13"/>
                <w:color w:val="auto"/>
              </w:rPr>
              <w:t>Costs related to initial public offering included in accounts payable and accrued liabilities</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268</w:t>
            </w:r>
          </w:p>
        </w:tc>
      </w:tr>
      <w:tr>
        <w:trPr>
          <w:trHeight w:val="30"/>
        </w:trPr>
        <w:tc>
          <w:tcPr>
            <w:tcW w:w="8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2"/>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Issuance of restricted shares of common stock for the acquisition of businesses</w:t>
            </w:r>
          </w:p>
        </w:tc>
        <w:tc>
          <w:tcPr>
            <w:tcW w:w="80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20,172</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8440" w:type="dxa"/>
            <w:vAlign w:val="bottom"/>
          </w:tcPr>
          <w:p>
            <w:pPr>
              <w:ind w:left="220"/>
              <w:spacing w:after="0"/>
              <w:rPr>
                <w:sz w:val="20"/>
                <w:szCs w:val="20"/>
                <w:color w:val="auto"/>
              </w:rPr>
            </w:pPr>
            <w:r>
              <w:rPr>
                <w:rFonts w:ascii="Arial" w:cs="Arial" w:eastAsia="Arial" w:hAnsi="Arial"/>
                <w:sz w:val="13"/>
                <w:szCs w:val="13"/>
                <w:color w:val="auto"/>
              </w:rPr>
              <w:t>Acquisition holdback</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1,195</w:t>
            </w:r>
          </w:p>
        </w:tc>
        <w:tc>
          <w:tcPr>
            <w:tcW w:w="120" w:type="dxa"/>
            <w:vAlign w:val="bottom"/>
          </w:tcPr>
          <w:p>
            <w:pPr>
              <w:spacing w:after="0"/>
              <w:rPr>
                <w:sz w:val="15"/>
                <w:szCs w:val="15"/>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64"/>
        </w:trPr>
        <w:tc>
          <w:tcPr>
            <w:tcW w:w="8440" w:type="dxa"/>
            <w:vAlign w:val="bottom"/>
            <w:tcBorders>
              <w:bottom w:val="single" w:sz="8" w:color="CCEEFF"/>
            </w:tcBorders>
          </w:tcPr>
          <w:p>
            <w:pPr>
              <w:spacing w:after="0"/>
              <w:rPr>
                <w:sz w:val="5"/>
                <w:szCs w:val="5"/>
                <w:color w:val="auto"/>
              </w:rPr>
            </w:pPr>
          </w:p>
        </w:tc>
        <w:tc>
          <w:tcPr>
            <w:tcW w:w="800" w:type="dxa"/>
            <w:vAlign w:val="bottom"/>
            <w:tcBorders>
              <w:bottom w:val="single" w:sz="8" w:color="CCEEFF"/>
            </w:tcBorders>
          </w:tcPr>
          <w:p>
            <w:pPr>
              <w:spacing w:after="0"/>
              <w:rPr>
                <w:sz w:val="5"/>
                <w:szCs w:val="5"/>
                <w:color w:val="auto"/>
              </w:rPr>
            </w:pPr>
          </w:p>
        </w:tc>
        <w:tc>
          <w:tcPr>
            <w:tcW w:w="5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r>
      <w:tr>
        <w:trPr>
          <w:trHeight w:val="161"/>
        </w:trPr>
        <w:tc>
          <w:tcPr>
            <w:tcW w:w="8440" w:type="dxa"/>
            <w:vAlign w:val="bottom"/>
          </w:tcPr>
          <w:p>
            <w:pPr>
              <w:ind w:left="20"/>
              <w:spacing w:after="0"/>
              <w:rPr>
                <w:sz w:val="20"/>
                <w:szCs w:val="20"/>
                <w:color w:val="auto"/>
              </w:rPr>
            </w:pPr>
            <w:r>
              <w:rPr>
                <w:rFonts w:ascii="Arial" w:cs="Arial" w:eastAsia="Arial" w:hAnsi="Arial"/>
                <w:sz w:val="13"/>
                <w:szCs w:val="13"/>
                <w:color w:val="auto"/>
                <w:w w:val="95"/>
              </w:rPr>
              <w:t>RECONCILIATION OF CASH, CASH EQUIVALENTS AND RESTRICTED CASH WITHIN THE CONDENSED CONSOLIDATED BALANCE SHEETS TO</w:t>
            </w: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0"/>
        </w:trPr>
        <w:tc>
          <w:tcPr>
            <w:tcW w:w="8440" w:type="dxa"/>
            <w:vAlign w:val="bottom"/>
          </w:tcPr>
          <w:p>
            <w:pPr>
              <w:ind w:left="100"/>
              <w:spacing w:after="0"/>
              <w:rPr>
                <w:sz w:val="20"/>
                <w:szCs w:val="20"/>
                <w:color w:val="auto"/>
              </w:rPr>
            </w:pPr>
            <w:r>
              <w:rPr>
                <w:rFonts w:ascii="Arial" w:cs="Arial" w:eastAsia="Arial" w:hAnsi="Arial"/>
                <w:sz w:val="13"/>
                <w:szCs w:val="13"/>
                <w:color w:val="auto"/>
              </w:rPr>
              <w:t>THE AMOUNTS SHOWN IN THE STATEMENTS OF CASH FLOWS ABOVE:</w:t>
            </w: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0"/>
        </w:trPr>
        <w:tc>
          <w:tcPr>
            <w:tcW w:w="8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Cash and cash equivalents</w:t>
            </w:r>
          </w:p>
        </w:tc>
        <w:tc>
          <w:tcPr>
            <w:tcW w:w="80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7"/>
              </w:rPr>
              <w:t>369,706</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194,350</w:t>
            </w:r>
          </w:p>
        </w:tc>
      </w:tr>
      <w:tr>
        <w:trPr>
          <w:trHeight w:val="173"/>
        </w:trPr>
        <w:tc>
          <w:tcPr>
            <w:tcW w:w="8440" w:type="dxa"/>
            <w:vAlign w:val="bottom"/>
          </w:tcPr>
          <w:p>
            <w:pPr>
              <w:ind w:left="260"/>
              <w:spacing w:after="0"/>
              <w:rPr>
                <w:sz w:val="20"/>
                <w:szCs w:val="20"/>
                <w:color w:val="auto"/>
              </w:rPr>
            </w:pPr>
            <w:r>
              <w:rPr>
                <w:rFonts w:ascii="Arial" w:cs="Arial" w:eastAsia="Arial" w:hAnsi="Arial"/>
                <w:sz w:val="13"/>
                <w:szCs w:val="13"/>
                <w:color w:val="auto"/>
              </w:rPr>
              <w:t>Restricted cash – Including amounts in prepaid expense and other current assets and other assets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3,613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3,808</w:t>
            </w:r>
          </w:p>
        </w:tc>
      </w:tr>
      <w:tr>
        <w:trPr>
          <w:trHeight w:val="30"/>
        </w:trPr>
        <w:tc>
          <w:tcPr>
            <w:tcW w:w="8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0"/>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Total cash, cash equivalents and restricted cash</w:t>
            </w:r>
          </w:p>
        </w:tc>
        <w:tc>
          <w:tcPr>
            <w:tcW w:w="800" w:type="dxa"/>
            <w:vAlign w:val="bottom"/>
            <w:tcBorders>
              <w:bottom w:val="single" w:sz="8" w:color="auto"/>
            </w:tcBorders>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373,319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198,158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00"/>
          </w:cols>
          <w:pgMar w:left="320" w:top="891"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Datadog, Inc. (“Datadog” or the “Company”) was incorporated in the State of Delaware on June 4, 2010. The Company is the monitoring and analytics platform for developers, IT operations teams and business users in the cloud age. The Company’s SaaS platform integrates and automates infrastructure monitoring, application performance monitoring, log management, and security monitoring to provide unified, real-time observability of its customers’ entire technology stack. The Company is headquartered in New York City and has various other global office locations.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unaudited condensed consolidated financial statements include the accounts of Datadog, Inc. and its wholly-owned subsidiaries, and have been prepared in accordance with generally accepted accounting principles in the United States (“GAAP”) and following the requirements of the Securities and Exchange Commission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2021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2020, as filed with the SEC on March 1, 2021 (the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accompanying condensed consolidated financial statements have been prepared in accordance with GAAP.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condensed consolidated financial statements include the accounts of Datadog, Inc. and its wholly owned subsidiaries. All intercompany transactions and balances have been eliminated in consolidation.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2"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amounts reported in the condensed consolidated financial statements and accompanying notes. Such estimates include the fair value of marketable securities, the allowance for credit losses, the fair value of acquired assets and assumed liabilities from business combinations, useful lives of property, equipment, software, and finite lived intangibles, stock-based compensation, valuation of long-lived assets and their recoverability, including goodwill, the incremental borrowing rate for operating leases, estimated expected period of benefit for deferred contract costs, fair value of the liability component of the convertible debt, realization of deferred tax assets and uncertain tax positions, revenue recognition and the allocation of overhead costs between cost of revenue and 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225" w:lineRule="exact"/>
        <w:rPr>
          <w:sz w:val="20"/>
          <w:szCs w:val="20"/>
          <w:color w:val="auto"/>
        </w:rPr>
      </w:pPr>
    </w:p>
    <w:p>
      <w:pPr>
        <w:jc w:val="both"/>
        <w:ind w:firstLine="486"/>
        <w:spacing w:after="0" w:line="243"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Accounting for Convertible Instruments and Contracts in an Entity’s Own Equity</w:t>
      </w:r>
      <w:r>
        <w:rPr>
          <w:rFonts w:ascii="Arial" w:cs="Arial" w:eastAsia="Arial" w:hAnsi="Arial"/>
          <w:sz w:val="18"/>
          <w:szCs w:val="18"/>
          <w:color w:val="auto"/>
        </w:rPr>
        <w:t xml:space="preserve"> (“ASU No. 2020-06”), which simplifies the accounting for certain financial instruments with characteristics of liabilities and equity, including convertible instruments and contracts in an entity's own equity. Among other changes, ASU No. 2020-06 removes from GAAP the liability and equity separation model for convertible instruments with a</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jc w:val="both"/>
        <w:spacing w:after="0" w:line="252" w:lineRule="auto"/>
        <w:rPr>
          <w:sz w:val="20"/>
          <w:szCs w:val="20"/>
          <w:color w:val="auto"/>
        </w:rPr>
      </w:pPr>
      <w:r>
        <w:rPr>
          <w:rFonts w:ascii="Arial" w:cs="Arial" w:eastAsia="Arial" w:hAnsi="Arial"/>
          <w:sz w:val="17"/>
          <w:szCs w:val="17"/>
          <w:color w:val="auto"/>
        </w:rPr>
        <w:t>cash conversion feature, and as a result, after adoption, entities will no longer separately present in equity an embedded conversion feature for such convertible debt instruments. Similarly, the debt discount, that is equal to the carrying value of the embedded conversion feature upon issuance, will no longer be amortized into income as interest expense over the life of the instrument. Instead, entities will account for a convertible debt instrument wholly as debt unless (1) a convertible instrument contains features that require bifurcation as a derivative under ASC Topic 815, Derivatives and Hedging, or (2) a convertible debt instrument was issued at a substantial premium. Among other potential impacts, this change is expected to reduce reported interest expense, increase reported net income, and result in a reclassification of certain conversion feature balance sheet amounts from stockholders’ equity to liabilities. Additionally, ASU No. 2020-06 requires the application of the if-converted method to calculate the impact of convertible instruments on diluted earnings per share and include the effect of share settlement for instruments that may be settled in cash or shares, except for certain liability-classified share-based payment awards. ASU No. 2020-06 is effective for fiscal years beginning after December 15, 2021, with early adoption permitted for fiscal years beginning after December 15, 2020 and can be adopted on either a fully retrospective or modified retrospective basis. The Company early adopted ASU No. 2020-06 on January 1, 2021, using the modified retrospective basis. Adoption resulted in a $16.8 million decrease to the opening balance of accumulated deficit, a $173.1 million decrease to the opening balance of additional paid-in capital, and a $156.3 million increase to the opening balance of Convertible senior notes, net on the consolidated balance sheet.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8"/>
          <w:szCs w:val="18"/>
          <w:color w:val="auto"/>
        </w:rPr>
        <w:t>The following is a summary of available-for-sale marketable securities, excluding those securities classified within cash and cash equivalents on the condensed consolidated balance sheets as of March 31, 2021 and December 31, 2020 (in thousands):</w:t>
      </w: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4"/>
              </w:rPr>
              <w:t>March 31, 2021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35"/>
        </w:trPr>
        <w:tc>
          <w:tcPr>
            <w:tcW w:w="5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1"/>
                <w:szCs w:val="11"/>
                <w:color w:val="auto"/>
              </w:rPr>
            </w:pPr>
          </w:p>
        </w:tc>
        <w:tc>
          <w:tcPr>
            <w:tcW w:w="1020" w:type="dxa"/>
            <w:vAlign w:val="bottom"/>
          </w:tcPr>
          <w:p>
            <w:pPr>
              <w:jc w:val="center"/>
              <w:ind w:right="235"/>
              <w:spacing w:after="0" w:line="135" w:lineRule="exact"/>
              <w:rPr>
                <w:sz w:val="20"/>
                <w:szCs w:val="20"/>
                <w:color w:val="auto"/>
              </w:rPr>
            </w:pPr>
            <w:r>
              <w:rPr>
                <w:rFonts w:ascii="Arial" w:cs="Arial" w:eastAsia="Arial" w:hAnsi="Arial"/>
                <w:sz w:val="14"/>
                <w:szCs w:val="14"/>
                <w:b w:val="1"/>
                <w:bCs w:val="1"/>
                <w:color w:val="auto"/>
              </w:rPr>
              <w:t>Fair</w:t>
            </w:r>
          </w:p>
        </w:tc>
      </w:tr>
      <w:tr>
        <w:trPr>
          <w:trHeight w:val="188"/>
        </w:trPr>
        <w:tc>
          <w:tcPr>
            <w:tcW w:w="5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Gain</w:t>
            </w: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6"/>
                <w:szCs w:val="16"/>
                <w:color w:val="auto"/>
              </w:rPr>
            </w:pPr>
          </w:p>
        </w:tc>
        <w:tc>
          <w:tcPr>
            <w:tcW w:w="1020" w:type="dxa"/>
            <w:vAlign w:val="bottom"/>
          </w:tcPr>
          <w:p>
            <w:pPr>
              <w:jc w:val="center"/>
              <w:ind w:right="215"/>
              <w:spacing w:after="0"/>
              <w:rPr>
                <w:sz w:val="20"/>
                <w:szCs w:val="20"/>
                <w:color w:val="auto"/>
              </w:rPr>
            </w:pPr>
            <w:r>
              <w:rPr>
                <w:rFonts w:ascii="Arial" w:cs="Arial" w:eastAsia="Arial" w:hAnsi="Arial"/>
                <w:sz w:val="14"/>
                <w:szCs w:val="14"/>
                <w:b w:val="1"/>
                <w:bCs w:val="1"/>
                <w:color w:val="auto"/>
                <w:w w:val="96"/>
              </w:rPr>
              <w:t>Value</w:t>
            </w:r>
          </w:p>
        </w:tc>
      </w:tr>
      <w:tr>
        <w:trPr>
          <w:trHeight w:val="224"/>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debt securities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855,305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855,689</w:t>
            </w: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47,652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47,695</w:t>
            </w: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treasury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83,956</w:t>
            </w:r>
          </w:p>
        </w:tc>
      </w:tr>
      <w:tr>
        <w:trPr>
          <w:trHeight w:val="22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190,797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190,850</w:t>
            </w:r>
          </w:p>
        </w:tc>
      </w:tr>
      <w:tr>
        <w:trPr>
          <w:trHeight w:val="248"/>
        </w:trPr>
        <w:tc>
          <w:tcPr>
            <w:tcW w:w="5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1,177,593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1,178,190</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78"/>
        </w:trPr>
        <w:tc>
          <w:tcPr>
            <w:tcW w:w="5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December 31, 2020</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35"/>
        </w:trPr>
        <w:tc>
          <w:tcPr>
            <w:tcW w:w="5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1"/>
                <w:szCs w:val="11"/>
                <w:color w:val="auto"/>
              </w:rPr>
            </w:pPr>
          </w:p>
        </w:tc>
        <w:tc>
          <w:tcPr>
            <w:tcW w:w="1020" w:type="dxa"/>
            <w:vAlign w:val="bottom"/>
          </w:tcPr>
          <w:p>
            <w:pPr>
              <w:jc w:val="center"/>
              <w:ind w:right="235"/>
              <w:spacing w:after="0" w:line="135" w:lineRule="exact"/>
              <w:rPr>
                <w:sz w:val="20"/>
                <w:szCs w:val="20"/>
                <w:color w:val="auto"/>
              </w:rPr>
            </w:pPr>
            <w:r>
              <w:rPr>
                <w:rFonts w:ascii="Arial" w:cs="Arial" w:eastAsia="Arial" w:hAnsi="Arial"/>
                <w:sz w:val="14"/>
                <w:szCs w:val="14"/>
                <w:b w:val="1"/>
                <w:bCs w:val="1"/>
                <w:color w:val="auto"/>
              </w:rPr>
              <w:t>Fair</w:t>
            </w:r>
          </w:p>
        </w:tc>
      </w:tr>
      <w:tr>
        <w:trPr>
          <w:trHeight w:val="188"/>
        </w:trPr>
        <w:tc>
          <w:tcPr>
            <w:tcW w:w="5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Gain</w:t>
            </w: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6"/>
                <w:szCs w:val="16"/>
                <w:color w:val="auto"/>
              </w:rPr>
            </w:pPr>
          </w:p>
        </w:tc>
        <w:tc>
          <w:tcPr>
            <w:tcW w:w="1020" w:type="dxa"/>
            <w:vAlign w:val="bottom"/>
          </w:tcPr>
          <w:p>
            <w:pPr>
              <w:jc w:val="center"/>
              <w:ind w:right="215"/>
              <w:spacing w:after="0"/>
              <w:rPr>
                <w:sz w:val="20"/>
                <w:szCs w:val="20"/>
                <w:color w:val="auto"/>
              </w:rPr>
            </w:pPr>
            <w:r>
              <w:rPr>
                <w:rFonts w:ascii="Arial" w:cs="Arial" w:eastAsia="Arial" w:hAnsi="Arial"/>
                <w:sz w:val="14"/>
                <w:szCs w:val="14"/>
                <w:b w:val="1"/>
                <w:bCs w:val="1"/>
                <w:color w:val="auto"/>
                <w:w w:val="96"/>
              </w:rPr>
              <w:t>Value</w:t>
            </w:r>
          </w:p>
        </w:tc>
      </w:tr>
      <w:tr>
        <w:trPr>
          <w:trHeight w:val="224"/>
        </w:trPr>
        <w:tc>
          <w:tcPr>
            <w:tcW w:w="55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Commercial debt securities</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926,836</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927,850</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47,214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47,256</w:t>
            </w: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treasury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108,294</w:t>
            </w:r>
          </w:p>
        </w:tc>
      </w:tr>
      <w:tr>
        <w:trPr>
          <w:trHeight w:val="23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209,111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209,132</w:t>
            </w:r>
          </w:p>
        </w:tc>
      </w:tr>
      <w:tr>
        <w:trPr>
          <w:trHeight w:val="248"/>
        </w:trPr>
        <w:tc>
          <w:tcPr>
            <w:tcW w:w="5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1,291,253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1,292,532</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March 31, 2021, the fair values of available-for-sale marketable securities, by remaining contractual maturity, were as follows (in thousands):</w:t>
      </w:r>
    </w:p>
    <w:p>
      <w:pPr>
        <w:spacing w:after="0" w:line="168" w:lineRule="exact"/>
        <w:rPr>
          <w:sz w:val="20"/>
          <w:szCs w:val="20"/>
          <w:color w:val="auto"/>
        </w:rPr>
      </w:pPr>
    </w:p>
    <w:tbl>
      <w:tblPr>
        <w:tblLayout w:type="fixed"/>
        <w:tblInd w:w="2460" w:type="dxa"/>
        <w:tblCellMar>
          <w:top w:w="0" w:type="dxa"/>
          <w:left w:w="0" w:type="dxa"/>
          <w:bottom w:w="0" w:type="dxa"/>
          <w:right w:w="0" w:type="dxa"/>
        </w:tblCellMar>
      </w:tblP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909,906</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in one year through five years</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268,284</w:t>
            </w:r>
          </w:p>
        </w:tc>
      </w:tr>
      <w:tr>
        <w:trPr>
          <w:trHeight w:val="248"/>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1,178,190</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does not believe that any unrealized losses are attributable to credit-related factors based on its evaluation of available evidence. To determine whether a decline in value is related to credit loss, the Company evaluates, among other factors: the extent to which the fair value is less than the amortized cost basis, changes to the rating of the security by a rating agency and any adverse conditions specifically related to an issuer of a security or its industry. Unrealized gain and losses on marketable securities are presented net of tax.</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following tables present information about the Company’s financial assets and liabilities that have been measured at fair value on a recurring basis as of March 31, 2021 and December 31, 2020, and indicate the fair value hierarchy of the valuation inputs utilized to determine such fair value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4"/>
              </w:rPr>
              <w:t>Fair Value Measurement as of March 31, 2021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7"/>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8"/>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11"/>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358,369</w:t>
            </w:r>
          </w:p>
        </w:tc>
        <w:tc>
          <w:tcPr>
            <w:tcW w:w="4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358,369</w:t>
            </w:r>
          </w:p>
        </w:tc>
      </w:tr>
      <w:tr>
        <w:trPr>
          <w:trHeight w:val="230"/>
        </w:trPr>
        <w:tc>
          <w:tcPr>
            <w:tcW w:w="560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3,785</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60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855,689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855,689</w:t>
            </w:r>
          </w:p>
        </w:tc>
      </w:tr>
      <w:tr>
        <w:trPr>
          <w:trHeight w:val="229"/>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Certificates of deposit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47,695</w:t>
            </w:r>
          </w:p>
        </w:tc>
      </w:tr>
      <w:tr>
        <w:trPr>
          <w:trHeight w:val="229"/>
        </w:trPr>
        <w:tc>
          <w:tcPr>
            <w:tcW w:w="5600" w:type="dxa"/>
            <w:vAlign w:val="bottom"/>
          </w:tcPr>
          <w:p>
            <w:pPr>
              <w:ind w:left="140"/>
              <w:spacing w:after="0"/>
              <w:rPr>
                <w:sz w:val="20"/>
                <w:szCs w:val="20"/>
                <w:color w:val="auto"/>
              </w:rPr>
            </w:pPr>
            <w:r>
              <w:rPr>
                <w:rFonts w:ascii="Arial" w:cs="Arial" w:eastAsia="Arial" w:hAnsi="Arial"/>
                <w:sz w:val="18"/>
                <w:szCs w:val="18"/>
                <w:color w:val="auto"/>
              </w:rPr>
              <w:t>U.S. government treasury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83,956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83,956</w:t>
            </w:r>
          </w:p>
        </w:tc>
      </w:tr>
      <w:tr>
        <w:trPr>
          <w:trHeight w:val="230"/>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190,850</w:t>
            </w:r>
          </w:p>
        </w:tc>
      </w:tr>
      <w:tr>
        <w:trPr>
          <w:trHeight w:val="223"/>
        </w:trPr>
        <w:tc>
          <w:tcPr>
            <w:tcW w:w="5600" w:type="dxa"/>
            <w:vAlign w:val="bottom"/>
          </w:tcPr>
          <w:p>
            <w:pPr>
              <w:ind w:left="220"/>
              <w:spacing w:after="0"/>
              <w:rPr>
                <w:sz w:val="20"/>
                <w:szCs w:val="20"/>
                <w:color w:val="auto"/>
              </w:rPr>
            </w:pPr>
            <w:r>
              <w:rPr>
                <w:rFonts w:ascii="Arial" w:cs="Arial" w:eastAsia="Arial" w:hAnsi="Arial"/>
                <w:sz w:val="18"/>
                <w:szCs w:val="18"/>
                <w:color w:val="auto"/>
              </w:rPr>
              <w:t>Total financial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358,369</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1,181,975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1,540,344</w:t>
            </w:r>
          </w:p>
        </w:tc>
      </w:tr>
      <w:tr>
        <w:trPr>
          <w:trHeight w:val="21"/>
        </w:trPr>
        <w:tc>
          <w:tcPr>
            <w:tcW w:w="5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01"/>
        </w:trPr>
        <w:tc>
          <w:tcPr>
            <w:tcW w:w="5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9"/>
          </w:tcPr>
          <w:p>
            <w:pPr>
              <w:jc w:val="center"/>
              <w:ind w:right="150"/>
              <w:spacing w:after="0"/>
              <w:rPr>
                <w:sz w:val="20"/>
                <w:szCs w:val="20"/>
                <w:color w:val="auto"/>
              </w:rPr>
            </w:pPr>
            <w:r>
              <w:rPr>
                <w:rFonts w:ascii="Arial" w:cs="Arial" w:eastAsia="Arial" w:hAnsi="Arial"/>
                <w:sz w:val="14"/>
                <w:szCs w:val="14"/>
                <w:b w:val="1"/>
                <w:bCs w:val="1"/>
                <w:color w:val="auto"/>
                <w:w w:val="92"/>
              </w:rPr>
              <w:t>Fair Value Measurement as of December 31, 2020</w:t>
            </w:r>
          </w:p>
        </w:tc>
        <w:tc>
          <w:tcPr>
            <w:tcW w:w="1020" w:type="dxa"/>
            <w:vAlign w:val="bottom"/>
            <w:tcBorders>
              <w:bottom w:val="single" w:sz="8" w:color="auto"/>
            </w:tcBorders>
          </w:tcPr>
          <w:p>
            <w:pPr>
              <w:spacing w:after="0"/>
              <w:rPr>
                <w:sz w:val="24"/>
                <w:szCs w:val="24"/>
                <w:color w:val="auto"/>
              </w:rPr>
            </w:pPr>
          </w:p>
        </w:tc>
      </w:tr>
      <w:tr>
        <w:trPr>
          <w:trHeight w:val="187"/>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8"/>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11"/>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181,743</w:t>
            </w:r>
          </w:p>
        </w:tc>
        <w:tc>
          <w:tcPr>
            <w:tcW w:w="4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181,743</w:t>
            </w:r>
          </w:p>
        </w:tc>
      </w:tr>
      <w:tr>
        <w:trPr>
          <w:trHeight w:val="229"/>
        </w:trPr>
        <w:tc>
          <w:tcPr>
            <w:tcW w:w="560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25,195</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60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927,850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927,850</w:t>
            </w:r>
          </w:p>
        </w:tc>
      </w:tr>
      <w:tr>
        <w:trPr>
          <w:trHeight w:val="230"/>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Certificates of deposit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47,256</w:t>
            </w:r>
          </w:p>
        </w:tc>
      </w:tr>
      <w:tr>
        <w:trPr>
          <w:trHeight w:val="229"/>
        </w:trPr>
        <w:tc>
          <w:tcPr>
            <w:tcW w:w="5600" w:type="dxa"/>
            <w:vAlign w:val="bottom"/>
          </w:tcPr>
          <w:p>
            <w:pPr>
              <w:ind w:left="140"/>
              <w:spacing w:after="0"/>
              <w:rPr>
                <w:sz w:val="20"/>
                <w:szCs w:val="20"/>
                <w:color w:val="auto"/>
              </w:rPr>
            </w:pPr>
            <w:r>
              <w:rPr>
                <w:rFonts w:ascii="Arial" w:cs="Arial" w:eastAsia="Arial" w:hAnsi="Arial"/>
                <w:sz w:val="18"/>
                <w:szCs w:val="18"/>
                <w:color w:val="auto"/>
              </w:rPr>
              <w:t>U.S. government treasury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108,294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108,294</w:t>
            </w:r>
          </w:p>
        </w:tc>
      </w:tr>
      <w:tr>
        <w:trPr>
          <w:trHeight w:val="230"/>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209,132</w:t>
            </w:r>
          </w:p>
        </w:tc>
      </w:tr>
      <w:tr>
        <w:trPr>
          <w:trHeight w:val="223"/>
        </w:trPr>
        <w:tc>
          <w:tcPr>
            <w:tcW w:w="5600" w:type="dxa"/>
            <w:vAlign w:val="bottom"/>
          </w:tcPr>
          <w:p>
            <w:pPr>
              <w:ind w:left="220"/>
              <w:spacing w:after="0"/>
              <w:rPr>
                <w:sz w:val="20"/>
                <w:szCs w:val="20"/>
                <w:color w:val="auto"/>
              </w:rPr>
            </w:pPr>
            <w:r>
              <w:rPr>
                <w:rFonts w:ascii="Arial" w:cs="Arial" w:eastAsia="Arial" w:hAnsi="Arial"/>
                <w:sz w:val="18"/>
                <w:szCs w:val="18"/>
                <w:color w:val="auto"/>
              </w:rPr>
              <w:t>Total financial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181,743</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1,317,727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1,499,470</w:t>
            </w:r>
          </w:p>
        </w:tc>
      </w:tr>
      <w:tr>
        <w:trPr>
          <w:trHeight w:val="20"/>
        </w:trPr>
        <w:tc>
          <w:tcPr>
            <w:tcW w:w="5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320" w:firstLine="486"/>
        <w:spacing w:after="0" w:line="279" w:lineRule="auto"/>
        <w:rPr>
          <w:sz w:val="20"/>
          <w:szCs w:val="20"/>
          <w:color w:val="auto"/>
        </w:rPr>
      </w:pPr>
      <w:r>
        <w:rPr>
          <w:rFonts w:ascii="Arial" w:cs="Arial" w:eastAsia="Arial" w:hAnsi="Arial"/>
          <w:sz w:val="17"/>
          <w:szCs w:val="17"/>
          <w:color w:val="auto"/>
        </w:rPr>
        <w:t>The Company classifies its highly liquid money market funds within Level 1 of the fair value hierarchy because they are valued based on quoted market prices in active markets. The Company classifies its commercial paper, corporate debt securities, certificates of deposit, and U.S. government treasury securities within Level 2 because they are valued using inputs other than quoted prices that are directly or indirectly observable in the market, including readily available pricing sources for the identical underlying security which may not be actively traded.</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In addition to its cash equivalents and marketable securities, the Company measures the fair value of its outstanding convertible senior notes on a quarterly basis for disclosure purposes. The Company considers the fair value of the convertible senior notes to be a Level 2 measurement due to limited trading activity of the convertible senior notes. Refer to Note 7, </w:t>
      </w:r>
      <w:r>
        <w:rPr>
          <w:rFonts w:ascii="Arial" w:cs="Arial" w:eastAsia="Arial" w:hAnsi="Arial"/>
          <w:sz w:val="18"/>
          <w:szCs w:val="18"/>
          <w:i w:val="1"/>
          <w:iCs w:val="1"/>
          <w:color w:val="auto"/>
        </w:rPr>
        <w:t>Convertible Senior Notes</w:t>
      </w:r>
      <w:r>
        <w:rPr>
          <w:rFonts w:ascii="Arial" w:cs="Arial" w:eastAsia="Arial" w:hAnsi="Arial"/>
          <w:sz w:val="18"/>
          <w:szCs w:val="18"/>
          <w:color w:val="auto"/>
        </w:rPr>
        <w:t>, to the condensed consolidated financial statements for further details.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14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December 31,</w:t>
            </w:r>
          </w:p>
        </w:tc>
      </w:tr>
      <w:tr>
        <w:trPr>
          <w:trHeight w:val="188"/>
        </w:trPr>
        <w:tc>
          <w:tcPr>
            <w:tcW w:w="8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equipment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11,490</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5,087</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17,639</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software development costs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57,649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48,502</w:t>
            </w:r>
          </w:p>
        </w:tc>
      </w:tr>
      <w:tr>
        <w:trPr>
          <w:trHeight w:val="223"/>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property and equipment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82,718</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(35,521)</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47,197</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capitalizes costs related to the development of computer software for internal use and is included in capitalized software development costs within property and equipment, net.</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Depreciation and amortization expense was approximately $4.0 million and $3.5 million for the three months ended March 31, 2021 and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During the three months ended March 31, 2021, the Company entered into a Stock Purchase Agreement whereby the Company acquired all of the issued and outstanding shares of a target company with the purchase price in cash and stock. The acquisition was accounted for as a business combination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purchase price was allocated to intangible assets in the amount of $1.7 million and goodwill in the amount of $31.3 million based on the respective estimated fair values. Goodwill resulted primarily from the expectation of enhancing the Company's current observability tools. The resulting goodwill is not deductible for income tax purposes. Pro forma results of operations for this acquisition have not been presented because they were not material to the condensed consolidated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Acquisition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During the year ended December 31, 2020, the Company completed an acquisition with the purchase price in cash and stock. The acquisition was accounted for as a business combination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purchase price was allocated to intangible assets in the amount of $1.5 million and goodwill in the amount of $7.8 million based on the respective estimated fair values. The resulting goodwill is not deductible for income tax purposes.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March 31, 2021</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7"/>
              </w:rPr>
              <w:t>Net</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35"/>
        </w:trPr>
        <w:tc>
          <w:tcPr>
            <w:tcW w:w="5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Carrying</w:t>
            </w: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49"/>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4"/>
              </w:rPr>
              <w:t>(1,617)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8"/>
              </w:rPr>
              <w:t>3 years</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5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December 31, 2020</w:t>
            </w: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7"/>
              </w:rPr>
              <w:t>Net</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35"/>
        </w:trPr>
        <w:tc>
          <w:tcPr>
            <w:tcW w:w="5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Carrying</w:t>
            </w: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49"/>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4"/>
              </w:rPr>
              <w:t>(1,262)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8"/>
              </w:rPr>
              <w:t>3 years</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Intangible amortization expense was approximately $0.4 million and $0.2 million for the three months ended March 31, 2021 and 2020,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developed technology is included in cost of revenue on the Company’s condensed consolidated statement of operations.</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12" w:name="page13"/>
    <w:bookmarkEnd w:id="12"/>
    <w:p>
      <w:pPr>
        <w:ind w:left="500"/>
        <w:spacing w:after="0"/>
        <w:rPr>
          <w:sz w:val="20"/>
          <w:szCs w:val="20"/>
          <w:color w:val="auto"/>
        </w:rPr>
      </w:pPr>
      <w:r>
        <w:rPr>
          <w:rFonts w:ascii="Arial" w:cs="Arial" w:eastAsia="Arial" w:hAnsi="Arial"/>
          <w:sz w:val="18"/>
          <w:szCs w:val="18"/>
          <w:color w:val="auto"/>
        </w:rPr>
        <w:t>As of March 31, 2021, future amortization expense by year is expected to be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30"/>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0"/>
        </w:trPr>
        <w:tc>
          <w:tcPr>
            <w:tcW w:w="9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Goodwill</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9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80" w:type="dxa"/>
            <w:vAlign w:val="bottom"/>
          </w:tcPr>
          <w:p>
            <w:pPr>
              <w:ind w:left="500"/>
              <w:spacing w:after="0"/>
              <w:rPr>
                <w:sz w:val="20"/>
                <w:szCs w:val="20"/>
                <w:color w:val="auto"/>
              </w:rPr>
            </w:pPr>
            <w:r>
              <w:rPr>
                <w:rFonts w:ascii="Arial" w:cs="Arial" w:eastAsia="Arial" w:hAnsi="Arial"/>
                <w:sz w:val="18"/>
                <w:szCs w:val="18"/>
                <w:color w:val="auto"/>
              </w:rPr>
              <w:t>The changes in the carrying amount of goodwill were as follows (in thousands):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8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17,609</w:t>
            </w:r>
          </w:p>
        </w:tc>
        <w:tc>
          <w:tcPr>
            <w:tcW w:w="0" w:type="dxa"/>
            <w:vAlign w:val="bottom"/>
          </w:tcPr>
          <w:p>
            <w:pPr>
              <w:spacing w:after="0"/>
              <w:rPr>
                <w:sz w:val="1"/>
                <w:szCs w:val="1"/>
                <w:color w:val="auto"/>
              </w:rPr>
            </w:pP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acquisition</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31,254</w:t>
            </w:r>
          </w:p>
        </w:tc>
        <w:tc>
          <w:tcPr>
            <w:tcW w:w="0" w:type="dxa"/>
            <w:vAlign w:val="bottom"/>
          </w:tcPr>
          <w:p>
            <w:pPr>
              <w:spacing w:after="0"/>
              <w:rPr>
                <w:sz w:val="1"/>
                <w:szCs w:val="1"/>
                <w:color w:val="auto"/>
              </w:rPr>
            </w:pP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Balance as of March 31, 2021</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48,479</w:t>
            </w:r>
          </w:p>
        </w:tc>
        <w:tc>
          <w:tcPr>
            <w:tcW w:w="0" w:type="dxa"/>
            <w:vAlign w:val="bottom"/>
          </w:tcPr>
          <w:p>
            <w:pPr>
              <w:spacing w:after="0"/>
              <w:rPr>
                <w:sz w:val="1"/>
                <w:szCs w:val="1"/>
                <w:color w:val="auto"/>
              </w:rPr>
            </w:pPr>
          </w:p>
        </w:tc>
      </w:tr>
      <w:tr>
        <w:trPr>
          <w:trHeight w:val="21"/>
        </w:trPr>
        <w:tc>
          <w:tcPr>
            <w:tcW w:w="9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Senior Notes</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On June 2, 2020, the Company issued $747.5 million aggregate principal amount of 0.125% convertible senior notes due 2025 (the “2025 Notes”) in a private placement to qualified institutional buyers pursuant to Rule 144A under the Securities Act of 1933, as amended (“Securities Act”). The total net proceeds from the sale of the 2025 Notes, after deducting the initial purchasers’ discounts and debt issuance costs, were approximately $730.2 million. The 2025 Notes bear interest at a rate of 0.125% per year, payable semiannually in arrears on June 15 and December 15 of each year, beginning on December 15, 2020. The 2025 Notes will mature on June 15, 2025, unless earlier converted, redeemed or repurchased.</w:t>
      </w:r>
    </w:p>
    <w:p>
      <w:pPr>
        <w:spacing w:after="0" w:line="17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Holders may convert their notes at their option at any time prior to the close of business on the business day immediately preceding March 15, 2025 only under the following circumstances:</w:t>
      </w:r>
    </w:p>
    <w:p>
      <w:pPr>
        <w:spacing w:after="0" w:line="62" w:lineRule="exact"/>
        <w:rPr>
          <w:sz w:val="20"/>
          <w:szCs w:val="20"/>
          <w:color w:val="auto"/>
        </w:rPr>
      </w:pPr>
    </w:p>
    <w:p>
      <w:pPr>
        <w:jc w:val="both"/>
        <w:ind w:left="980" w:hanging="486"/>
        <w:spacing w:after="0" w:line="259" w:lineRule="auto"/>
        <w:tabs>
          <w:tab w:leader="none" w:pos="974"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2020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78" w:lineRule="exact"/>
        <w:rPr>
          <w:rFonts w:ascii="Arial" w:cs="Arial" w:eastAsia="Arial" w:hAnsi="Arial"/>
          <w:sz w:val="18"/>
          <w:szCs w:val="18"/>
          <w:color w:val="auto"/>
        </w:rPr>
      </w:pPr>
    </w:p>
    <w:p>
      <w:pPr>
        <w:jc w:val="both"/>
        <w:ind w:left="980" w:hanging="486"/>
        <w:spacing w:after="0" w:line="286" w:lineRule="auto"/>
        <w:tabs>
          <w:tab w:leader="none" w:pos="974"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five business day period after any ten consecutive trading day period (the "Measurement Period") in which the trading price per $1,000 principal amount of 2025 Notes for each trading day of the Measurement Period was less than 98% of the product of the last reported sale price of the Company’s Class A common stock and the conversion rate on each such trading day;</w:t>
      </w:r>
    </w:p>
    <w:p>
      <w:pPr>
        <w:spacing w:after="0" w:line="57" w:lineRule="exact"/>
        <w:rPr>
          <w:rFonts w:ascii="Arial" w:cs="Arial" w:eastAsia="Arial" w:hAnsi="Arial"/>
          <w:sz w:val="17"/>
          <w:szCs w:val="17"/>
          <w:color w:val="auto"/>
        </w:rPr>
      </w:pPr>
    </w:p>
    <w:p>
      <w:pPr>
        <w:ind w:left="980" w:hanging="486"/>
        <w:spacing w:after="0" w:line="277" w:lineRule="auto"/>
        <w:tabs>
          <w:tab w:leader="none" w:pos="974"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Company calls such 2025 Notes for redemption, at any time prior to the close of business on the scheduled trading day immediately preceding the redemption date; or</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as set forth in the indenture governing the 2025 Notes (“the Indenture”).</w:t>
      </w:r>
    </w:p>
    <w:p>
      <w:pPr>
        <w:spacing w:after="0" w:line="22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On or after March 15, 2025 until the close of business on the second scheduled trading day immediately preceding the maturity date, holders may convert all or any portion of their notes, in integral multiples of $1,000 principal amount, at the option of the holder regardless of the foregoing circumstances. The conversion rate for the 2025 Notes is initially 10.8338 shares of Class A common stock per $1,000 principal amount of notes (equivalent to an initial conversion price of approximately $92.30 per share of Class A common stock), subject to adjustment as set forth in the Indenture. Upon conversion, the Company will pay or deliver, as the case may be, cash, shares of Class A common stock or a combination of cash and shares of Class A common stock, at the Company’s election. If the Company satisfies its conversion obligation solely in cash or through payment and delivery, as the case may be, of a combination of cash and shares of Class A common stock, the amount of cash and shares of Class A common stock, if any, due upon conversion will be based on a daily conversion value calculated on a proportionate basis for each trading day in a 30 trading day observation period as described in the Indenture. In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3" w:name="page14"/>
    <w:bookmarkEnd w:id="13"/>
    <w:p>
      <w:pPr>
        <w:jc w:val="both"/>
        <w:spacing w:after="0" w:line="342" w:lineRule="auto"/>
        <w:rPr>
          <w:sz w:val="20"/>
          <w:szCs w:val="20"/>
          <w:color w:val="auto"/>
        </w:rPr>
      </w:pPr>
      <w:r>
        <w:rPr>
          <w:rFonts w:ascii="Arial" w:cs="Arial" w:eastAsia="Arial" w:hAnsi="Arial"/>
          <w:sz w:val="16"/>
          <w:szCs w:val="16"/>
          <w:color w:val="auto"/>
        </w:rPr>
        <w:t>addition, if specific corporate events occur prior to the applicable maturity date, or if the Company elects to redeem the 2025 Notes, the Company will increase the conversion rate for a holder who elects to convert their notes in connection with such a corporate event or redemption in certain circumstances.</w:t>
      </w:r>
    </w:p>
    <w:p>
      <w:pPr>
        <w:spacing w:after="0" w:line="12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three months ended March 31, 2021, the conditions allowing holders of the 2025 Notes to convert have not been met. The 2025 Notes were therefore not convertible during the three months ended March 31, 2021 and were classified as long-term debt on the Company’s condensed consolidated balance sheets.</w:t>
      </w:r>
    </w:p>
    <w:p>
      <w:pPr>
        <w:spacing w:after="0" w:line="18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may not redeem the 2025 Notes prior to June 20, 2023. On or after June 20, 2023, and prior to the 31st scheduled trading day immediately preceding the maturity date, the Company may redeem for cash all or any portion of the 2025 Notes, at its option,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2025 Notes to be redeemed, plus accrued and unpaid interest to, but excluding, the redemption date.</w:t>
      </w:r>
    </w:p>
    <w:p>
      <w:pPr>
        <w:spacing w:after="0" w:line="19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accounting for the issuance of the 2025 Notes, the 2025 Notes were separated into liability and equity components. The carrying amount of the liability component was calculated by measuring the fair value of similar liabilities that do not have associated convertible features. The carrying amount of the equity component representing the conversion option was determined by deducting the fair value of the liability component from the par value of the respective 2025 Notes. This difference represents the debt discount that was amortized to interest expense using the effective interest rate method. The carrying amount of the equity component representing the conversion option was $177.2 million. The equity component was recorded in additional paid-in capital.</w:t>
      </w:r>
    </w:p>
    <w:p>
      <w:pPr>
        <w:spacing w:after="0" w:line="19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In accounting for the debt issuance costs of $17.3 million related to the 2025 Notes, the Company allocated the total amount incurred to the liability and equity components of the 2025 Notes in the same proportion as the allocation of the proceeds. Issuance costs attributable to the liability component were $13.2 million and will be amortized to interest expense over the contractual term of the 2025 Notes at an effective interest rate of 5.97%. Issuance costs attributable to the equity component were $4.1 million and are netted against the equity component in additional paid-in capital.</w:t>
      </w:r>
    </w:p>
    <w:p>
      <w:pPr>
        <w:spacing w:after="0" w:line="15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On January 1, 2021 the Company adopted ASU No. 2020-06, </w:t>
      </w:r>
      <w:r>
        <w:rPr>
          <w:rFonts w:ascii="Arial" w:cs="Arial" w:eastAsia="Arial" w:hAnsi="Arial"/>
          <w:sz w:val="18"/>
          <w:szCs w:val="18"/>
          <w:i w:val="1"/>
          <w:iCs w:val="1"/>
          <w:color w:val="auto"/>
        </w:rPr>
        <w:t>Accounting for Convertible Instruments and Contracts in an Entity’s Own Equity.</w:t>
      </w:r>
      <w:r>
        <w:rPr>
          <w:rFonts w:ascii="Arial" w:cs="Arial" w:eastAsia="Arial" w:hAnsi="Arial"/>
          <w:sz w:val="18"/>
          <w:szCs w:val="18"/>
          <w:color w:val="auto"/>
        </w:rPr>
        <w:t xml:space="preserve"> As a result of the adoption, the debt conversion option of $177.2 million and debt issuance costs of $4.1 million previously attributable to the equity component will no longer be presented in equity. Similarly, the debt discount, that is equal to the carrying value of the embedded conversion feature upon issuance, will no longer be amortized into income as interest expense over the life of the instrument. This resulted in a $16.8 million decrease to the opening balance of accumulated deficit, a $173.1 million decrease to the opening balance of additional paid-in capital, and a $156.3 million increase to the opening balance of Convertible senior notes, net on the consolidated balance sheet.</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net carrying amount of the liability component of the 2025 Notes was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ind w:right="157"/>
              <w:spacing w:after="0"/>
              <w:rPr>
                <w:sz w:val="20"/>
                <w:szCs w:val="20"/>
                <w:color w:val="auto"/>
              </w:rPr>
            </w:pPr>
            <w:r>
              <w:rPr>
                <w:rFonts w:ascii="Arial" w:cs="Arial" w:eastAsia="Arial" w:hAnsi="Arial"/>
                <w:sz w:val="14"/>
                <w:szCs w:val="14"/>
                <w:b w:val="1"/>
                <w:bCs w:val="1"/>
                <w:color w:val="auto"/>
                <w:w w:val="95"/>
              </w:rPr>
              <w:t>March 31,</w:t>
            </w:r>
          </w:p>
        </w:tc>
      </w:tr>
      <w:tr>
        <w:trPr>
          <w:trHeight w:val="188"/>
        </w:trPr>
        <w:tc>
          <w:tcPr>
            <w:tcW w:w="98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r>
      <w:tr>
        <w:trPr>
          <w:trHeight w:val="224"/>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747,500</w:t>
            </w:r>
          </w:p>
        </w:tc>
      </w:tr>
      <w:tr>
        <w:trPr>
          <w:trHeight w:val="230"/>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issuance costs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2"/>
              </w:rPr>
              <w:t>(14,532)</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8"/>
              </w:rPr>
              <w:t>732,968</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March 31, 2021, the total estimated fair value of the 2025 Notes was approximately $881.0 million. The fair value was determined based on the closing trading price per $100 of the 2025 Notes as of the last day of trading for the period. The fair value of the 2025 Notes is primarily affected by the trading price of the Company’s Class A common stock and market interest rates.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4" w:name="page15"/>
    <w:bookmarkEnd w:id="14"/>
    <w:p>
      <w:pPr>
        <w:ind w:left="500"/>
        <w:spacing w:after="0"/>
        <w:rPr>
          <w:sz w:val="20"/>
          <w:szCs w:val="20"/>
          <w:color w:val="auto"/>
        </w:rPr>
      </w:pPr>
      <w:r>
        <w:rPr>
          <w:rFonts w:ascii="Arial" w:cs="Arial" w:eastAsia="Arial" w:hAnsi="Arial"/>
          <w:sz w:val="17"/>
          <w:szCs w:val="17"/>
          <w:color w:val="auto"/>
        </w:rPr>
        <w:t>The following table sets forth the interest expense related to the 2025 Notes for the three months ended March 31, 2021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center"/>
              <w:ind w:right="59"/>
              <w:spacing w:after="0"/>
              <w:rPr>
                <w:sz w:val="20"/>
                <w:szCs w:val="20"/>
                <w:color w:val="auto"/>
              </w:rPr>
            </w:pPr>
            <w:r>
              <w:rPr>
                <w:rFonts w:ascii="Arial" w:cs="Arial" w:eastAsia="Arial" w:hAnsi="Arial"/>
                <w:sz w:val="14"/>
                <w:szCs w:val="14"/>
                <w:b w:val="1"/>
                <w:bCs w:val="1"/>
                <w:color w:val="auto"/>
                <w:w w:val="95"/>
              </w:rPr>
              <w:t>Three Months Ended</w:t>
            </w:r>
          </w:p>
        </w:tc>
      </w:tr>
      <w:tr>
        <w:trPr>
          <w:trHeight w:val="188"/>
        </w:trPr>
        <w:tc>
          <w:tcPr>
            <w:tcW w:w="9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9"/>
              </w:rPr>
              <w:t>March 31,</w:t>
            </w:r>
          </w:p>
        </w:tc>
      </w:tr>
      <w:tr>
        <w:trPr>
          <w:trHeight w:val="183"/>
        </w:trPr>
        <w:tc>
          <w:tcPr>
            <w:tcW w:w="96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2021</w:t>
            </w:r>
          </w:p>
        </w:tc>
      </w:tr>
      <w:tr>
        <w:trPr>
          <w:trHeight w:val="224"/>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30"/>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issuance costs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r>
      <w:tr>
        <w:trPr>
          <w:trHeight w:val="248"/>
        </w:trPr>
        <w:tc>
          <w:tcPr>
            <w:tcW w:w="9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Calls</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In connection with the pricing of the 2025 Notes, the Company entered into privately negotiated capped call transactions with certain counterparties (“Capped Calls”). The Capped Calls each have an initial strike price of approximately $92.30 per share, subject to certain adjustments, which corresponds to the initial conversion price of the 2025 Notes. The Capped Calls have initial cap prices of $151.04 per share, subject to certain adjustments. The Capped Calls are expected to partially offset the potential dilution to the Company’s Class A common stock upon any conversion of the 2025 Notes, with such offset subject to a cap based on the cap price. The Capped Calls cover, subject to anti-dilution adjustments, approximately 8.1 million shares of the Company’s Class A common stock. For accounting purposes, the Capped Calls are separate transactions, and not part of the 2025 Notes. As these transactions meet certain accounting criteria, the Capped Calls are recorded in stockholders' equity and are not accounted for as derivatives. The cost of $89.6 million incurred to purchase the Capped Calls was recorded as a reduction to additional paid-in capital and will not be remeasured.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Non-cancelable Material Commitments</w:t>
      </w:r>
      <w:r>
        <w:rPr>
          <w:rFonts w:ascii="Arial" w:cs="Arial" w:eastAsia="Arial" w:hAnsi="Arial"/>
          <w:sz w:val="18"/>
          <w:szCs w:val="18"/>
          <w:color w:val="auto"/>
        </w:rPr>
        <w:t>—During the three months ended March 31, 2021, other than certain non-cancelable operating lease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described in Note 9, </w:t>
      </w:r>
      <w:r>
        <w:rPr>
          <w:rFonts w:ascii="Arial" w:cs="Arial" w:eastAsia="Arial" w:hAnsi="Arial"/>
          <w:sz w:val="18"/>
          <w:szCs w:val="18"/>
          <w:i w:val="1"/>
          <w:iCs w:val="1"/>
          <w:color w:val="auto"/>
        </w:rPr>
        <w:t>Leases</w:t>
      </w:r>
      <w:r>
        <w:rPr>
          <w:rFonts w:ascii="Arial" w:cs="Arial" w:eastAsia="Arial" w:hAnsi="Arial"/>
          <w:sz w:val="18"/>
          <w:szCs w:val="18"/>
          <w:color w:val="auto"/>
        </w:rPr>
        <w:t>, there have been no material changes outside the ordinary course of business to the Company's contractual obligations and commitments from those disclosed in the Annual Report.</w:t>
      </w:r>
    </w:p>
    <w:p>
      <w:pPr>
        <w:spacing w:after="0" w:line="184"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b w:val="1"/>
          <w:bCs w:val="1"/>
          <w:i w:val="1"/>
          <w:iCs w:val="1"/>
          <w:color w:val="auto"/>
        </w:rPr>
        <w:t>401(k) Plan</w:t>
      </w:r>
      <w:r>
        <w:rPr>
          <w:rFonts w:ascii="Arial" w:cs="Arial" w:eastAsia="Arial" w:hAnsi="Arial"/>
          <w:sz w:val="17"/>
          <w:szCs w:val="17"/>
          <w:color w:val="auto"/>
        </w:rPr>
        <w:t>—The Company sponsors a 401(k) defined contribution plan covering all eligible US employees. Contributions to the 401(k) plan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discretionary. The Company did not make any matching contributions to the 401(k) plan for the three months ended March 31, 2021 and 2020.</w:t>
      </w:r>
    </w:p>
    <w:p>
      <w:pPr>
        <w:spacing w:after="0" w:line="14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Legal Matters</w:t>
      </w:r>
      <w:r>
        <w:rPr>
          <w:rFonts w:ascii="Arial" w:cs="Arial" w:eastAsia="Arial" w:hAnsi="Arial"/>
          <w:sz w:val="18"/>
          <w:szCs w:val="18"/>
          <w:color w:val="auto"/>
        </w:rPr>
        <w:t>—The Company is involved from time to time in various claims and legal actions arising in the ordinary course of business. While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not feasible to predict or determine the ultimate outcome of these matters, the Company believes that none of its current legal proceedings will have a material adverse effect on its financial position or results of operations.</w:t>
      </w:r>
    </w:p>
    <w:p>
      <w:pPr>
        <w:spacing w:after="0" w:line="18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b w:val="1"/>
          <w:bCs w:val="1"/>
          <w:i w:val="1"/>
          <w:iCs w:val="1"/>
          <w:color w:val="auto"/>
        </w:rPr>
        <w:t>Indemnification</w:t>
      </w:r>
      <w:r>
        <w:rPr>
          <w:rFonts w:ascii="Arial" w:cs="Arial" w:eastAsia="Arial" w:hAnsi="Arial"/>
          <w:sz w:val="17"/>
          <w:szCs w:val="17"/>
          <w:color w:val="auto"/>
        </w:rPr>
        <w:t>—The Company enters into indemnification provisions under some agreements with other parties in the ordinary course of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each particular provision. To date, losses recorded in the Company’s condensed consolidated statements of operations in connection with the indemnification provisions have not been material.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Company has entered into various non-cancelable operating leases for its facilities expiring between 2021 and 2031. Certain lease agreements contain an option for the Company to renew a lease for a term of up to five years or an option to terminate a lease early within three years. The Company considers these options, which may be elected at the Company’s sole discretion, in determining the lease term on a lease-by-lease basis.</w:t>
      </w:r>
    </w:p>
    <w:p>
      <w:pPr>
        <w:spacing w:after="0" w:line="14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Lease expense for these leases is recognized on a straight-line basis over the lease term, with variable lease payments recognized in the period those payments are incurred.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5" w:name="page16"/>
    <w:bookmarkEnd w:id="15"/>
    <w:p>
      <w:pPr>
        <w:ind w:left="500"/>
        <w:spacing w:after="0"/>
        <w:rPr>
          <w:sz w:val="20"/>
          <w:szCs w:val="20"/>
          <w:color w:val="auto"/>
        </w:rPr>
      </w:pPr>
      <w:r>
        <w:rPr>
          <w:rFonts w:ascii="Arial" w:cs="Arial" w:eastAsia="Arial" w:hAnsi="Arial"/>
          <w:sz w:val="16"/>
          <w:szCs w:val="16"/>
          <w:color w:val="auto"/>
        </w:rPr>
        <w:t>The components of lease cost recognized within the Company’s condensed consolidated statements of operations were as follows (in thousands):</w:t>
      </w:r>
    </w:p>
    <w:p>
      <w:pPr>
        <w:spacing w:after="0" w:line="149"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Three Months Ended</w:t>
      </w:r>
    </w:p>
    <w:p>
      <w:pPr>
        <w:jc w:val="center"/>
        <w:ind w:left="83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4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r>
      <w:tr>
        <w:trPr>
          <w:trHeight w:val="224"/>
        </w:trPr>
        <w:tc>
          <w:tcPr>
            <w:tcW w:w="844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1"/>
                <w:szCs w:val="21"/>
                <w:color w:val="auto"/>
                <w:vertAlign w:val="superscript"/>
              </w:rPr>
              <w:t>(1)</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0369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30"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non-cash lease expense of $4.0 million and $3.2 million for the three months ended March 31, 2021 and 2020, respectively.</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cash flow information and non-cash activity related to the Company’s operating leases are as follows (in thousands):</w:t>
      </w:r>
    </w:p>
    <w:p>
      <w:pPr>
        <w:spacing w:after="0" w:line="126"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Three Months Ended</w:t>
      </w:r>
    </w:p>
    <w:p>
      <w:pPr>
        <w:jc w:val="center"/>
        <w:ind w:left="83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40" w:type="dxa"/>
            <w:vAlign w:val="bottom"/>
            <w:tcBorders>
              <w:bottom w:val="single" w:sz="8" w:color="CFF0FC"/>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FF0FC"/>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r>
      <w:tr>
        <w:trPr>
          <w:trHeight w:val="224"/>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4,483</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3,134</w:t>
            </w:r>
          </w:p>
        </w:tc>
        <w:tc>
          <w:tcPr>
            <w:tcW w:w="20" w:type="dxa"/>
            <w:vAlign w:val="bottom"/>
          </w:tcPr>
          <w:p>
            <w:pPr>
              <w:spacing w:after="0"/>
              <w:rPr>
                <w:sz w:val="19"/>
                <w:szCs w:val="19"/>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Operating lease assets obtained in exchange for new lease liabilities</w:t>
            </w:r>
          </w:p>
        </w:tc>
        <w:tc>
          <w:tcPr>
            <w:tcW w:w="84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1,862</w:t>
            </w:r>
          </w:p>
        </w:tc>
        <w:tc>
          <w:tcPr>
            <w:tcW w:w="20" w:type="dxa"/>
            <w:vAlign w:val="bottom"/>
          </w:tcPr>
          <w:p>
            <w:pPr>
              <w:spacing w:after="0"/>
              <w:rPr>
                <w:sz w:val="20"/>
                <w:szCs w:val="20"/>
                <w:color w:val="auto"/>
              </w:rPr>
            </w:pPr>
          </w:p>
        </w:tc>
      </w:tr>
      <w:tr>
        <w:trPr>
          <w:trHeight w:val="512"/>
        </w:trPr>
        <w:tc>
          <w:tcPr>
            <w:tcW w:w="8440" w:type="dxa"/>
            <w:vAlign w:val="bottom"/>
          </w:tcPr>
          <w:p>
            <w:pPr>
              <w:ind w:left="500"/>
              <w:spacing w:after="0"/>
              <w:rPr>
                <w:sz w:val="20"/>
                <w:szCs w:val="20"/>
                <w:color w:val="auto"/>
              </w:rPr>
            </w:pPr>
            <w:r>
              <w:rPr>
                <w:rFonts w:ascii="Arial" w:cs="Arial" w:eastAsia="Arial" w:hAnsi="Arial"/>
                <w:sz w:val="18"/>
                <w:szCs w:val="18"/>
                <w:color w:val="auto"/>
                <w:w w:val="92"/>
              </w:rPr>
              <w:t>Maturities of lease liabilities by fiscal year for the Company’s operating leases are as follows (in thousands):</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8440" w:type="dxa"/>
            <w:vAlign w:val="bottom"/>
            <w:tcBorders>
              <w:bottom w:val="single" w:sz="8" w:color="CFF0FC"/>
            </w:tcBorders>
          </w:tcPr>
          <w:p>
            <w:pPr>
              <w:spacing w:after="0"/>
              <w:rPr>
                <w:sz w:val="24"/>
                <w:szCs w:val="24"/>
                <w:color w:val="auto"/>
              </w:rPr>
            </w:pPr>
          </w:p>
        </w:tc>
        <w:tc>
          <w:tcPr>
            <w:tcW w:w="840" w:type="dxa"/>
            <w:vAlign w:val="bottom"/>
            <w:tcBorders>
              <w:bottom w:val="single" w:sz="8" w:color="CFF0FC"/>
            </w:tcBorders>
          </w:tcPr>
          <w:p>
            <w:pPr>
              <w:spacing w:after="0"/>
              <w:rPr>
                <w:sz w:val="24"/>
                <w:szCs w:val="24"/>
                <w:color w:val="auto"/>
              </w:rPr>
            </w:pPr>
          </w:p>
        </w:tc>
        <w:tc>
          <w:tcPr>
            <w:tcW w:w="48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24"/>
                <w:szCs w:val="24"/>
                <w:color w:val="auto"/>
              </w:rPr>
            </w:pPr>
          </w:p>
        </w:tc>
      </w:tr>
      <w:tr>
        <w:trPr>
          <w:trHeight w:val="229"/>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2021</w:t>
            </w: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14,349</w:t>
            </w:r>
          </w:p>
        </w:tc>
        <w:tc>
          <w:tcPr>
            <w:tcW w:w="20" w:type="dxa"/>
            <w:vAlign w:val="bottom"/>
            <w:shd w:val="clear" w:color="auto" w:fill="CFF0FC"/>
          </w:tcPr>
          <w:p>
            <w:pPr>
              <w:spacing w:after="0"/>
              <w:rPr>
                <w:sz w:val="19"/>
                <w:szCs w:val="19"/>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2022</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20,023</w:t>
            </w:r>
          </w:p>
        </w:tc>
        <w:tc>
          <w:tcPr>
            <w:tcW w:w="20" w:type="dxa"/>
            <w:vAlign w:val="bottom"/>
          </w:tcPr>
          <w:p>
            <w:pPr>
              <w:spacing w:after="0"/>
              <w:rPr>
                <w:sz w:val="19"/>
                <w:szCs w:val="19"/>
                <w:color w:val="auto"/>
              </w:rPr>
            </w:pPr>
          </w:p>
        </w:tc>
      </w:tr>
      <w:tr>
        <w:trPr>
          <w:trHeight w:val="230"/>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17,898</w:t>
            </w:r>
          </w:p>
        </w:tc>
        <w:tc>
          <w:tcPr>
            <w:tcW w:w="20" w:type="dxa"/>
            <w:vAlign w:val="bottom"/>
            <w:shd w:val="clear" w:color="auto" w:fill="CFF0FC"/>
          </w:tcPr>
          <w:p>
            <w:pPr>
              <w:spacing w:after="0"/>
              <w:rPr>
                <w:sz w:val="19"/>
                <w:szCs w:val="19"/>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2024</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2,572</w:t>
            </w:r>
          </w:p>
        </w:tc>
        <w:tc>
          <w:tcPr>
            <w:tcW w:w="20" w:type="dxa"/>
            <w:vAlign w:val="bottom"/>
          </w:tcPr>
          <w:p>
            <w:pPr>
              <w:spacing w:after="0"/>
              <w:rPr>
                <w:sz w:val="19"/>
                <w:szCs w:val="19"/>
                <w:color w:val="auto"/>
              </w:rPr>
            </w:pPr>
          </w:p>
        </w:tc>
      </w:tr>
      <w:tr>
        <w:trPr>
          <w:trHeight w:val="229"/>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2,766</w:t>
            </w:r>
          </w:p>
        </w:tc>
        <w:tc>
          <w:tcPr>
            <w:tcW w:w="20" w:type="dxa"/>
            <w:vAlign w:val="bottom"/>
            <w:shd w:val="clear" w:color="auto" w:fill="CFF0FC"/>
          </w:tcPr>
          <w:p>
            <w:pPr>
              <w:spacing w:after="0"/>
              <w:rPr>
                <w:sz w:val="19"/>
                <w:szCs w:val="19"/>
                <w:color w:val="auto"/>
              </w:rPr>
            </w:pPr>
          </w:p>
        </w:tc>
      </w:tr>
      <w:tr>
        <w:trPr>
          <w:trHeight w:val="230"/>
        </w:trPr>
        <w:tc>
          <w:tcPr>
            <w:tcW w:w="84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2026 and beyond</w:t>
            </w:r>
          </w:p>
        </w:tc>
        <w:tc>
          <w:tcPr>
            <w:tcW w:w="84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12,746</w:t>
            </w:r>
          </w:p>
        </w:tc>
        <w:tc>
          <w:tcPr>
            <w:tcW w:w="20" w:type="dxa"/>
            <w:vAlign w:val="bottom"/>
            <w:tcBorders>
              <w:bottom w:val="single" w:sz="8" w:color="auto"/>
            </w:tcBorders>
          </w:tcPr>
          <w:p>
            <w:pPr>
              <w:spacing w:after="0"/>
              <w:rPr>
                <w:sz w:val="19"/>
                <w:szCs w:val="19"/>
                <w:color w:val="auto"/>
              </w:rPr>
            </w:pPr>
          </w:p>
        </w:tc>
      </w:tr>
      <w:tr>
        <w:trPr>
          <w:trHeight w:val="223"/>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70,354</w:t>
            </w:r>
          </w:p>
        </w:tc>
        <w:tc>
          <w:tcPr>
            <w:tcW w:w="20" w:type="dxa"/>
            <w:vAlign w:val="bottom"/>
            <w:shd w:val="clear" w:color="auto" w:fill="CFF0FC"/>
          </w:tcPr>
          <w:p>
            <w:pPr>
              <w:spacing w:after="0"/>
              <w:rPr>
                <w:sz w:val="19"/>
                <w:szCs w:val="19"/>
                <w:color w:val="auto"/>
              </w:rPr>
            </w:pPr>
          </w:p>
        </w:tc>
      </w:tr>
      <w:tr>
        <w:trPr>
          <w:trHeight w:val="229"/>
        </w:trPr>
        <w:tc>
          <w:tcPr>
            <w:tcW w:w="84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imputed interest</w:t>
            </w:r>
          </w:p>
        </w:tc>
        <w:tc>
          <w:tcPr>
            <w:tcW w:w="84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(7,108)</w:t>
            </w:r>
          </w:p>
        </w:tc>
        <w:tc>
          <w:tcPr>
            <w:tcW w:w="20" w:type="dxa"/>
            <w:vAlign w:val="bottom"/>
            <w:tcBorders>
              <w:bottom w:val="single" w:sz="8" w:color="auto"/>
            </w:tcBorders>
          </w:tcPr>
          <w:p>
            <w:pPr>
              <w:spacing w:after="0"/>
              <w:rPr>
                <w:sz w:val="19"/>
                <w:szCs w:val="19"/>
                <w:color w:val="auto"/>
              </w:rPr>
            </w:pPr>
          </w:p>
        </w:tc>
      </w:tr>
      <w:tr>
        <w:trPr>
          <w:trHeight w:val="248"/>
        </w:trPr>
        <w:tc>
          <w:tcPr>
            <w:tcW w:w="8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Present value of lease liabilities</w:t>
            </w:r>
          </w:p>
        </w:tc>
        <w:tc>
          <w:tcPr>
            <w:tcW w:w="8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63,246</w:t>
            </w:r>
          </w:p>
        </w:tc>
        <w:tc>
          <w:tcPr>
            <w:tcW w:w="20" w:type="dxa"/>
            <w:vAlign w:val="bottom"/>
            <w:tcBorders>
              <w:bottom w:val="single" w:sz="8" w:color="auto"/>
            </w:tcBorders>
            <w:shd w:val="clear" w:color="auto" w:fill="CFF0FC"/>
          </w:tcPr>
          <w:p>
            <w:pPr>
              <w:spacing w:after="0"/>
              <w:rPr>
                <w:sz w:val="21"/>
                <w:szCs w:val="21"/>
                <w:color w:val="auto"/>
              </w:rPr>
            </w:pPr>
          </w:p>
        </w:tc>
      </w:tr>
      <w:tr>
        <w:trPr>
          <w:trHeight w:val="20"/>
        </w:trPr>
        <w:tc>
          <w:tcPr>
            <w:tcW w:w="84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March 31, 2021, the Company had one additional operating lease that had not yet commenced, which is excluded from the table above. The operating lease will commence in fiscal year 2021 and has $19.0 million of undiscounted future payments with a lease term of 7.8 years. The Company also signed an operating lease in April 2021 that will commence in fiscal year 2021 and has $4.2 million of undiscounted future payments with a lease term of 8.3 years.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Weighted average remaining lease term and discount rate for the Company’s operating leases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60" w:type="dxa"/>
            <w:vAlign w:val="bottom"/>
          </w:tcPr>
          <w:p>
            <w:pPr>
              <w:jc w:val="right"/>
              <w:ind w:right="339"/>
              <w:spacing w:after="0"/>
              <w:rPr>
                <w:sz w:val="20"/>
                <w:szCs w:val="20"/>
                <w:color w:val="auto"/>
              </w:rPr>
            </w:pPr>
            <w:r>
              <w:rPr>
                <w:rFonts w:ascii="Arial" w:cs="Arial" w:eastAsia="Arial" w:hAnsi="Arial"/>
                <w:sz w:val="14"/>
                <w:szCs w:val="14"/>
                <w:b w:val="1"/>
                <w:bCs w:val="1"/>
                <w:color w:val="auto"/>
              </w:rPr>
              <w:t>March 31,</w:t>
            </w:r>
          </w:p>
        </w:tc>
      </w:tr>
      <w:tr>
        <w:trPr>
          <w:trHeight w:val="188"/>
        </w:trPr>
        <w:tc>
          <w:tcPr>
            <w:tcW w:w="4480" w:type="dxa"/>
            <w:vAlign w:val="bottom"/>
          </w:tcPr>
          <w:p>
            <w:pPr>
              <w:spacing w:after="0"/>
              <w:rPr>
                <w:sz w:val="16"/>
                <w:szCs w:val="16"/>
                <w:color w:val="auto"/>
              </w:rPr>
            </w:pPr>
          </w:p>
        </w:tc>
        <w:tc>
          <w:tcPr>
            <w:tcW w:w="6760" w:type="dxa"/>
            <w:vAlign w:val="bottom"/>
            <w:gridSpan w:val="2"/>
          </w:tcPr>
          <w:p>
            <w:pPr>
              <w:jc w:val="right"/>
              <w:ind w:right="499"/>
              <w:spacing w:after="0"/>
              <w:rPr>
                <w:sz w:val="20"/>
                <w:szCs w:val="20"/>
                <w:color w:val="auto"/>
              </w:rPr>
            </w:pPr>
            <w:r>
              <w:rPr>
                <w:rFonts w:ascii="Arial" w:cs="Arial" w:eastAsia="Arial" w:hAnsi="Arial"/>
                <w:sz w:val="14"/>
                <w:szCs w:val="14"/>
                <w:b w:val="1"/>
                <w:bCs w:val="1"/>
                <w:color w:val="auto"/>
              </w:rPr>
              <w:t>2021</w:t>
            </w:r>
          </w:p>
        </w:tc>
      </w:tr>
      <w:tr>
        <w:trPr>
          <w:trHeight w:val="224"/>
        </w:trPr>
        <w:tc>
          <w:tcPr>
            <w:tcW w:w="44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530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4.71 %</w:t>
            </w:r>
          </w:p>
        </w:tc>
      </w:tr>
      <w:tr>
        <w:trPr>
          <w:trHeight w:val="863"/>
        </w:trPr>
        <w:tc>
          <w:tcPr>
            <w:tcW w:w="4480" w:type="dxa"/>
            <w:vAlign w:val="bottom"/>
          </w:tcPr>
          <w:p>
            <w:pPr>
              <w:spacing w:after="0"/>
              <w:rPr>
                <w:sz w:val="24"/>
                <w:szCs w:val="24"/>
                <w:color w:val="auto"/>
              </w:rPr>
            </w:pPr>
          </w:p>
        </w:tc>
        <w:tc>
          <w:tcPr>
            <w:tcW w:w="5300" w:type="dxa"/>
            <w:vAlign w:val="bottom"/>
          </w:tcPr>
          <w:p>
            <w:pPr>
              <w:jc w:val="right"/>
              <w:ind w:right="3976"/>
              <w:spacing w:after="0"/>
              <w:rPr>
                <w:sz w:val="20"/>
                <w:szCs w:val="20"/>
                <w:color w:val="auto"/>
              </w:rPr>
            </w:pPr>
            <w:r>
              <w:rPr>
                <w:rFonts w:ascii="Arial" w:cs="Arial" w:eastAsia="Arial" w:hAnsi="Arial"/>
                <w:sz w:val="18"/>
                <w:szCs w:val="18"/>
                <w:color w:val="auto"/>
              </w:rPr>
              <w:t>15</w:t>
            </w:r>
          </w:p>
        </w:tc>
        <w:tc>
          <w:tcPr>
            <w:tcW w:w="1460" w:type="dxa"/>
            <w:vAlign w:val="bottom"/>
          </w:tcPr>
          <w:p>
            <w:pPr>
              <w:spacing w:after="0"/>
              <w:rPr>
                <w:sz w:val="24"/>
                <w:szCs w:val="24"/>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53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10.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Revenue by location is determined by the billing address of the customer. The following table sets forth revenue by geographic area (in thousands):</w:t>
      </w:r>
    </w:p>
    <w:p>
      <w:pPr>
        <w:spacing w:after="0" w:line="149"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Three Months Ended</w:t>
      </w:r>
    </w:p>
    <w:p>
      <w:pPr>
        <w:jc w:val="center"/>
        <w:ind w:left="83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4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99,382</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55,659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31,866</w:t>
            </w:r>
          </w:p>
        </w:tc>
      </w:tr>
      <w:tr>
        <w:trPr>
          <w:trHeight w:val="248"/>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131,248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Remaining Performance Obligations</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Certain of the Company’s customers pay in advance of satisfaction of performance obligations and other customers with monthly contract terms are billed in arrears on a monthly basis. The Company records contract liabilities to deferred revenue when customers are billed or when the Company receives customer payments in advance of the performance obligations being satisfied on the Company’s contracts.</w:t>
      </w:r>
    </w:p>
    <w:p>
      <w:pPr>
        <w:spacing w:after="0" w:line="16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Revenue recognized during the three months ended March 31, 2021 and 2020, which was included in the deferred revenue balances at the beginning of each such period, was $96.4 million and $68.1 million, respectively.</w:t>
      </w:r>
    </w:p>
    <w:p>
      <w:pPr>
        <w:spacing w:after="0" w:line="17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March 31, 2021 and December 31, 2020, the aggregate transaction price allocated to remaining performance obligations was $464.3 million and $434.1 million, respectively. There is uncertainty in the timing of revenues associated with the Company’s drawdown contracts, as future revenue can often vary significantly from past revenue. However, the Company expects to recognize substantially all of the remaining performance obligations over the next 24 months.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Accounts receivable deemed uncollectible are charged against the allowance for credit losses when identified. During the three months ended March 31, 2021 and 2020, the Company charged $0.2 million and $0.2 million, respectively, of accounts receivable deemed uncollectible against the allowance for credit losses.</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Unbilled accounts receivable represents revenue recognized on contracts for which billings have not yet been presented to customers because the amounts were earned but not contractually billable as of the balance sheet date. The unbilled accounts receivable balance is due within one year. As of March 31, 2021 and December 31, 2020, unbilled accounts receivable of approximately $25.6 million and $20.1 million, respectively, was included in accounts receivable on the Company’s condensed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Sales commissions earned by the Company’s sales force are considered incremental and recoverable costs of obtaining a contract with a customer. These costs are deferred and then amortized over a period of benefit which is determined to be four years. Amounts expected to be recognized within one year of the balance sheet date are recorded as deferred contract costs, current; the remaining portion is recorded as deferred contract costs, non-current, in the condensed consolidated balance sheets.</w:t>
      </w:r>
    </w:p>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Deferred contract costs on the Company’s condensed consolidated balance sheets were $43.3 million and $40.4 million as of March 31, 2021 and December 31, 2020, respectively. Amortization expense was $3.8 million and $2.2 million for the three months ended March 31, 2021 and 2020,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7" w:name="page18"/>
    <w:bookmarkEnd w:id="17"/>
    <w:p>
      <w:pPr>
        <w:ind w:left="500"/>
        <w:spacing w:after="0"/>
        <w:rPr>
          <w:sz w:val="20"/>
          <w:szCs w:val="20"/>
          <w:color w:val="auto"/>
        </w:rPr>
      </w:pPr>
      <w:r>
        <w:rPr>
          <w:rFonts w:ascii="Arial" w:cs="Arial" w:eastAsia="Arial" w:hAnsi="Arial"/>
          <w:sz w:val="18"/>
          <w:szCs w:val="18"/>
          <w:color w:val="auto"/>
        </w:rPr>
        <w:t>The following table represents a rollforward of the Company’s deferred contract costs (in thousands):</w:t>
      </w:r>
    </w:p>
    <w:p>
      <w:pPr>
        <w:spacing w:after="0" w:line="136" w:lineRule="exact"/>
        <w:rPr>
          <w:sz w:val="20"/>
          <w:szCs w:val="20"/>
          <w:color w:val="auto"/>
        </w:rPr>
      </w:pPr>
    </w:p>
    <w:p>
      <w:pPr>
        <w:jc w:val="right"/>
        <w:ind w:right="440"/>
        <w:spacing w:after="0"/>
        <w:rPr>
          <w:sz w:val="20"/>
          <w:szCs w:val="20"/>
          <w:color w:val="auto"/>
        </w:rPr>
      </w:pPr>
      <w:r>
        <w:rPr>
          <w:rFonts w:ascii="Arial" w:cs="Arial" w:eastAsia="Arial" w:hAnsi="Arial"/>
          <w:sz w:val="14"/>
          <w:szCs w:val="14"/>
          <w:b w:val="1"/>
          <w:bCs w:val="1"/>
          <w:color w:val="auto"/>
        </w:rPr>
        <w:t>Amount</w:t>
      </w:r>
    </w:p>
    <w:p>
      <w:pPr>
        <w:sectPr>
          <w:pgSz w:w="11900" w:h="16838" w:orient="portrait"/>
          <w:cols w:equalWidth="0" w:num="1">
            <w:col w:w="11240"/>
          </w:cols>
          <w:pgMar w:left="320" w:top="1111" w:right="339" w:bottom="1440" w:gutter="0" w:footer="0" w:header="0"/>
        </w:sectPr>
      </w:pP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Additions to deferred contract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deferred contract costs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March 31,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A and Class B Common Stock</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740" w:hanging="732"/>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40,388</w:t>
      </w:r>
    </w:p>
    <w:p>
      <w:pPr>
        <w:spacing w:after="0" w:line="34" w:lineRule="exact"/>
        <w:rPr>
          <w:rFonts w:ascii="Arial" w:cs="Arial" w:eastAsia="Arial" w:hAnsi="Arial"/>
          <w:sz w:val="17"/>
          <w:szCs w:val="17"/>
          <w:color w:val="auto"/>
        </w:rPr>
      </w:pPr>
    </w:p>
    <w:p>
      <w:pPr>
        <w:ind w:left="840"/>
        <w:spacing w:after="0"/>
        <w:rPr>
          <w:rFonts w:ascii="Arial" w:cs="Arial" w:eastAsia="Arial" w:hAnsi="Arial"/>
          <w:sz w:val="17"/>
          <w:szCs w:val="17"/>
          <w:color w:val="auto"/>
        </w:rPr>
      </w:pPr>
      <w:r>
        <w:rPr>
          <w:rFonts w:ascii="Arial" w:cs="Arial" w:eastAsia="Arial" w:hAnsi="Arial"/>
          <w:sz w:val="17"/>
          <w:szCs w:val="17"/>
          <w:color w:val="auto"/>
        </w:rPr>
        <w:t>6,711</w:t>
      </w:r>
    </w:p>
    <w:p>
      <w:pPr>
        <w:spacing w:after="0" w:line="34"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(3,779)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8401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5" w:lineRule="exact"/>
        <w:rPr>
          <w:sz w:val="20"/>
          <w:szCs w:val="20"/>
          <w:color w:val="auto"/>
        </w:rPr>
      </w:pPr>
    </w:p>
    <w:p>
      <w:pPr>
        <w:ind w:left="740" w:hanging="732"/>
        <w:spacing w:after="0"/>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43,320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22225</wp:posOffset>
            </wp:positionV>
            <wp:extent cx="8401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47625</wp:posOffset>
            </wp:positionV>
            <wp:extent cx="8401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1187" w:lineRule="exact"/>
        <w:rPr>
          <w:sz w:val="20"/>
          <w:szCs w:val="20"/>
          <w:color w:val="auto"/>
        </w:rPr>
      </w:pPr>
    </w:p>
    <w:p>
      <w:pPr>
        <w:sectPr>
          <w:pgSz w:w="11900" w:h="16838" w:orient="portrait"/>
          <w:cols w:equalWidth="0" w:num="2">
            <w:col w:w="9180" w:space="720"/>
            <w:col w:w="1340"/>
          </w:cols>
          <w:pgMar w:left="320" w:top="1111" w:right="339" w:bottom="1440" w:gutter="0" w:footer="0" w:header="0"/>
          <w:type w:val="continuous"/>
        </w:sectPr>
      </w:pPr>
    </w:p>
    <w:p>
      <w:pPr>
        <w:spacing w:after="0" w:line="48"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Company has two classes of common stock, Class A and Class B. The rights of the holders of Class A and Class B common stock are identical, except with respect to voting and conversion. Each share of Class A common stock is entitled to one vote per share and each share of Class B common stock is entitled to ten votes per share. Shares of Class B common stock may be converted into Class A common stock at any time at the option of the stockholder, and are automatically converted upon the sale or transfer to Class A common stock, subject to certain limited exceptions.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During the three months ended March 31, 2021, 13,014,453 shares of Class B common stock were converted into Class A common stock.</w:t>
      </w:r>
    </w:p>
    <w:p>
      <w:pPr>
        <w:spacing w:after="0" w:line="23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March 31, 2021, the Company had authorized 2,000,000,000 shares of Class A common stock and 310,000,000 shares of Class B common stock, each at a par value per share of $0.00001, of which 232,419,196 shares of Class A common stock and 75,385,154 shares of Class B common stock were issued and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jc w:val="both"/>
        <w:ind w:firstLine="486"/>
        <w:spacing w:after="0" w:line="292" w:lineRule="auto"/>
        <w:rPr>
          <w:sz w:val="20"/>
          <w:szCs w:val="20"/>
          <w:color w:val="auto"/>
        </w:rPr>
      </w:pPr>
      <w:r>
        <w:rPr>
          <w:rFonts w:ascii="Arial" w:cs="Arial" w:eastAsia="Arial" w:hAnsi="Arial"/>
          <w:sz w:val="16"/>
          <w:szCs w:val="16"/>
          <w:color w:val="auto"/>
        </w:rPr>
        <w:t>The Company has two equity incentive plans, the 2012 equity incentive plan (the “2012 Plan”) and the 2019 equity incentive plan (the “2019 Plan”). In connection with the IPO, the Company ceased granting awards under the 2012 Plan, and all shares that remained available for issuance under the 2012 Plan at that time were transferred to the 2019 Plan. Under the 2019 Plan, the Board and any other committee or subcommittee of the Board may grant stock options, stock appreciation rights (“SARs”), restricted stock awards (“RSAs”), restricted stock units (“RSUs”), and performance-based and other awards, each valued or based on the Company’s Class A common stock, to employees, consultants, and advisors of the Company. As of March 31, 2021,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there were 57,863,748 shares available for grant under the 2019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stock option activity and weighted-average exercise prices: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Number Of</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81"/>
              <w:spacing w:after="0"/>
              <w:rPr>
                <w:sz w:val="20"/>
                <w:szCs w:val="20"/>
                <w:color w:val="auto"/>
              </w:rPr>
            </w:pPr>
            <w:r>
              <w:rPr>
                <w:rFonts w:ascii="Arial" w:cs="Arial" w:eastAsia="Arial" w:hAnsi="Arial"/>
                <w:sz w:val="14"/>
                <w:szCs w:val="14"/>
                <w:b w:val="1"/>
                <w:bCs w:val="1"/>
                <w:color w:val="auto"/>
                <w:w w:val="92"/>
              </w:rPr>
              <w:t>Aggregate</w:t>
            </w:r>
          </w:p>
        </w:tc>
      </w:tr>
      <w:tr>
        <w:trPr>
          <w:trHeight w:val="162"/>
        </w:trPr>
        <w:tc>
          <w:tcPr>
            <w:tcW w:w="558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81"/>
              <w:spacing w:after="0"/>
              <w:rPr>
                <w:sz w:val="20"/>
                <w:szCs w:val="20"/>
                <w:color w:val="auto"/>
              </w:rPr>
            </w:pPr>
            <w:r>
              <w:rPr>
                <w:rFonts w:ascii="Arial" w:cs="Arial" w:eastAsia="Arial" w:hAnsi="Arial"/>
                <w:sz w:val="14"/>
                <w:szCs w:val="14"/>
                <w:b w:val="1"/>
                <w:bCs w:val="1"/>
                <w:color w:val="auto"/>
                <w:w w:val="96"/>
              </w:rPr>
              <w:t>Intrinsic Value</w:t>
            </w:r>
          </w:p>
        </w:tc>
      </w:tr>
      <w:tr>
        <w:trPr>
          <w:trHeight w:val="186"/>
        </w:trPr>
        <w:tc>
          <w:tcPr>
            <w:tcW w:w="558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81"/>
              <w:spacing w:after="0"/>
              <w:rPr>
                <w:sz w:val="20"/>
                <w:szCs w:val="20"/>
                <w:color w:val="auto"/>
              </w:rPr>
            </w:pPr>
            <w:r>
              <w:rPr>
                <w:rFonts w:ascii="Arial" w:cs="Arial" w:eastAsia="Arial" w:hAnsi="Arial"/>
                <w:sz w:val="14"/>
                <w:szCs w:val="14"/>
                <w:b w:val="1"/>
                <w:bCs w:val="1"/>
                <w:color w:val="auto"/>
                <w:w w:val="91"/>
              </w:rPr>
              <w:t>(in thousands)</w:t>
            </w:r>
          </w:p>
        </w:tc>
      </w:tr>
      <w:tr>
        <w:trPr>
          <w:trHeight w:val="25"/>
        </w:trPr>
        <w:tc>
          <w:tcPr>
            <w:tcW w:w="558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outstanding—December 31, 2020</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27,068,323</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8"/>
                <w:szCs w:val="18"/>
                <w:color w:val="auto"/>
              </w:rPr>
              <w:t>2,575,069</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exercised</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(1,320,113)</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Options forfeited or expired</w:t>
            </w:r>
          </w:p>
        </w:tc>
        <w:tc>
          <w:tcPr>
            <w:tcW w:w="1320" w:type="dxa"/>
            <w:vAlign w:val="bottom"/>
          </w:tcPr>
          <w:p>
            <w:pPr>
              <w:jc w:val="right"/>
              <w:spacing w:after="0"/>
              <w:rPr>
                <w:sz w:val="20"/>
                <w:szCs w:val="20"/>
                <w:color w:val="auto"/>
              </w:rPr>
            </w:pPr>
            <w:r>
              <w:rPr>
                <w:rFonts w:ascii="Arial" w:cs="Arial" w:eastAsia="Arial" w:hAnsi="Arial"/>
                <w:sz w:val="18"/>
                <w:szCs w:val="18"/>
                <w:color w:val="auto"/>
              </w:rPr>
              <w:t>(96,151)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58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1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2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160" w:type="dxa"/>
            <w:vAlign w:val="bottom"/>
            <w:tcBorders>
              <w:bottom w:val="single" w:sz="8" w:color="CFF0FC"/>
            </w:tcBorders>
          </w:tcPr>
          <w:p>
            <w:pPr>
              <w:spacing w:after="0"/>
              <w:rPr>
                <w:sz w:val="2"/>
                <w:szCs w:val="2"/>
                <w:color w:val="auto"/>
              </w:rPr>
            </w:pPr>
          </w:p>
        </w:tc>
      </w:tr>
      <w:tr>
        <w:trPr>
          <w:trHeight w:val="288"/>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outstanding—March 31, 2021</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25,652,059</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8"/>
                <w:szCs w:val="18"/>
                <w:color w:val="auto"/>
              </w:rPr>
              <w:t>2,052,059</w:t>
            </w:r>
          </w:p>
        </w:tc>
      </w:tr>
      <w:tr>
        <w:trPr>
          <w:trHeight w:val="20"/>
        </w:trPr>
        <w:tc>
          <w:tcPr>
            <w:tcW w:w="558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5580" w:type="dxa"/>
            <w:vAlign w:val="bottom"/>
          </w:tcPr>
          <w:p>
            <w:pPr>
              <w:ind w:left="20"/>
              <w:spacing w:after="0" w:line="203" w:lineRule="exact"/>
              <w:rPr>
                <w:sz w:val="20"/>
                <w:szCs w:val="20"/>
                <w:color w:val="auto"/>
              </w:rPr>
            </w:pPr>
            <w:r>
              <w:rPr>
                <w:rFonts w:ascii="Arial" w:cs="Arial" w:eastAsia="Arial" w:hAnsi="Arial"/>
                <w:sz w:val="18"/>
                <w:szCs w:val="18"/>
                <w:color w:val="auto"/>
              </w:rPr>
              <w:t>Exercisable—March 31, 2021</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16,917,990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55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March 31, 2021, there were 34,351 shares of Class A common stock and 25,617,708 shares of Class B common stock issuable upon the exercise of options outstanding. As of December 31, 2020, there were 34,759 shares of Class A common stock and 27,033,564 shares of Class B common stock issuable upon the exercise of options outstanding.</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Total compensation cost related to unvested awards not yet recognized was approximately $53.5 million and $60.6 million as of March 31, 2021 and December 31, 2020, respectively. The weighted-average period over which this compensation</w:t>
      </w:r>
    </w:p>
    <w:p>
      <w:pPr>
        <w:sectPr>
          <w:pgSz w:w="11900" w:h="16838" w:orient="portrait"/>
          <w:cols w:equalWidth="0" w:num="1">
            <w:col w:w="11240"/>
          </w:cols>
          <w:pgMar w:left="320" w:top="1111" w:right="33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color w:val="auto"/>
        </w:rPr>
        <w:t>cost related to unvested employee awards will be recognized is 1.9 years and 2.0 years as of March 31, 2021 and December 31, 2020, respectively.</w:t>
      </w:r>
    </w:p>
    <w:p>
      <w:pPr>
        <w:spacing w:after="0" w:line="23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There were no options granted during the three months ended March 31, 2021. The weighted-average grant-date fair value of options granted during the three months ended March 31, 2020 was $16.55. The Company received approximately $3.3 million and $2.8 million in cash proceeds from options exercised during the three months ended March 31, 2021 and 2020, respectively. The intrinsic value of options exercised during the three months ended March 31, 2021 and 2020 was approximately $123.6 million and $86.5 million, respectively. The aggregate fair value of options vested during the three months ended March 31, 2021 and 2020 was $7.4 million and $3.8 million, respectively.</w:t>
      </w:r>
    </w:p>
    <w:p>
      <w:pPr>
        <w:spacing w:after="0" w:line="17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Common stock purchased pursuant to an early exercise of stock options is not deemed to be outstanding for accounting purposes until those shares vest. The consideration received for an exercise of an option is considered to be a deposit of the exercise price and the related dollar amount is recorded as a liability. The shares issued upon the early exercise of these unvested stock option awards, which are reflected as exercises in the table above, are considered to be legally issued and outstanding on the date of exercise. Upon termination of service, the Company may repurchase unvested shares acquired through early exercise of stock options at a price equal to the price per share paid upon the exercise of such options. The Company has recorded liabilities related to early exercises of 238,500 shares of common stock and 438,750 shares of common stock as of March 31, 2021 and December 31, 2020,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activity for the Company’s unvested RSUs: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Weighted-</w:t>
            </w:r>
          </w:p>
        </w:tc>
      </w:tr>
      <w:tr>
        <w:trPr>
          <w:trHeight w:val="162"/>
        </w:trPr>
        <w:tc>
          <w:tcPr>
            <w:tcW w:w="8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Average Fair</w:t>
            </w:r>
          </w:p>
        </w:tc>
      </w:tr>
      <w:tr>
        <w:trPr>
          <w:trHeight w:val="186"/>
        </w:trPr>
        <w:tc>
          <w:tcPr>
            <w:tcW w:w="8440" w:type="dxa"/>
            <w:vAlign w:val="bottom"/>
          </w:tcPr>
          <w:p>
            <w:pPr>
              <w:spacing w:after="0"/>
              <w:rPr>
                <w:sz w:val="16"/>
                <w:szCs w:val="16"/>
                <w:color w:val="auto"/>
              </w:rPr>
            </w:pPr>
          </w:p>
        </w:tc>
        <w:tc>
          <w:tcPr>
            <w:tcW w:w="144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14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Value</w:t>
            </w:r>
          </w:p>
        </w:tc>
      </w:tr>
      <w:tr>
        <w:trPr>
          <w:trHeight w:val="26"/>
        </w:trPr>
        <w:tc>
          <w:tcPr>
            <w:tcW w:w="844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Balance—December 31, 2020</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5,166,720</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59.50</w:t>
            </w: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Awarded</w:t>
            </w:r>
          </w:p>
        </w:tc>
        <w:tc>
          <w:tcPr>
            <w:tcW w:w="1320" w:type="dxa"/>
            <w:vAlign w:val="bottom"/>
          </w:tcPr>
          <w:p>
            <w:pPr>
              <w:jc w:val="right"/>
              <w:spacing w:after="0"/>
              <w:rPr>
                <w:sz w:val="20"/>
                <w:szCs w:val="20"/>
                <w:color w:val="auto"/>
              </w:rPr>
            </w:pPr>
            <w:r>
              <w:rPr>
                <w:rFonts w:ascii="Arial" w:cs="Arial" w:eastAsia="Arial" w:hAnsi="Arial"/>
                <w:sz w:val="18"/>
                <w:szCs w:val="18"/>
                <w:color w:val="auto"/>
              </w:rPr>
              <w:t>387,107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92.15</w:t>
            </w:r>
          </w:p>
        </w:tc>
      </w:tr>
      <w:tr>
        <w:trPr>
          <w:trHeight w:val="27"/>
        </w:trPr>
        <w:tc>
          <w:tcPr>
            <w:tcW w:w="8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(348,352)</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40.82</w:t>
            </w: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Forfeited/canceled</w:t>
            </w:r>
          </w:p>
        </w:tc>
        <w:tc>
          <w:tcPr>
            <w:tcW w:w="1320" w:type="dxa"/>
            <w:vAlign w:val="bottom"/>
          </w:tcPr>
          <w:p>
            <w:pPr>
              <w:jc w:val="right"/>
              <w:spacing w:after="0"/>
              <w:rPr>
                <w:sz w:val="20"/>
                <w:szCs w:val="20"/>
                <w:color w:val="auto"/>
              </w:rPr>
            </w:pPr>
            <w:r>
              <w:rPr>
                <w:rFonts w:ascii="Arial" w:cs="Arial" w:eastAsia="Arial" w:hAnsi="Arial"/>
                <w:sz w:val="18"/>
                <w:szCs w:val="18"/>
                <w:color w:val="auto"/>
              </w:rPr>
              <w:t>(63,269)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50.91</w:t>
            </w:r>
          </w:p>
        </w:tc>
      </w:tr>
      <w:tr>
        <w:trPr>
          <w:trHeight w:val="27"/>
        </w:trPr>
        <w:tc>
          <w:tcPr>
            <w:tcW w:w="844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1140" w:type="dxa"/>
            <w:vAlign w:val="bottom"/>
            <w:tcBorders>
              <w:bottom w:val="single" w:sz="8" w:color="CFF0FC"/>
            </w:tcBorders>
          </w:tcPr>
          <w:p>
            <w:pPr>
              <w:spacing w:after="0"/>
              <w:rPr>
                <w:sz w:val="2"/>
                <w:szCs w:val="2"/>
                <w:color w:val="auto"/>
              </w:rPr>
            </w:pPr>
          </w:p>
        </w:tc>
      </w:tr>
      <w:tr>
        <w:trPr>
          <w:trHeight w:val="288"/>
        </w:trPr>
        <w:tc>
          <w:tcPr>
            <w:tcW w:w="8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and outstanding—March 31, 2021</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5,142,206</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63.33</w:t>
            </w:r>
          </w:p>
        </w:tc>
      </w:tr>
      <w:tr>
        <w:trPr>
          <w:trHeight w:val="20"/>
        </w:trPr>
        <w:tc>
          <w:tcPr>
            <w:tcW w:w="84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Company granted 244,445, 96,210 and 117,538 restricted shares of Class A common stock in November 2019, June 2020 and February 2021, respectively, which are subject to service-based vesting conditions over approximately four years. Total compensation cost related to unvested RSUs and restricted shares of common stock not yet recognized was approximately $298.1 million and $281.5 million as of March 31, 2021 and December 31, 2020, respectively. The weighted-average period over which this compensation cost related to unvested RSUs and restricted shares will be recognized is 3.2 years and 3.4 years as of March 31, 2021 and December 31, 2020,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September 2019, the Board adopted and approved the 2019 Employee Stock Purchase Plan (the “ESPP”), which became effective on the date of the final prospectus for the Company’s IPO (the “Final Prospectus”). As of March 31, 2021, 12,281,683 shares of Class A common stock remain available for grant under the ESPP.</w:t>
      </w:r>
    </w:p>
    <w:p>
      <w:pPr>
        <w:spacing w:after="0" w:line="18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ESPP is implemented through a series of offerings under which eligible employees are granted purchase rights to purchase shares of the Company’s Class A common stock on specified dates during such offerings. Under the ESPP, the Company may specify offerings with durations of not more than 27 months, and may specify shorter purchase periods within each offering. On each purchase date, eligible employees will purchase the shares at a price per share equal to 85% of the lesser of (1) the fair market value of the Company’s Class A common stock on the first trading day of the offering period, or (2) the fair market value of the Company’s Class A common stock on the purchase date, as defined in the ESPP.</w:t>
      </w:r>
    </w:p>
    <w:p>
      <w:pPr>
        <w:spacing w:after="0" w:line="1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recognized $1.6 million of stock-based compensation expense related to the ESPP during the three months ended March 31, 2021. As of March 31, 2021, $7.8 million has been withheld on behalf of employees for a future purchase under the ESPP due to the timing of payroll deductions. There were no purchases related to the ESPP in the three months ended March 31, 2021 and 2020.</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Company uses the Black-Scholes option-pricing model to estimate the fair value of stock options on the date of grant. The Company recognizes and measures compensation expense for all stock-based payment awards granted to employees, directors, and nonemployees based on the fair value of the awards on the date of grant. The determination of the grant date fair value using an option-pricing model is affected by the estimated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RSUs is determined by the closing price on the date of grant of the Company’s Class A common stock, as reported on the Nasdaq Global Select Market. The Company estimates the fair value of the rights to acquire stock under the ESPP using the Black-Scholes option-pricing model. Stock-based compensation is recognized on a straight-line basis over the requisite service period and account for forfeitures as they occur.</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Stock-based compensation expense was included in the condensed consolidated statement of operations as follows (in thousands):</w:t>
      </w:r>
    </w:p>
    <w:p>
      <w:pPr>
        <w:spacing w:after="0" w:line="149"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22225</wp:posOffset>
            </wp:positionV>
            <wp:extent cx="17487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6"/>
        </w:trPr>
        <w:tc>
          <w:tcPr>
            <w:tcW w:w="848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231</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5,847</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7,010</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3,074</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2,908</w:t>
            </w:r>
          </w:p>
        </w:tc>
      </w:tr>
      <w:tr>
        <w:trPr>
          <w:trHeight w:val="27"/>
        </w:trPr>
        <w:tc>
          <w:tcPr>
            <w:tcW w:w="848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4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Stock-based compensation, net of amounts capitalized</w:t>
            </w:r>
          </w:p>
        </w:tc>
        <w:tc>
          <w:tcPr>
            <w:tcW w:w="32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28,861</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12,060</w:t>
            </w:r>
          </w:p>
        </w:tc>
      </w:tr>
      <w:tr>
        <w:trPr>
          <w:trHeight w:val="237"/>
        </w:trPr>
        <w:tc>
          <w:tcPr>
            <w:tcW w:w="8480" w:type="dxa"/>
            <w:vAlign w:val="bottom"/>
          </w:tcPr>
          <w:p>
            <w:pPr>
              <w:ind w:left="20"/>
              <w:spacing w:after="0"/>
              <w:rPr>
                <w:sz w:val="20"/>
                <w:szCs w:val="20"/>
                <w:color w:val="auto"/>
              </w:rPr>
            </w:pPr>
            <w:r>
              <w:rPr>
                <w:rFonts w:ascii="Arial" w:cs="Arial" w:eastAsia="Arial" w:hAnsi="Arial"/>
                <w:sz w:val="18"/>
                <w:szCs w:val="18"/>
                <w:color w:val="auto"/>
              </w:rPr>
              <w:t>Capitalized stock-based compensation expense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848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31,014</w:t>
            </w:r>
          </w:p>
        </w:tc>
        <w:tc>
          <w:tcPr>
            <w:tcW w:w="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12,163</w:t>
            </w: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11" w:right="339" w:bottom="144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Interest Income and Other Income, Net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income and other income, net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income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96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income and other income, net</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22225</wp:posOffset>
            </wp:positionV>
            <wp:extent cx="17487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3" w:lineRule="exact"/>
        <w:rPr>
          <w:sz w:val="20"/>
          <w:szCs w:val="20"/>
          <w:color w:val="auto"/>
        </w:rPr>
      </w:pPr>
    </w:p>
    <w:p>
      <w:pPr>
        <w:ind w:left="500"/>
        <w:spacing w:after="0"/>
        <w:tabs>
          <w:tab w:leader="none" w:pos="19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77" w:lineRule="exact"/>
        <w:rPr>
          <w:sz w:val="20"/>
          <w:szCs w:val="20"/>
          <w:color w:val="auto"/>
        </w:rPr>
      </w:pPr>
    </w:p>
    <w:p>
      <w:pPr>
        <w:spacing w:after="0"/>
        <w:tabs>
          <w:tab w:leader="none" w:pos="820" w:val="left"/>
          <w:tab w:leader="none" w:pos="1420" w:val="left"/>
          <w:tab w:leader="none" w:pos="2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5,898</w:t>
        <w:tab/>
        <w:t>$</w:t>
      </w:r>
      <w:r>
        <w:rPr>
          <w:sz w:val="20"/>
          <w:szCs w:val="20"/>
          <w:color w:val="auto"/>
        </w:rPr>
        <w:tab/>
      </w:r>
      <w:r>
        <w:rPr>
          <w:rFonts w:ascii="Arial" w:cs="Arial" w:eastAsia="Arial" w:hAnsi="Arial"/>
          <w:sz w:val="15"/>
          <w:szCs w:val="15"/>
          <w:color w:val="auto"/>
        </w:rPr>
        <w:t>3,778</w:t>
      </w:r>
    </w:p>
    <w:p>
      <w:pPr>
        <w:spacing w:after="0" w:line="63" w:lineRule="exact"/>
        <w:rPr>
          <w:sz w:val="20"/>
          <w:szCs w:val="20"/>
          <w:color w:val="auto"/>
        </w:rPr>
      </w:pPr>
    </w:p>
    <w:p>
      <w:pPr>
        <w:ind w:left="2320" w:hanging="1428"/>
        <w:spacing w:after="0"/>
        <w:tabs>
          <w:tab w:leader="none" w:pos="2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(175)</w:t>
      </w:r>
    </w:p>
    <w:p>
      <w:pPr>
        <w:spacing w:after="0" w:line="88" w:lineRule="exact"/>
        <w:rPr>
          <w:sz w:val="20"/>
          <w:szCs w:val="20"/>
          <w:color w:val="auto"/>
        </w:rPr>
      </w:pPr>
    </w:p>
    <w:p>
      <w:pPr>
        <w:spacing w:after="0"/>
        <w:tabs>
          <w:tab w:leader="none" w:pos="820" w:val="left"/>
          <w:tab w:leader="none" w:pos="1420" w:val="left"/>
          <w:tab w:leader="none" w:pos="2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5,773</w:t>
        <w:tab/>
        <w:t>$</w:t>
      </w:r>
      <w:r>
        <w:rPr>
          <w:sz w:val="20"/>
          <w:szCs w:val="20"/>
          <w:color w:val="auto"/>
        </w:rPr>
        <w:tab/>
      </w:r>
      <w:r>
        <w:rPr>
          <w:rFonts w:ascii="Arial" w:cs="Arial" w:eastAsia="Arial" w:hAnsi="Arial"/>
          <w:sz w:val="15"/>
          <w:szCs w:val="15"/>
          <w:color w:val="auto"/>
        </w:rPr>
        <w:t>3,603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17487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803" w:lineRule="exact"/>
        <w:rPr>
          <w:sz w:val="20"/>
          <w:szCs w:val="20"/>
          <w:color w:val="auto"/>
        </w:rPr>
      </w:pPr>
    </w:p>
    <w:p>
      <w:pPr>
        <w:sectPr>
          <w:pgSz w:w="11900" w:h="16838" w:orient="portrait"/>
          <w:cols w:equalWidth="0" w:num="2">
            <w:col w:w="7780" w:space="720"/>
            <w:col w:w="2740"/>
          </w:cols>
          <w:pgMar w:left="320" w:top="1111" w:right="339" w:bottom="1440" w:gutter="0" w:footer="0" w:header="0"/>
          <w:type w:val="continuous"/>
        </w:sectPr>
      </w:pPr>
    </w:p>
    <w:p>
      <w:pPr>
        <w:spacing w:after="0" w:line="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has an effective tax rate of (4.3)% and 2.9% for the three months ended March 31, 2021 and 2020, respectively. The Company has incurred U.S. operating losses and has minimal profits in its foreign jurisdictions.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The Company has applied ASC 740, </w:t>
      </w:r>
      <w:r>
        <w:rPr>
          <w:rFonts w:ascii="Arial" w:cs="Arial" w:eastAsia="Arial" w:hAnsi="Arial"/>
          <w:sz w:val="16"/>
          <w:szCs w:val="16"/>
          <w:i w:val="1"/>
          <w:iCs w:val="1"/>
          <w:color w:val="auto"/>
        </w:rPr>
        <w:t>Income Taxes</w:t>
      </w:r>
      <w:r>
        <w:rPr>
          <w:rFonts w:ascii="Arial" w:cs="Arial" w:eastAsia="Arial" w:hAnsi="Arial"/>
          <w:sz w:val="16"/>
          <w:szCs w:val="16"/>
          <w:color w:val="auto"/>
        </w:rPr>
        <w:t>, and has determined that it has uncertain positions that would result in a tax reserve deemed</w:t>
      </w:r>
    </w:p>
    <w:p>
      <w:pPr>
        <w:spacing w:after="0" w:line="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immaterial for each of the three months ended March 31, 2021 and 2020. The Company’s policy is to recognize interest and penalties related to uncertain tax positions in income tax expense. The Company is subject to U.S. federal tax authority, U.S. state tax authority and foreign tax authority examinations.</w:t>
      </w:r>
    </w:p>
    <w:p>
      <w:pPr>
        <w:spacing w:after="0" w:line="124" w:lineRule="exact"/>
        <w:rPr>
          <w:sz w:val="20"/>
          <w:szCs w:val="20"/>
          <w:color w:val="auto"/>
        </w:rPr>
      </w:pPr>
    </w:p>
    <w:p>
      <w:pPr>
        <w:jc w:val="both"/>
        <w:ind w:firstLine="486"/>
        <w:spacing w:after="0" w:line="241"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Accounting for Convertible Instruments and Contracts in an Entity’s Own Equity</w:t>
      </w:r>
      <w:r>
        <w:rPr>
          <w:rFonts w:ascii="Arial" w:cs="Arial" w:eastAsia="Arial" w:hAnsi="Arial"/>
          <w:sz w:val="18"/>
          <w:szCs w:val="18"/>
          <w:color w:val="auto"/>
        </w:rPr>
        <w:t xml:space="preserve"> (“ASU No. 2020-06”), which simplifies the accounting for certain financial instruments with characteristics of liabilities and equity, including convertible instruments and contracts in an entity's own equity. The Company chose to early adopt ASU No. 2020-06 on January 1, 2021, using the modified retrospective basis. See Note 2, </w:t>
      </w:r>
      <w:r>
        <w:rPr>
          <w:rFonts w:ascii="Arial" w:cs="Arial" w:eastAsia="Arial" w:hAnsi="Arial"/>
          <w:sz w:val="18"/>
          <w:szCs w:val="18"/>
          <w:i w:val="1"/>
          <w:iCs w:val="1"/>
          <w:color w:val="auto"/>
        </w:rPr>
        <w:t>Basis of Presentation and Summary of Significant Accounting Policies—Accounting Policies Recently Adopted</w:t>
      </w:r>
      <w:r>
        <w:rPr>
          <w:rFonts w:ascii="Arial" w:cs="Arial" w:eastAsia="Arial" w:hAnsi="Arial"/>
          <w:sz w:val="18"/>
          <w:szCs w:val="18"/>
          <w:color w:val="auto"/>
        </w:rPr>
        <w:t xml:space="preserve"> for more information. The early adoption resulted in no material tax impact.</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20" w:name="page21"/>
    <w:bookmarkEnd w:id="20"/>
    <w:p>
      <w:pPr>
        <w:jc w:val="both"/>
        <w:ind w:firstLine="486"/>
        <w:spacing w:after="0" w:line="275" w:lineRule="auto"/>
        <w:rPr>
          <w:sz w:val="20"/>
          <w:szCs w:val="20"/>
          <w:color w:val="auto"/>
        </w:rPr>
      </w:pPr>
      <w:r>
        <w:rPr>
          <w:rFonts w:ascii="Arial" w:cs="Arial" w:eastAsia="Arial" w:hAnsi="Arial"/>
          <w:sz w:val="17"/>
          <w:szCs w:val="17"/>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Due to uncertainties surrounding the realization of the deferred tax assets, the Company recorded a full valuation allowance against substantially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7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On December 21, 2020, Congress passed the Consolidated Appropriations Act, 2021. The act includes the Taxpayer Certainty and Disaster Tax Relief Act of 2020 and the COVID-related Tax Relief Act of 2020, both of which extend many credits and other COVID-19 relief, among other extenders. The Company evaluated the provisions of the Consolidated Appropriations Act, including but not limited to the Employee Retention Credit extension, the extension for the IRC Section 45S credit for paid family and medical leave, and the provision allowing a full deduction for certain business meals, and determined that there was no material impact for the three months ended March 31, 2021.</w:t>
      </w:r>
    </w:p>
    <w:p>
      <w:pPr>
        <w:spacing w:after="0" w:line="1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March 11, 2021, the American Rescue Plan was enacted, which extends the period companies can claim an Employee Retention Credit, extends the IRC Section 162(m) limit on deductions for publicly traded companies, and repeals the election that allows US affiliate groups to allocate interest expense on a worldwide basis, among other provisions. The Company reviewed the provisions of the new law and determined it has no material impact for the three months ended March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Income Per Share</w:t>
      </w:r>
    </w:p>
    <w:p>
      <w:pPr>
        <w:spacing w:after="0" w:line="229" w:lineRule="exact"/>
        <w:rPr>
          <w:sz w:val="20"/>
          <w:szCs w:val="20"/>
          <w:color w:val="auto"/>
        </w:rPr>
      </w:pPr>
    </w:p>
    <w:p>
      <w:pPr>
        <w:jc w:val="both"/>
        <w:ind w:right="20" w:firstLine="486"/>
        <w:spacing w:after="0" w:line="311" w:lineRule="auto"/>
        <w:rPr>
          <w:sz w:val="20"/>
          <w:szCs w:val="20"/>
          <w:color w:val="auto"/>
        </w:rPr>
      </w:pPr>
      <w:r>
        <w:rPr>
          <w:rFonts w:ascii="Arial" w:cs="Arial" w:eastAsia="Arial" w:hAnsi="Arial"/>
          <w:sz w:val="16"/>
          <w:szCs w:val="16"/>
          <w:color w:val="auto"/>
        </w:rPr>
        <w:t>Basic and diluted net (loss) income per common share is presented in conformity with the two-class method required for participating securities. Immediately prior to the consummation of the Company’s IPO in September 2019, all outstanding shares of convertible preferred stock and common stock were converted into shares of Class B common stock. As a result, Class A and Class B common stock are the only outstanding equity in the Company.</w:t>
      </w:r>
    </w:p>
    <w:p>
      <w:pPr>
        <w:spacing w:after="0" w:line="14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Basic and diluted net (loss) income per share is computed using the weighted-average number of shares of common stock outstanding during the period. The undistributed earnings are allocated based on the contractual participation rights of the Class A and Class B common stock as if the earnings for the year have been distributed. As the liquidation and dividend rights are identical, the undistributed earnings are allocated on a proportionate basis. Further, as the conversion of Class B common stock is assumed in the computation of the diluted net (loss) income per share of Class A common stock, the undistributed earnings are equal to net (loss) income for that computation.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1" w:name="page22"/>
    <w:bookmarkEnd w:id="21"/>
    <w:p>
      <w:pPr>
        <w:ind w:left="500"/>
        <w:spacing w:after="0"/>
        <w:rPr>
          <w:sz w:val="20"/>
          <w:szCs w:val="20"/>
          <w:color w:val="auto"/>
        </w:rPr>
      </w:pPr>
      <w:r>
        <w:rPr>
          <w:rFonts w:ascii="Arial" w:cs="Arial" w:eastAsia="Arial" w:hAnsi="Arial"/>
          <w:sz w:val="18"/>
          <w:szCs w:val="18"/>
          <w:color w:val="auto"/>
        </w:rPr>
        <w:t>The following table presents the calculation of basic and diluted net (loss) income per share (in thousands, except per share data):</w:t>
      </w:r>
    </w:p>
    <w:p>
      <w:pPr>
        <w:spacing w:after="0" w:line="149"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22225</wp:posOffset>
            </wp:positionV>
            <wp:extent cx="27089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980" w:type="dxa"/>
            <w:vAlign w:val="bottom"/>
            <w:vMerge w:val="restart"/>
          </w:tcPr>
          <w:p>
            <w:pPr>
              <w:ind w:left="20"/>
              <w:spacing w:after="0"/>
              <w:rPr>
                <w:sz w:val="20"/>
                <w:szCs w:val="20"/>
                <w:color w:val="auto"/>
              </w:rPr>
            </w:pPr>
            <w:r>
              <w:rPr>
                <w:rFonts w:ascii="Arial" w:cs="Arial" w:eastAsia="Arial" w:hAnsi="Arial"/>
                <w:sz w:val="18"/>
                <w:szCs w:val="18"/>
                <w:color w:val="auto"/>
              </w:rPr>
              <w:t>Basic net (loss) income per share:</w:t>
            </w: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9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Class A</w:t>
            </w:r>
          </w:p>
        </w:tc>
        <w:tc>
          <w:tcPr>
            <w:tcW w:w="20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Class B</w:t>
            </w:r>
          </w:p>
        </w:tc>
        <w:tc>
          <w:tcPr>
            <w:tcW w:w="18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Class A</w:t>
            </w:r>
          </w:p>
        </w:tc>
        <w:tc>
          <w:tcPr>
            <w:tcW w:w="180" w:type="dxa"/>
            <w:vAlign w:val="bottom"/>
          </w:tcPr>
          <w:p>
            <w:pPr>
              <w:spacing w:after="0"/>
              <w:rPr>
                <w:sz w:val="19"/>
                <w:szCs w:val="19"/>
                <w:color w:val="auto"/>
              </w:rPr>
            </w:pPr>
          </w:p>
        </w:tc>
        <w:tc>
          <w:tcPr>
            <w:tcW w:w="800" w:type="dxa"/>
            <w:vAlign w:val="bottom"/>
          </w:tcPr>
          <w:p>
            <w:pPr>
              <w:jc w:val="right"/>
              <w:ind w:right="171"/>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26"/>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Numerator:</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20"/>
              <w:spacing w:after="0"/>
              <w:rPr>
                <w:sz w:val="20"/>
                <w:szCs w:val="20"/>
                <w:color w:val="auto"/>
              </w:rPr>
            </w:pPr>
            <w:r>
              <w:rPr>
                <w:rFonts w:ascii="Arial" w:cs="Arial" w:eastAsia="Arial" w:hAnsi="Arial"/>
                <w:sz w:val="18"/>
                <w:szCs w:val="18"/>
                <w:color w:val="auto"/>
              </w:rPr>
              <w:t>Net (loss)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(9,547)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4,627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Denominator:</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20"/>
              <w:spacing w:after="0"/>
              <w:rPr>
                <w:sz w:val="20"/>
                <w:szCs w:val="20"/>
                <w:color w:val="auto"/>
              </w:rPr>
            </w:pPr>
            <w:r>
              <w:rPr>
                <w:rFonts w:ascii="Arial" w:cs="Arial" w:eastAsia="Arial" w:hAnsi="Arial"/>
                <w:sz w:val="18"/>
                <w:szCs w:val="18"/>
                <w:color w:val="auto"/>
              </w:rPr>
              <w:t>Weighted-average shares used in calculating net (loss) income per share, basic</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223,566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82,468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84,434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211,021</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(loss) income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net (loss) income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Numerator:</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60"/>
              <w:spacing w:after="0"/>
              <w:rPr>
                <w:sz w:val="20"/>
                <w:szCs w:val="20"/>
                <w:color w:val="auto"/>
              </w:rPr>
            </w:pPr>
            <w:r>
              <w:rPr>
                <w:rFonts w:ascii="Arial" w:cs="Arial" w:eastAsia="Arial" w:hAnsi="Arial"/>
                <w:sz w:val="18"/>
                <w:szCs w:val="18"/>
                <w:color w:val="auto"/>
              </w:rPr>
              <w:t>Allocation of distributed (loss) income for basic computation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(9,547)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4,627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Reallocation of undistributed (loss) income as a result of conversion of Class B to Class A</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shares</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980" w:type="dxa"/>
            <w:vAlign w:val="bottom"/>
          </w:tcPr>
          <w:p>
            <w:pPr>
              <w:ind w:left="260"/>
              <w:spacing w:after="0"/>
              <w:rPr>
                <w:sz w:val="20"/>
                <w:szCs w:val="20"/>
                <w:color w:val="auto"/>
              </w:rPr>
            </w:pPr>
            <w:r>
              <w:rPr>
                <w:rFonts w:ascii="Arial" w:cs="Arial" w:eastAsia="Arial" w:hAnsi="Arial"/>
                <w:sz w:val="18"/>
                <w:szCs w:val="18"/>
                <w:color w:val="auto"/>
              </w:rPr>
              <w:t>Allocation of undistributed (loss)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4,627</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Number of shares used in basic calculation</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223,566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82,468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84,434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211,021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Weighted-average effect of diluted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360"/>
              <w:spacing w:after="0"/>
              <w:rPr>
                <w:sz w:val="20"/>
                <w:szCs w:val="20"/>
                <w:color w:val="auto"/>
              </w:rPr>
            </w:pPr>
            <w:r>
              <w:rPr>
                <w:rFonts w:ascii="Arial" w:cs="Arial" w:eastAsia="Arial" w:hAnsi="Arial"/>
                <w:sz w:val="18"/>
                <w:szCs w:val="18"/>
                <w:color w:val="auto"/>
              </w:rPr>
              <w:t>Conversion of Class B to Class A common shares outstanding</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82,468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211,021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Employee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360"/>
              <w:spacing w:after="0"/>
              <w:rPr>
                <w:sz w:val="20"/>
                <w:szCs w:val="20"/>
                <w:color w:val="auto"/>
              </w:rPr>
            </w:pPr>
            <w:r>
              <w:rPr>
                <w:rFonts w:ascii="Arial" w:cs="Arial" w:eastAsia="Arial" w:hAnsi="Arial"/>
                <w:sz w:val="18"/>
                <w:szCs w:val="18"/>
                <w:color w:val="auto"/>
              </w:rPr>
              <w:t>Employee stock purchase plan</w:t>
            </w:r>
          </w:p>
        </w:tc>
        <w:tc>
          <w:tcPr>
            <w:tcW w:w="18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Unvested early exercises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360"/>
              <w:spacing w:after="0"/>
              <w:rPr>
                <w:sz w:val="20"/>
                <w:szCs w:val="20"/>
                <w:color w:val="auto"/>
              </w:rPr>
            </w:pPr>
            <w:r>
              <w:rPr>
                <w:rFonts w:ascii="Arial" w:cs="Arial" w:eastAsia="Arial" w:hAnsi="Arial"/>
                <w:sz w:val="18"/>
                <w:szCs w:val="18"/>
                <w:color w:val="auto"/>
              </w:rPr>
              <w:t>Restricted Stock Units</w:t>
            </w:r>
          </w:p>
        </w:tc>
        <w:tc>
          <w:tcPr>
            <w:tcW w:w="18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Unvested restricted stock in connection with acquisition</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520"/>
              <w:spacing w:after="0"/>
              <w:rPr>
                <w:sz w:val="20"/>
                <w:szCs w:val="20"/>
                <w:color w:val="auto"/>
              </w:rPr>
            </w:pPr>
            <w:r>
              <w:rPr>
                <w:rFonts w:ascii="Arial" w:cs="Arial" w:eastAsia="Arial" w:hAnsi="Arial"/>
                <w:sz w:val="18"/>
                <w:szCs w:val="18"/>
                <w:color w:val="auto"/>
              </w:rPr>
              <w:t>Number of shares used in diluted calculation</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306,034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82,468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327,801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211,021</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(loss) income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1920" w:type="dxa"/>
            <w:vAlign w:val="bottom"/>
            <w:gridSpan w:val="3"/>
          </w:tcPr>
          <w:p>
            <w:pPr>
              <w:ind w:left="900"/>
              <w:spacing w:after="0"/>
              <w:rPr>
                <w:sz w:val="20"/>
                <w:szCs w:val="20"/>
                <w:color w:val="auto"/>
              </w:rPr>
            </w:pPr>
            <w:r>
              <w:rPr>
                <w:rFonts w:ascii="Arial" w:cs="Arial" w:eastAsia="Arial" w:hAnsi="Arial"/>
                <w:sz w:val="14"/>
                <w:szCs w:val="14"/>
                <w:b w:val="1"/>
                <w:bCs w:val="1"/>
                <w:color w:val="auto"/>
                <w:w w:val="96"/>
              </w:rPr>
              <w:t>As of March 31,</w:t>
            </w:r>
          </w:p>
        </w:tc>
        <w:tc>
          <w:tcPr>
            <w:tcW w:w="840" w:type="dxa"/>
            <w:vAlign w:val="bottom"/>
          </w:tcPr>
          <w:p>
            <w:pPr>
              <w:spacing w:after="0"/>
              <w:rPr>
                <w:sz w:val="16"/>
                <w:szCs w:val="16"/>
                <w:color w:val="auto"/>
              </w:rPr>
            </w:pPr>
          </w:p>
        </w:tc>
      </w:tr>
      <w:tr>
        <w:trPr>
          <w:trHeight w:val="25"/>
        </w:trPr>
        <w:tc>
          <w:tcPr>
            <w:tcW w:w="84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4"/>
        </w:trPr>
        <w:tc>
          <w:tcPr>
            <w:tcW w:w="8440" w:type="dxa"/>
            <w:vAlign w:val="bottom"/>
          </w:tcPr>
          <w:p>
            <w:pPr>
              <w:spacing w:after="0"/>
              <w:rPr>
                <w:sz w:val="16"/>
                <w:szCs w:val="16"/>
                <w:color w:val="auto"/>
              </w:rPr>
            </w:pPr>
          </w:p>
        </w:tc>
        <w:tc>
          <w:tcPr>
            <w:tcW w:w="132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ind w:right="433"/>
              <w:spacing w:after="0"/>
              <w:rPr>
                <w:sz w:val="20"/>
                <w:szCs w:val="20"/>
                <w:color w:val="auto"/>
              </w:rPr>
            </w:pPr>
            <w:r>
              <w:rPr>
                <w:rFonts w:ascii="Arial" w:cs="Arial" w:eastAsia="Arial" w:hAnsi="Arial"/>
                <w:sz w:val="14"/>
                <w:szCs w:val="14"/>
                <w:b w:val="1"/>
                <w:bCs w:val="1"/>
                <w:color w:val="auto"/>
                <w:w w:val="96"/>
              </w:rPr>
              <w:t>2020</w:t>
            </w:r>
          </w:p>
        </w:tc>
      </w:tr>
      <w:tr>
        <w:trPr>
          <w:trHeight w:val="25"/>
        </w:trPr>
        <w:tc>
          <w:tcPr>
            <w:tcW w:w="844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subject to outstanding stock options and restricted stock units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30,794</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w:t>
            </w:r>
          </w:p>
        </w:tc>
      </w:tr>
      <w:tr>
        <w:trPr>
          <w:trHeight w:val="270"/>
        </w:trPr>
        <w:tc>
          <w:tcPr>
            <w:tcW w:w="8440" w:type="dxa"/>
            <w:vAlign w:val="bottom"/>
          </w:tcPr>
          <w:p>
            <w:pPr>
              <w:ind w:left="20"/>
              <w:spacing w:after="0"/>
              <w:rPr>
                <w:sz w:val="20"/>
                <w:szCs w:val="20"/>
                <w:color w:val="auto"/>
              </w:rPr>
            </w:pPr>
            <w:r>
              <w:rPr>
                <w:rFonts w:ascii="Arial" w:cs="Arial" w:eastAsia="Arial" w:hAnsi="Arial"/>
                <w:sz w:val="18"/>
                <w:szCs w:val="18"/>
                <w:color w:val="auto"/>
              </w:rPr>
              <w:t>Unvested early exercised stock options and restricted stock</w:t>
            </w:r>
          </w:p>
        </w:tc>
        <w:tc>
          <w:tcPr>
            <w:tcW w:w="1320" w:type="dxa"/>
            <w:vAlign w:val="bottom"/>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subject to the employee stock purchase plan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7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issuable upon conversion of the convertible senior notes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8,098</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ASU No. 2020-06 requires the application of the if-converted method to calculate the impact of convertible instruments on diluted earnings per share when the instruments may be settled in cash or shares. See Note 2, </w:t>
      </w:r>
      <w:r>
        <w:rPr>
          <w:rFonts w:ascii="Arial" w:cs="Arial" w:eastAsia="Arial" w:hAnsi="Arial"/>
          <w:sz w:val="18"/>
          <w:szCs w:val="18"/>
          <w:i w:val="1"/>
          <w:iCs w:val="1"/>
          <w:color w:val="auto"/>
        </w:rPr>
        <w:t>Basis of Presentation and Summary of Significant Accounting Policies—Accounting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Recently Adopted </w:t>
      </w:r>
      <w:r>
        <w:rPr>
          <w:rFonts w:ascii="Arial" w:cs="Arial" w:eastAsia="Arial" w:hAnsi="Arial"/>
          <w:sz w:val="18"/>
          <w:szCs w:val="18"/>
          <w:color w:val="auto"/>
        </w:rPr>
        <w:t>for more information. Although the Notes were not convertible as of March 31, 2021, the Company calculated the potentially</w:t>
      </w:r>
      <w:r>
        <w:rPr>
          <w:rFonts w:ascii="Arial" w:cs="Arial" w:eastAsia="Arial" w:hAnsi="Arial"/>
          <w:sz w:val="18"/>
          <w:szCs w:val="18"/>
          <w:i w:val="1"/>
          <w:iCs w:val="1"/>
          <w:color w:val="auto"/>
        </w:rPr>
        <w:t xml:space="preserve"> </w:t>
      </w:r>
      <w:r>
        <w:rPr>
          <w:rFonts w:ascii="Arial" w:cs="Arial" w:eastAsia="Arial" w:hAnsi="Arial"/>
          <w:sz w:val="18"/>
          <w:szCs w:val="18"/>
          <w:color w:val="auto"/>
        </w:rPr>
        <w:t>dilutive effect of the share conversion which is included in the table above.</w:t>
      </w:r>
    </w:p>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entered into Capped Calls in connection with the issuance of the 2025 Notes. The effect of the Capped Calls was also excluded from the calculation of diluted net income per share as the effect of the Capped Calls would have been anti-dilutive. The Capped Calls are expected to partially offset the potential dilution to the Company’s Class A common stock upon any conversion of the 2025 Notes.</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April 2021, the Company completed the acquisition of Sqreen, Inc, a SaaS based security platform, for approximately $260 million in cash and stock, subject to certain customary adjustments, of which approximately 25% is deferred. The Company is currently evaluating the purchase price allocation for this transaction.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fiscal year ended December 31, 2020, or the Annual Report. This discussion, particularly information with respect to our future results of operations or financial condition, business strategy, plans and objectives of management for future operations and the potential impact that the ongoing COVID-19 pandemic may have on our business,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for a discussion of important factors that could cause our actual results to differ materially from those anticipated in these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Datadog is the monitoring and analytics platform for developers, IT operations teams and business users in the cloud age.</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SaaS platform integrates and automates infrastructure monitoring, application performance monitoring, log management, and security monitoring to provide unified, real-time observability of our customers’ entire technology stack. Datadog is used by organizations of all sizes and across a wide range of industries to enable digital transformation and cloud migration, drive collaboration among development, operations and business teams, accelerate time to market for applications, reduce time to problem resolution, understand user behavior and track key business metrics.</w:t>
      </w:r>
    </w:p>
    <w:p>
      <w:pPr>
        <w:spacing w:after="0" w:line="15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generate revenue from the sale of subscriptions to customers using our cloud-based platform.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 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9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As of March 31, 2021, we had $373.3 million in cash, cash equivalents and restricted cash and $1,178.2 million in marketable securities. We generated revenue of $198.5 million and $131.2 million in the three months ended March 31, 2021 and 2020, respectively, representing year-over-year growth of 51%. Substantially all of our revenue is subscription software sales. Our net (loss) income was $(13.1) million and $6.5 million for the three months ended March 31, 2021 and 2020, respectively. We generated operating cash flow of $51.7 million and $24.3 million in the three months ended March 31, 2021 and 2020. Our free cash flow was $44.5 million and $19.3 million in the three months ended March 31, 2021 and 2020. See the section titled “—Liquidity and Capital Resources—Non-GAAP Free Cash Flow” for additional information.</w:t>
      </w:r>
    </w:p>
    <w:p>
      <w:pPr>
        <w:spacing w:after="0" w:line="178"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Since December 2019, a novel strain of coronavirus, which we refer to, together with other related strains of coronavirus, as “COVID-19”, has spread to multiple countries, including the United States and other countries in which we and our customers, partners, suppliers, vendors and other parties with whom we do business operate. The extent of the impact of the COVID-19 pandemic on our operational and financial performance depends on certain developments, including the duration and spread of the outbreak, its impact on industry events, and its effect on our customers, partners, suppliers and vendors and other parties with whom we do business, all of which are uncertain and cannot be predicted at this time. To the extent possible, we are conducting business as usual, with necessary or advisable modifications to employee travel and employee work locations, and cancelling or holding virtually Datadog marketing events. We are continuing to actively monitor the rapidly evolving situation related to COVID-19 and may take further actions that alter our business operations, including those that may be required by federal, state or local authorities, or that we determine are in the best interests of our employees, customers, partners, suppliers, vendors and stockholders. The extent to which the COVID-19 pandemic may impact our results of operations and financial condition remains uncertain. In addition, due to our subscription model, the effect of the COVID-19 pandemic, if any, may not be fully reflected in our results of operations until future periods.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ind w:left="500"/>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March 31, 2021, we had approximately 15,200 customers spanning organizations of a broad range of sizes and industries, compared to approximately 11,500 as of March 31, 2020. Our ability to attract new customers will depend on a number of factors, including the effectiveness and pricing of our products, offerings of our competitors, and the effectiveness of our marketing efforts.</w:t>
      </w:r>
    </w:p>
    <w:p>
      <w:pPr>
        <w:spacing w:after="0" w:line="19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Expanding Within Our Existing Customer Base</w:t>
      </w:r>
    </w:p>
    <w:p>
      <w:pPr>
        <w:spacing w:after="0" w:line="22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base of customers represents a significant opportunity for further sales expansion. As of March 31, 2021, we had 1,437 customers with annual run-rate revenue, or ARR, of $100,000 or more, representing 79% of our ARR, up from 960 customers as of March 31, 2020, representing 76% of our ARR. We monitor our number of customers with ARR of $100,000 or more, and believe it is useful to investors, as an indicator of our ability to grow the number of customers that are exceeding this ARR threshold. We define ARR as the annual run-rate revenue of subscription agreements from all customers at a point in time. We calculate ARR by taking the monthly run-rate revenue, or MRR, and multiplying it by 12. MRR for each month is calculated by aggregating, for all customers during that month, monthly revenue from committed contractual amounts, additional usage and monthly subscriptions. ARR and MRR should be viewed independently of revenue, and do not represent our revenue under GAAP on a monthly or annualized basis, as they are operating metrics that can be impacted by contract start and end dates and renewal rates. ARR and MRR are not intended to be replacements or forecasts of revenue.</w:t>
      </w:r>
    </w:p>
    <w:p>
      <w:pPr>
        <w:spacing w:after="0" w:line="19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 further indication of the propensity of our customer relationships to expand over time is our dollar-based net retention rate, which compares our ARR from the same set of customers in one period, relative to the year-ago period. As of each of March 31, 2021 and 2020, our dollar-based net retention rate was above 130%. We calculate dollar-based net retention rate as of a period end by starting with the ARR from the cohort of all customers as of 12 months prior to such period-end, or the Prior Period ARR. We then calculate the ARR from these same customers as of the current period-end, or the Current Period ARR. Current Period ARR includes any expansion and is net of contraction or attrition over the last 12 months, but excludes ARR from new customers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dollar-based net retention rate.</w:t>
      </w:r>
    </w:p>
    <w:p>
      <w:pPr>
        <w:spacing w:after="0" w:line="19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Sustaining Innovation and Technology Leadership</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proven initial success of our platform approach, through expansion beyond our initial infrastructure monitoring solution, to include APM in 2017, logs in 2018, user experience and network performance monitoring in 2019, and security monitoring in April 2020. As of March 31,</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5" w:name="page26"/>
    <w:bookmarkEnd w:id="25"/>
    <w:p>
      <w:pPr>
        <w:jc w:val="both"/>
        <w:ind w:right="20"/>
        <w:spacing w:after="0" w:line="277" w:lineRule="auto"/>
        <w:rPr>
          <w:sz w:val="20"/>
          <w:szCs w:val="20"/>
          <w:color w:val="auto"/>
        </w:rPr>
      </w:pPr>
      <w:r>
        <w:rPr>
          <w:rFonts w:ascii="Arial" w:cs="Arial" w:eastAsia="Arial" w:hAnsi="Arial"/>
          <w:sz w:val="18"/>
          <w:szCs w:val="18"/>
          <w:color w:val="auto"/>
        </w:rPr>
        <w:t>2021, approximately 75% of our customers were using more than one product, up from approximately 60% a year earlier. We believe these metrics indicate strong momentum in the uptake of our newer platform products.</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Expanding Internationally</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believe there is a significant opportunity to expand usage of our platform outside of North America. Revenue, as determined based on the billing address of our customers, from regions outside of North America was approximately 28% and 24% of total revenue for the three months ended March 31, 2021 and 2020, respectively. In addition, we have made and plan to continue to make significant investments to expand geographically, particularly in Europe, the Middle East, Africa and in the Asia Pacific region. Although these investments may adversely affect our operating results in the near term, we believe that they will contribute to our long-term growth. Beyond North America, we now have sales presence internationally, including in Dublin, London, Amsterdam, Paris, Singapore, Sydney, Seoul and Tokyo.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generate revenue from the sale of subscriptions to customers using our cloud-based platform. The terms of our subscription agreements are primarily monthly or annual,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7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 xml:space="preserve">Usage is measured primarily by the number of hosts or by the volume of data indexed. A host is generally defined as a server, either in the cloud or on-premise. Our infrastructure monitoring, APM and </w:t>
      </w:r>
      <w:r>
        <w:rPr>
          <w:rFonts w:ascii="Arial" w:cs="Arial" w:eastAsia="Arial" w:hAnsi="Arial"/>
          <w:sz w:val="17"/>
          <w:szCs w:val="17"/>
          <w:color w:val="333333"/>
        </w:rPr>
        <w:t>network performance monitoring</w:t>
      </w:r>
      <w:r>
        <w:rPr>
          <w:rFonts w:ascii="Arial" w:cs="Arial" w:eastAsia="Arial" w:hAnsi="Arial"/>
          <w:sz w:val="17"/>
          <w:szCs w:val="17"/>
          <w:color w:val="auto"/>
        </w:rPr>
        <w:t xml:space="preserve"> products are priced per host, our logs product is priced primarily per log events indexed and secondarily by events ingested. </w:t>
      </w:r>
      <w:r>
        <w:rPr>
          <w:rFonts w:ascii="Arial" w:cs="Arial" w:eastAsia="Arial" w:hAnsi="Arial"/>
          <w:sz w:val="17"/>
          <w:szCs w:val="17"/>
          <w:color w:val="333333"/>
        </w:rPr>
        <w:t>Customers also have the option to purchase additional products, such as additional container or</w:t>
      </w:r>
      <w:r>
        <w:rPr>
          <w:rFonts w:ascii="Arial" w:cs="Arial" w:eastAsia="Arial" w:hAnsi="Arial"/>
          <w:sz w:val="17"/>
          <w:szCs w:val="17"/>
          <w:color w:val="auto"/>
        </w:rPr>
        <w:t xml:space="preserve"> </w:t>
      </w:r>
      <w:r>
        <w:rPr>
          <w:rFonts w:ascii="Arial" w:cs="Arial" w:eastAsia="Arial" w:hAnsi="Arial"/>
          <w:sz w:val="17"/>
          <w:szCs w:val="17"/>
          <w:color w:val="333333"/>
        </w:rPr>
        <w:t>serverless monitoring, custom metrics packages, anomaly detection, synthetic monitoring and app analytics.</w:t>
      </w:r>
    </w:p>
    <w:p>
      <w:pPr>
        <w:spacing w:after="0" w:line="17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18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Due to ease of implementation of our products, professional services generally are not required and revenue from such services has been immaterial to date.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6" w:name="page27"/>
    <w:bookmarkEnd w:id="26"/>
    <w:p>
      <w:pPr>
        <w:jc w:val="both"/>
        <w:ind w:firstLine="486"/>
        <w:spacing w:after="0" w:line="263" w:lineRule="auto"/>
        <w:rPr>
          <w:sz w:val="20"/>
          <w:szCs w:val="20"/>
          <w:color w:val="auto"/>
        </w:rPr>
      </w:pPr>
      <w:r>
        <w:rPr>
          <w:rFonts w:ascii="Arial" w:cs="Arial" w:eastAsia="Arial" w:hAnsi="Arial"/>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 platform and products. The level, timing and relative investment in our infrastructure could affect our cost of revenue in the future.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 related expenses, including depreciation expense.</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Research and development expense consists primarily of personnel costs for our engineering, service and design teams. Additionally, research and development expense includes contractor fees, depreciation and amortization and allocated overhead costs. Research and development costs are expensed as incurred. We expect that our research and development expense will increase in absolute dollars as our business grows, particularly as we incur additional costs related to continued investments in our platform.</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Sales and marketing expense consists primarily of personnel costs for our sales and marketing organization, costs of general marketing and promotional activities, including the free tier and free introductory trials of our products, travel-related expenses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as we expand our sales and marketing efforts.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General and administrative expense consists primarily of personnel costs and contractor fees for finance, legal, human resources, information technology and other administrative functions. In addition, general and administrative expense includes non-personnel costs, such as legal, accounting and other professional fees, hardware and software costs, certain tax, license and insurance-related expenses and allocated overhead costs.</w:t>
      </w:r>
    </w:p>
    <w:p>
      <w:pPr>
        <w:spacing w:after="0" w:line="14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have incurred, and expect to continue to incur, additional expenses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We expect that our general and administrative expense will increase in absolute dollars as our business grows. However, we expect that our general and administrative expense will decrease as a percentage of our revenue as our revenue grows over the longer term.</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Other income, net consists primarily of interest expense due on the 2025 Notes, and amortization of premiums on our marketable securities, partially offset by interest income, primarily due to income earned on money market funds included in cash and cash equivalents and on marketable securities.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Provision for income taxes consists of U.S. federal and state income taxes and income taxes in certain foreign jurisdictions in which we conduct business. We recorded a full valuation allowance on our federal and state deferred tax assets as we have concluded that it is not more likely than not that the deferred tax assets will be realized.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consolidated statements of operations data for the periods indicated:</w:t>
      </w:r>
    </w:p>
    <w:p>
      <w:pPr>
        <w:spacing w:after="0" w:line="126"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Three Months Ended</w:t>
      </w:r>
    </w:p>
    <w:p>
      <w:pPr>
        <w:jc w:val="center"/>
        <w:ind w:left="83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4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185"/>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6"/>
                <w:szCs w:val="16"/>
                <w:color w:val="auto"/>
              </w:rPr>
            </w:pPr>
          </w:p>
        </w:tc>
      </w:tr>
      <w:tr>
        <w:trPr>
          <w:trHeight w:val="26"/>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198,549</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131,248</w:t>
            </w:r>
          </w:p>
        </w:tc>
      </w:tr>
      <w:tr>
        <w:trPr>
          <w:trHeight w:val="270"/>
        </w:trPr>
        <w:tc>
          <w:tcPr>
            <w:tcW w:w="84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21"/>
                <w:szCs w:val="21"/>
                <w:color w:val="auto"/>
                <w:vertAlign w:val="superscript"/>
              </w:rPr>
              <w:t>(1)(2)(3)</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46,666</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26,479</w:t>
            </w:r>
          </w:p>
        </w:tc>
      </w:tr>
      <w:tr>
        <w:trPr>
          <w:trHeight w:val="250"/>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151,883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104,769</w:t>
            </w: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1"/>
                <w:szCs w:val="21"/>
                <w:color w:val="auto"/>
                <w:vertAlign w:val="superscript"/>
              </w:rPr>
              <w:t>(1)(3)</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79,266</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40,824</w:t>
            </w:r>
          </w:p>
        </w:tc>
      </w:tr>
      <w:tr>
        <w:trPr>
          <w:trHeight w:val="270"/>
        </w:trPr>
        <w:tc>
          <w:tcPr>
            <w:tcW w:w="8440" w:type="dxa"/>
            <w:vAlign w:val="bottom"/>
          </w:tcPr>
          <w:p>
            <w:pPr>
              <w:ind w:left="26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1"/>
                <w:szCs w:val="21"/>
                <w:color w:val="auto"/>
                <w:vertAlign w:val="superscript"/>
              </w:rPr>
              <w:t>(1)(3)</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64,353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45,215</w:t>
            </w:r>
          </w:p>
        </w:tc>
      </w:tr>
      <w:tr>
        <w:trPr>
          <w:trHeight w:val="270"/>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1"/>
                <w:szCs w:val="21"/>
                <w:color w:val="auto"/>
                <w:vertAlign w:val="superscript"/>
              </w:rPr>
              <w:t>(1)(3)</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21,094</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14,952</w:t>
            </w:r>
          </w:p>
        </w:tc>
      </w:tr>
      <w:tr>
        <w:trPr>
          <w:trHeight w:val="250"/>
        </w:trPr>
        <w:tc>
          <w:tcPr>
            <w:tcW w:w="84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164,713</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100,991</w:t>
            </w:r>
          </w:p>
        </w:tc>
      </w:tr>
      <w:tr>
        <w:trPr>
          <w:trHeight w:val="250"/>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(loss) income</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w:t>
            </w: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35749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57495" cy="171450"/>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p>
      <w:pPr>
        <w:spacing w:after="0" w:line="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1"/>
          <w:szCs w:val="21"/>
          <w:color w:val="auto"/>
          <w:vertAlign w:val="superscript"/>
        </w:rPr>
        <w:t>(4)</w:t>
      </w:r>
    </w:p>
    <w:p>
      <w:pPr>
        <w:spacing w:after="0" w:line="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income and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35749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57495" cy="171450"/>
                    </a:xfrm>
                    <a:prstGeom prst="rect">
                      <a:avLst/>
                    </a:prstGeom>
                    <a:noFill/>
                  </pic:spPr>
                </pic:pic>
              </a:graphicData>
            </a:graphic>
          </wp:anchor>
        </w:drawing>
      </w:r>
    </w:p>
    <w:p>
      <w:pPr>
        <w:spacing w:after="0" w:line="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income, 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(Loss) income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35749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5749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Provision for income taxes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 income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17"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561975</wp:posOffset>
            </wp:positionV>
            <wp:extent cx="710628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revenue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0628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Sales and marketing</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06285" cy="196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6285" cy="196850"/>
                    </a:xfrm>
                    <a:prstGeom prst="rect">
                      <a:avLst/>
                    </a:prstGeom>
                    <a:noFill/>
                  </pic:spPr>
                </pic:pic>
              </a:graphicData>
            </a:graphic>
          </wp:anchor>
        </w:drawing>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17"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Includes amortization of acquired intangibles expense as follows: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70"/>
        </w:trPr>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5,773</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3,603</w:t>
            </w:r>
          </w:p>
        </w:tc>
      </w:tr>
      <w:tr>
        <w:trPr>
          <w:trHeight w:val="250"/>
        </w:trPr>
        <w:tc>
          <w:tcPr>
            <w:tcW w:w="4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w:t>
            </w:r>
          </w:p>
        </w:tc>
      </w:tr>
      <w:tr>
        <w:trPr>
          <w:trHeight w:val="250"/>
        </w:trPr>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(12,529)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6,674</w:t>
            </w:r>
          </w:p>
        </w:tc>
      </w:tr>
      <w:tr>
        <w:trPr>
          <w:trHeight w:val="270"/>
        </w:trPr>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23"/>
        </w:trPr>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(13,068)</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6,479</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w:t>
      </w:r>
    </w:p>
    <w:p>
      <w:pPr>
        <w:jc w:val="center"/>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185"/>
        </w:trPr>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6"/>
                <w:szCs w:val="16"/>
                <w:color w:val="auto"/>
              </w:rPr>
            </w:pPr>
          </w:p>
        </w:tc>
      </w:tr>
      <w:tr>
        <w:trPr>
          <w:trHeight w:val="269"/>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70"/>
        </w:trPr>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16,069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5,847</w:t>
            </w:r>
          </w:p>
        </w:tc>
      </w:tr>
      <w:tr>
        <w:trPr>
          <w:trHeight w:val="270"/>
        </w:trPr>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7,010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3,074</w:t>
            </w:r>
          </w:p>
        </w:tc>
      </w:tr>
      <w:tr>
        <w:trPr>
          <w:trHeight w:val="270"/>
        </w:trPr>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5,081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2,908</w:t>
            </w:r>
          </w:p>
        </w:tc>
      </w:tr>
      <w:tr>
        <w:trPr>
          <w:trHeight w:val="27"/>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28,861</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12,060</w:t>
            </w:r>
          </w:p>
        </w:tc>
      </w:tr>
      <w:tr>
        <w:trPr>
          <w:trHeight w:val="27"/>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17487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33" w:lineRule="exact"/>
        <w:rPr>
          <w:sz w:val="20"/>
          <w:szCs w:val="20"/>
          <w:color w:val="auto"/>
        </w:rPr>
      </w:pPr>
    </w:p>
    <w:p>
      <w:pPr>
        <w:ind w:left="520"/>
        <w:spacing w:after="0"/>
        <w:tabs>
          <w:tab w:leader="none" w:pos="19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17487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62"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(in thousands)</w:t>
      </w:r>
    </w:p>
    <w:p>
      <w:pPr>
        <w:spacing w:after="0" w:line="78" w:lineRule="exact"/>
        <w:rPr>
          <w:sz w:val="20"/>
          <w:szCs w:val="20"/>
          <w:color w:val="auto"/>
        </w:rPr>
      </w:pPr>
    </w:p>
    <w:p>
      <w:pPr>
        <w:sectPr>
          <w:pgSz w:w="11900" w:h="16838" w:orient="portrait"/>
          <w:cols w:equalWidth="0" w:num="2">
            <w:col w:w="7720" w:space="720"/>
            <w:col w:w="2760"/>
          </w:cols>
          <w:pgMar w:left="320" w:top="1107" w:right="37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400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355</w:t>
            </w:r>
          </w:p>
        </w:tc>
        <w:tc>
          <w:tcPr>
            <w:tcW w:w="62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r>
      <w:tr>
        <w:trPr>
          <w:trHeight w:val="304"/>
        </w:trPr>
        <w:tc>
          <w:tcPr>
            <w:tcW w:w="5000" w:type="dxa"/>
            <w:vAlign w:val="bottom"/>
          </w:tcPr>
          <w:p>
            <w:pPr>
              <w:spacing w:after="0"/>
              <w:rPr>
                <w:sz w:val="20"/>
                <w:szCs w:val="20"/>
                <w:color w:val="auto"/>
              </w:rPr>
            </w:pPr>
            <w:r>
              <w:rPr>
                <w:rFonts w:ascii="Arial" w:cs="Arial" w:eastAsia="Arial" w:hAnsi="Arial"/>
                <w:sz w:val="18"/>
                <w:szCs w:val="18"/>
                <w:color w:val="auto"/>
              </w:rPr>
              <w:t>_________________</w:t>
            </w:r>
          </w:p>
        </w:tc>
        <w:tc>
          <w:tcPr>
            <w:tcW w:w="4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employer payroll taxes on employee stock transactions as follows:</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type w:val="continuous"/>
        </w:sectPr>
      </w:pPr>
    </w:p>
    <w:bookmarkStart w:id="28" w:name="page29"/>
    <w:bookmarkEnd w:id="28"/>
    <w:p>
      <w:pPr>
        <w:jc w:val="center"/>
        <w:ind w:left="838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22225</wp:posOffset>
            </wp:positionV>
            <wp:extent cx="17487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84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(in thousands)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840" w:type="dxa"/>
            <w:vAlign w:val="bottom"/>
            <w:tcBorders>
              <w:bottom w:val="single" w:sz="8" w:color="CFF0FC"/>
            </w:tcBorders>
            <w:shd w:val="clear" w:color="auto" w:fill="CFF0FC"/>
          </w:tcPr>
          <w:p>
            <w:pPr>
              <w:jc w:val="right"/>
              <w:ind w:right="6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1,771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8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8"/>
              </w:rPr>
              <w:t>1,179</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FF0F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3,169</w:t>
            </w:r>
          </w:p>
        </w:tc>
        <w:tc>
          <w:tcPr>
            <w:tcW w:w="1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84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_________________</w:t>
            </w: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440" w:type="dxa"/>
            <w:vAlign w:val="bottom"/>
            <w:vMerge w:val="continue"/>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amortization of issuance costs as follows:</w:t>
      </w:r>
    </w:p>
    <w:p>
      <w:pPr>
        <w:spacing w:after="0" w:line="134"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22225</wp:posOffset>
            </wp:positionV>
            <wp:extent cx="17487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33" w:lineRule="exact"/>
        <w:rPr>
          <w:sz w:val="20"/>
          <w:szCs w:val="20"/>
          <w:color w:val="auto"/>
        </w:rPr>
      </w:pPr>
    </w:p>
    <w:p>
      <w:pPr>
        <w:ind w:left="8960"/>
        <w:spacing w:after="0"/>
        <w:tabs>
          <w:tab w:leader="none" w:pos="103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32385</wp:posOffset>
            </wp:positionV>
            <wp:extent cx="17487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9"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0628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8440" w:val="left"/>
          <w:tab w:leader="none" w:pos="9400" w:val="left"/>
          <w:tab w:leader="none" w:pos="9880" w:val="left"/>
          <w:tab w:leader="none" w:pos="10920" w:val="left"/>
        </w:tabs>
        <w:rPr>
          <w:sz w:val="20"/>
          <w:szCs w:val="20"/>
          <w:color w:val="auto"/>
        </w:rPr>
      </w:pP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835</w:t>
        <w:tab/>
        <w:t>$</w:t>
      </w:r>
      <w:r>
        <w:rPr>
          <w:sz w:val="20"/>
          <w:szCs w:val="20"/>
          <w:color w:val="auto"/>
        </w:rPr>
        <w:tab/>
      </w:r>
      <w:r>
        <w:rPr>
          <w:rFonts w:ascii="Arial" w:cs="Arial" w:eastAsia="Arial" w:hAnsi="Arial"/>
          <w:sz w:val="18"/>
          <w:szCs w:val="18"/>
          <w:color w:val="auto"/>
        </w:rPr>
        <w:t>—</w:t>
      </w:r>
    </w:p>
    <w:p>
      <w:pPr>
        <w:spacing w:after="0" w:line="34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sets forth our consolidated statements of operations data expressed as a percentage of revenue for the periods indicated:</w:t>
      </w:r>
    </w:p>
    <w:p>
      <w:pPr>
        <w:spacing w:after="0" w:line="147"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22225</wp:posOffset>
            </wp:positionV>
            <wp:extent cx="19030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20" w:type="dxa"/>
            <w:vAlign w:val="bottom"/>
            <w:gridSpan w:val="2"/>
          </w:tcPr>
          <w:p>
            <w:pPr>
              <w:ind w:left="8780"/>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8200" w:type="dxa"/>
            <w:vAlign w:val="bottom"/>
          </w:tcPr>
          <w:p>
            <w:pPr>
              <w:spacing w:after="0"/>
              <w:rPr>
                <w:sz w:val="2"/>
                <w:szCs w:val="2"/>
                <w:color w:val="auto"/>
              </w:rPr>
            </w:pPr>
          </w:p>
        </w:tc>
        <w:tc>
          <w:tcPr>
            <w:tcW w:w="30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00" w:type="dxa"/>
            <w:vAlign w:val="bottom"/>
          </w:tcPr>
          <w:p>
            <w:pPr>
              <w:spacing w:after="0"/>
              <w:rPr>
                <w:sz w:val="21"/>
                <w:szCs w:val="21"/>
                <w:color w:val="auto"/>
              </w:rPr>
            </w:pPr>
          </w:p>
        </w:tc>
        <w:tc>
          <w:tcPr>
            <w:tcW w:w="300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(as a percentage of total revenue</w:t>
            </w:r>
            <w:r>
              <w:rPr>
                <w:rFonts w:ascii="Arial" w:cs="Arial" w:eastAsia="Arial" w:hAnsi="Arial"/>
                <w:sz w:val="21"/>
                <w:szCs w:val="21"/>
                <w:b w:val="1"/>
                <w:bCs w:val="1"/>
                <w:color w:val="auto"/>
                <w:vertAlign w:val="superscript"/>
              </w:rPr>
              <w:t>(1)</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91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3"/>
              </w:rPr>
              <w:t>100 %</w:t>
            </w:r>
          </w:p>
        </w:tc>
        <w:tc>
          <w:tcPr>
            <w:tcW w:w="1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912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1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5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ind w:right="13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91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2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8"/>
                <w:szCs w:val="18"/>
                <w:color w:val="auto"/>
              </w:rPr>
              <w:t>Research and development</w:t>
            </w:r>
          </w:p>
        </w:tc>
        <w:tc>
          <w:tcPr>
            <w:tcW w:w="5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ind w:right="13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9120" w:type="dxa"/>
            <w:vAlign w:val="bottom"/>
            <w:gridSpan w:val="2"/>
          </w:tcPr>
          <w:p>
            <w:pPr>
              <w:ind w:left="220"/>
              <w:spacing w:after="0"/>
              <w:rPr>
                <w:sz w:val="20"/>
                <w:szCs w:val="20"/>
                <w:color w:val="auto"/>
              </w:rPr>
            </w:pPr>
            <w:r>
              <w:rPr>
                <w:rFonts w:ascii="Arial" w:cs="Arial" w:eastAsia="Arial" w:hAnsi="Arial"/>
                <w:sz w:val="18"/>
                <w:szCs w:val="18"/>
                <w:color w:val="auto"/>
              </w:rPr>
              <w:t>Sales and marketing</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ind w:right="13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820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Operating loss</w:t>
            </w:r>
          </w:p>
        </w:tc>
        <w:tc>
          <w:tcPr>
            <w:tcW w:w="5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ind w:right="1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9120" w:type="dxa"/>
            <w:vAlign w:val="bottom"/>
            <w:gridSpan w:val="2"/>
          </w:tcPr>
          <w:p>
            <w:pPr>
              <w:ind w:left="20"/>
              <w:spacing w:after="0"/>
              <w:rPr>
                <w:sz w:val="20"/>
                <w:szCs w:val="20"/>
                <w:color w:val="auto"/>
              </w:rPr>
            </w:pPr>
            <w:r>
              <w:rPr>
                <w:rFonts w:ascii="Arial" w:cs="Arial" w:eastAsia="Arial" w:hAnsi="Arial"/>
                <w:sz w:val="18"/>
                <w:szCs w:val="18"/>
                <w:color w:val="auto"/>
              </w:rPr>
              <w:t>Other income:</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2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8"/>
                <w:szCs w:val="18"/>
                <w:color w:val="auto"/>
              </w:rPr>
              <w:t>Interest expense</w:t>
            </w:r>
          </w:p>
        </w:tc>
        <w:tc>
          <w:tcPr>
            <w:tcW w:w="5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9120" w:type="dxa"/>
            <w:vAlign w:val="bottom"/>
            <w:gridSpan w:val="2"/>
          </w:tcPr>
          <w:p>
            <w:pPr>
              <w:ind w:left="220"/>
              <w:spacing w:after="0"/>
              <w:rPr>
                <w:sz w:val="20"/>
                <w:szCs w:val="20"/>
                <w:color w:val="auto"/>
              </w:rPr>
            </w:pPr>
            <w:r>
              <w:rPr>
                <w:rFonts w:ascii="Arial" w:cs="Arial" w:eastAsia="Arial" w:hAnsi="Arial"/>
                <w:sz w:val="18"/>
                <w:szCs w:val="18"/>
                <w:color w:val="auto"/>
              </w:rPr>
              <w:t>Interest income and other income, net</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Other income, net</w:t>
            </w:r>
          </w:p>
        </w:tc>
        <w:tc>
          <w:tcPr>
            <w:tcW w:w="92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CFF0FC"/>
            </w:tcBorders>
            <w:shd w:val="clear" w:color="auto" w:fill="CFF0FC"/>
          </w:tcPr>
          <w:p>
            <w:pPr>
              <w:jc w:val="right"/>
              <w:ind w:right="1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(Loss) income before provision for income taxes</w:t>
            </w:r>
          </w:p>
        </w:tc>
        <w:tc>
          <w:tcPr>
            <w:tcW w:w="9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92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820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92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94"/>
              </w:rPr>
              <w:t>(7)%</w:t>
            </w:r>
          </w:p>
        </w:tc>
        <w:tc>
          <w:tcPr>
            <w:tcW w:w="12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
        </w:trPr>
        <w:tc>
          <w:tcPr>
            <w:tcW w:w="820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7"/>
        </w:trPr>
        <w:tc>
          <w:tcPr>
            <w:tcW w:w="82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Certain items may not total due to rounding.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2021 and 2020</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jc w:val="center"/>
              <w:ind w:left="524"/>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6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64"/>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6"/>
                <w:szCs w:val="16"/>
                <w:color w:val="auto"/>
              </w:rPr>
            </w:pPr>
          </w:p>
        </w:tc>
        <w:tc>
          <w:tcPr>
            <w:tcW w:w="920" w:type="dxa"/>
            <w:vAlign w:val="bottom"/>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198,549</w:t>
            </w:r>
          </w:p>
        </w:tc>
        <w:tc>
          <w:tcPr>
            <w:tcW w:w="4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131,248</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67,301</w:t>
            </w:r>
          </w:p>
        </w:tc>
        <w:tc>
          <w:tcPr>
            <w:tcW w:w="1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7"/>
        </w:trPr>
        <w:tc>
          <w:tcPr>
            <w:tcW w:w="548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035" w:right="37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type w:val="continuous"/>
        </w:sectPr>
      </w:pPr>
    </w:p>
    <w:bookmarkStart w:id="29" w:name="page30"/>
    <w:bookmarkEnd w:id="29"/>
    <w:p>
      <w:pPr>
        <w:jc w:val="both"/>
        <w:ind w:firstLine="486"/>
        <w:spacing w:after="0" w:line="263" w:lineRule="auto"/>
        <w:rPr>
          <w:sz w:val="20"/>
          <w:szCs w:val="20"/>
          <w:color w:val="auto"/>
        </w:rPr>
      </w:pPr>
      <w:r>
        <w:rPr>
          <w:rFonts w:ascii="Arial" w:cs="Arial" w:eastAsia="Arial" w:hAnsi="Arial"/>
          <w:sz w:val="18"/>
          <w:szCs w:val="18"/>
          <w:color w:val="auto"/>
        </w:rPr>
        <w:t>Revenue increased by $67.3 million, or 51%, for the three months ended March 31, 2021 compared to the three months ended March 31, 2020. Approximately 60% of the increase in revenue was attributable to growth from existing customers, and the remaining 40% was attributable to growth from new customers.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center"/>
              <w:ind w:left="602"/>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6"/>
                <w:szCs w:val="16"/>
                <w:color w:val="auto"/>
              </w:rPr>
            </w:pPr>
          </w:p>
        </w:tc>
        <w:tc>
          <w:tcPr>
            <w:tcW w:w="1000" w:type="dxa"/>
            <w:vAlign w:val="bottom"/>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ind w:right="182"/>
              <w:spacing w:after="0"/>
              <w:rPr>
                <w:sz w:val="20"/>
                <w:szCs w:val="20"/>
                <w:color w:val="auto"/>
              </w:rPr>
            </w:pPr>
            <w:r>
              <w:rPr>
                <w:rFonts w:ascii="Arial" w:cs="Arial" w:eastAsia="Arial" w:hAnsi="Arial"/>
                <w:sz w:val="18"/>
                <w:szCs w:val="18"/>
                <w:color w:val="auto"/>
              </w:rPr>
              <w:t>46,666</w:t>
            </w:r>
          </w:p>
        </w:tc>
        <w:tc>
          <w:tcPr>
            <w:tcW w:w="48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ind w:right="136"/>
              <w:spacing w:after="0"/>
              <w:rPr>
                <w:sz w:val="20"/>
                <w:szCs w:val="20"/>
                <w:color w:val="auto"/>
              </w:rPr>
            </w:pPr>
            <w:r>
              <w:rPr>
                <w:rFonts w:ascii="Arial" w:cs="Arial" w:eastAsia="Arial" w:hAnsi="Arial"/>
                <w:sz w:val="18"/>
                <w:szCs w:val="18"/>
                <w:color w:val="auto"/>
              </w:rPr>
              <w:t>26,479</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20,187</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76 %</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Cost of revenue increased by $20.2 million, or 76%, for the three months ended March 31, 2021 compared to the three months ended March 31, 2020. This increase was primarily due to an increase of $18.2 million in third-party cloud infrastructure hosting and software costs and $1.6 million of personnel expenses as a result of increased headcount.</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gross margin decreased by 4% for the three months ended March 31, 2021 compared to the three months ended March 31, 2020, primarily as a result of increased spend with our third-party cloud infrastructure providers.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jc w:val="center"/>
              <w:ind w:left="602"/>
              <w:spacing w:after="0"/>
              <w:rPr>
                <w:sz w:val="20"/>
                <w:szCs w:val="20"/>
                <w:color w:val="auto"/>
              </w:rPr>
            </w:pPr>
            <w:r>
              <w:rPr>
                <w:rFonts w:ascii="Arial" w:cs="Arial" w:eastAsia="Arial" w:hAnsi="Arial"/>
                <w:sz w:val="14"/>
                <w:szCs w:val="14"/>
                <w:b w:val="1"/>
                <w:bCs w:val="1"/>
                <w:color w:val="auto"/>
                <w:w w:val="99"/>
              </w:rPr>
              <w:t>March 31,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6"/>
                <w:szCs w:val="16"/>
                <w:color w:val="auto"/>
              </w:rPr>
            </w:pPr>
          </w:p>
        </w:tc>
        <w:tc>
          <w:tcPr>
            <w:tcW w:w="1020" w:type="dxa"/>
            <w:vAlign w:val="bottom"/>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ind w:right="202"/>
              <w:spacing w:after="0"/>
              <w:rPr>
                <w:sz w:val="20"/>
                <w:szCs w:val="20"/>
                <w:color w:val="auto"/>
              </w:rPr>
            </w:pPr>
            <w:r>
              <w:rPr>
                <w:rFonts w:ascii="Arial" w:cs="Arial" w:eastAsia="Arial" w:hAnsi="Arial"/>
                <w:sz w:val="18"/>
                <w:szCs w:val="18"/>
                <w:color w:val="auto"/>
              </w:rPr>
              <w:t>79,266</w:t>
            </w:r>
          </w:p>
        </w:tc>
        <w:tc>
          <w:tcPr>
            <w:tcW w:w="46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ind w:right="136"/>
              <w:spacing w:after="0"/>
              <w:rPr>
                <w:sz w:val="20"/>
                <w:szCs w:val="20"/>
                <w:color w:val="auto"/>
              </w:rPr>
            </w:pPr>
            <w:r>
              <w:rPr>
                <w:rFonts w:ascii="Arial" w:cs="Arial" w:eastAsia="Arial" w:hAnsi="Arial"/>
                <w:sz w:val="18"/>
                <w:szCs w:val="18"/>
                <w:color w:val="auto"/>
              </w:rPr>
              <w:t>40,824</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38,442</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8"/>
                <w:szCs w:val="18"/>
                <w:color w:val="auto"/>
              </w:rPr>
              <w:t>40 %</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Research and development expense increased by $38.4 million, or 94%, for the three months ended March 31, 2021 compared to the three months ended March 31, 2020. This increase was primarily due to an increase of $28.7 million in personnel costs for our engineering, product and design teams as a result of increased headcount, an increase of $10.6 million in cloud hosting costs, and an increase of $0.4 million in other research and development costs. These amounts were partially offset by a decrease of $1.3 million related to allocated overhead costs.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jc w:val="center"/>
              <w:ind w:left="602"/>
              <w:spacing w:after="0"/>
              <w:rPr>
                <w:sz w:val="20"/>
                <w:szCs w:val="20"/>
                <w:color w:val="auto"/>
              </w:rPr>
            </w:pPr>
            <w:r>
              <w:rPr>
                <w:rFonts w:ascii="Arial" w:cs="Arial" w:eastAsia="Arial" w:hAnsi="Arial"/>
                <w:sz w:val="14"/>
                <w:szCs w:val="14"/>
                <w:b w:val="1"/>
                <w:bCs w:val="1"/>
                <w:color w:val="auto"/>
                <w:w w:val="99"/>
              </w:rPr>
              <w:t>March 31,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6"/>
                <w:szCs w:val="16"/>
                <w:color w:val="auto"/>
              </w:rPr>
            </w:pPr>
          </w:p>
        </w:tc>
        <w:tc>
          <w:tcPr>
            <w:tcW w:w="1020" w:type="dxa"/>
            <w:vAlign w:val="bottom"/>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ind w:right="202"/>
              <w:spacing w:after="0"/>
              <w:rPr>
                <w:sz w:val="20"/>
                <w:szCs w:val="20"/>
                <w:color w:val="auto"/>
              </w:rPr>
            </w:pPr>
            <w:r>
              <w:rPr>
                <w:rFonts w:ascii="Arial" w:cs="Arial" w:eastAsia="Arial" w:hAnsi="Arial"/>
                <w:sz w:val="18"/>
                <w:szCs w:val="18"/>
                <w:color w:val="auto"/>
              </w:rPr>
              <w:t>64,353</w:t>
            </w:r>
          </w:p>
        </w:tc>
        <w:tc>
          <w:tcPr>
            <w:tcW w:w="46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ind w:right="136"/>
              <w:spacing w:after="0"/>
              <w:rPr>
                <w:sz w:val="20"/>
                <w:szCs w:val="20"/>
                <w:color w:val="auto"/>
              </w:rPr>
            </w:pPr>
            <w:r>
              <w:rPr>
                <w:rFonts w:ascii="Arial" w:cs="Arial" w:eastAsia="Arial" w:hAnsi="Arial"/>
                <w:sz w:val="18"/>
                <w:szCs w:val="18"/>
                <w:color w:val="auto"/>
              </w:rPr>
              <w:t>45,215</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19,138</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8"/>
                <w:szCs w:val="18"/>
                <w:color w:val="auto"/>
              </w:rPr>
              <w:t>32 %</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Sales and marketing expense increased by $19.1 million, or 42%, for the three months ended March 31, 2021 compared to the three months ended March 31, 2020. This increase was primarily due to an increase of $17.4 million in personnel costs for our sales and marketing organization as a result of increased headcount and increased variable compensation for our sales personnel and an increase of $3.3 million in marketing and promotional activities. These amounts were partially offset by a decrease of $1.4 million related to allocated overhead costs.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center"/>
              <w:ind w:left="602"/>
              <w:spacing w:after="0"/>
              <w:rPr>
                <w:sz w:val="20"/>
                <w:szCs w:val="20"/>
                <w:color w:val="auto"/>
              </w:rPr>
            </w:pPr>
            <w:r>
              <w:rPr>
                <w:rFonts w:ascii="Arial" w:cs="Arial" w:eastAsia="Arial" w:hAnsi="Arial"/>
                <w:sz w:val="14"/>
                <w:szCs w:val="14"/>
                <w:b w:val="1"/>
                <w:bCs w:val="1"/>
                <w:color w:val="auto"/>
                <w:w w:val="95"/>
              </w:rPr>
              <w:t>March 31,</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6"/>
                <w:szCs w:val="16"/>
                <w:color w:val="auto"/>
              </w:rPr>
            </w:pPr>
          </w:p>
        </w:tc>
        <w:tc>
          <w:tcPr>
            <w:tcW w:w="1020" w:type="dxa"/>
            <w:vAlign w:val="bottom"/>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FF0FC"/>
            </w:tcBorders>
            <w:shd w:val="clear" w:color="auto" w:fill="CFF0FC"/>
          </w:tcPr>
          <w:p>
            <w:pPr>
              <w:jc w:val="right"/>
              <w:ind w:right="202"/>
              <w:spacing w:after="0"/>
              <w:rPr>
                <w:sz w:val="20"/>
                <w:szCs w:val="20"/>
                <w:color w:val="auto"/>
              </w:rPr>
            </w:pPr>
            <w:r>
              <w:rPr>
                <w:rFonts w:ascii="Arial" w:cs="Arial" w:eastAsia="Arial" w:hAnsi="Arial"/>
                <w:sz w:val="18"/>
                <w:szCs w:val="18"/>
                <w:color w:val="auto"/>
              </w:rPr>
              <w:t>21,094</w:t>
            </w:r>
          </w:p>
        </w:tc>
        <w:tc>
          <w:tcPr>
            <w:tcW w:w="46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ind w:right="136"/>
              <w:spacing w:after="0"/>
              <w:rPr>
                <w:sz w:val="20"/>
                <w:szCs w:val="20"/>
                <w:color w:val="auto"/>
              </w:rPr>
            </w:pPr>
            <w:r>
              <w:rPr>
                <w:rFonts w:ascii="Arial" w:cs="Arial" w:eastAsia="Arial" w:hAnsi="Arial"/>
                <w:sz w:val="18"/>
                <w:szCs w:val="18"/>
                <w:color w:val="auto"/>
              </w:rPr>
              <w:t>14,952</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6,142</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Arial" w:cs="Arial" w:eastAsia="Arial" w:hAnsi="Arial"/>
                <w:sz w:val="18"/>
                <w:szCs w:val="18"/>
                <w:color w:val="auto"/>
              </w:rPr>
              <w:t>11 %</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General and administrative expense increased by $6.1 million, or 41%, for the three months ended March 31, 2021 compared to the three months ended March 31, 2020. This increase was primarily due to an increase of $3.9 million in personnel costs as a result of increased headcount, an increase of $2.0 million related to outside professional fees primarily related to insurance, finance and legal fees, and an increase of $1.2 million related to other costs and allocated overhead costs to support the growing business. These amounts were partially offset by a decrease of $1.0 million related to bad debt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2240" w:type="dxa"/>
            <w:vAlign w:val="bottom"/>
            <w:gridSpan w:val="3"/>
          </w:tcPr>
          <w:p>
            <w:pPr>
              <w:jc w:val="center"/>
              <w:ind w:left="644"/>
              <w:spacing w:after="0"/>
              <w:rPr>
                <w:sz w:val="20"/>
                <w:szCs w:val="20"/>
                <w:color w:val="auto"/>
              </w:rPr>
            </w:pPr>
            <w:r>
              <w:rPr>
                <w:rFonts w:ascii="Arial" w:cs="Arial" w:eastAsia="Arial" w:hAnsi="Arial"/>
                <w:sz w:val="14"/>
                <w:szCs w:val="14"/>
                <w:b w:val="1"/>
                <w:bCs w:val="1"/>
                <w:color w:val="auto"/>
                <w:w w:val="95"/>
              </w:rPr>
              <w:t>Three Months Ended</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gridSpan w:val="2"/>
          </w:tcPr>
          <w:p>
            <w:pPr>
              <w:jc w:val="center"/>
              <w:ind w:right="99"/>
              <w:spacing w:after="0"/>
              <w:rPr>
                <w:sz w:val="20"/>
                <w:szCs w:val="20"/>
                <w:color w:val="auto"/>
              </w:rPr>
            </w:pPr>
            <w:r>
              <w:rPr>
                <w:rFonts w:ascii="Arial" w:cs="Arial" w:eastAsia="Arial" w:hAnsi="Arial"/>
                <w:sz w:val="14"/>
                <w:szCs w:val="14"/>
                <w:b w:val="1"/>
                <w:bCs w:val="1"/>
                <w:color w:val="auto"/>
                <w:w w:val="99"/>
              </w:rPr>
              <w:t>March 31,</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146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20" w:type="dxa"/>
            <w:vAlign w:val="bottom"/>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6"/>
                <w:szCs w:val="16"/>
                <w:color w:val="auto"/>
              </w:rPr>
            </w:pPr>
          </w:p>
        </w:tc>
        <w:tc>
          <w:tcPr>
            <w:tcW w:w="2240" w:type="dxa"/>
            <w:vAlign w:val="bottom"/>
            <w:gridSpan w:val="3"/>
          </w:tcPr>
          <w:p>
            <w:pPr>
              <w:jc w:val="center"/>
              <w:ind w:left="644"/>
              <w:spacing w:after="0"/>
              <w:rPr>
                <w:sz w:val="20"/>
                <w:szCs w:val="20"/>
                <w:color w:val="auto"/>
              </w:rPr>
            </w:pPr>
            <w:r>
              <w:rPr>
                <w:rFonts w:ascii="Arial" w:cs="Arial" w:eastAsia="Arial" w:hAnsi="Arial"/>
                <w:sz w:val="14"/>
                <w:szCs w:val="14"/>
                <w:b w:val="1"/>
                <w:bCs w:val="1"/>
                <w:color w:val="auto"/>
                <w:w w:val="90"/>
              </w:rPr>
              <w:t>(dollars in thousands)</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900" w:type="dxa"/>
            <w:vAlign w:val="bottom"/>
            <w:tcBorders>
              <w:bottom w:val="single" w:sz="8" w:color="CFF0FC"/>
            </w:tcBorders>
            <w:shd w:val="clear" w:color="auto" w:fill="CFF0FC"/>
          </w:tcPr>
          <w:p>
            <w:pPr>
              <w:jc w:val="right"/>
              <w:ind w:right="70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FF0FC"/>
            </w:tcBorders>
            <w:shd w:val="clear" w:color="auto" w:fill="CFF0FC"/>
          </w:tcPr>
          <w:p>
            <w:pPr>
              <w:jc w:val="right"/>
              <w:ind w:right="196"/>
              <w:spacing w:after="0"/>
              <w:rPr>
                <w:sz w:val="20"/>
                <w:szCs w:val="20"/>
                <w:color w:val="auto"/>
              </w:rPr>
            </w:pPr>
            <w:r>
              <w:rPr>
                <w:rFonts w:ascii="Arial" w:cs="Arial" w:eastAsia="Arial" w:hAnsi="Arial"/>
                <w:sz w:val="18"/>
                <w:szCs w:val="18"/>
                <w:color w:val="auto"/>
                <w:w w:val="93"/>
              </w:rPr>
              <w:t>301</w:t>
            </w:r>
          </w:p>
        </w:tc>
        <w:tc>
          <w:tcPr>
            <w:tcW w:w="760" w:type="dxa"/>
            <w:vAlign w:val="bottom"/>
            <w:tcBorders>
              <w:bottom w:val="single" w:sz="8" w:color="CFF0FC"/>
            </w:tcBorders>
            <w:shd w:val="clear" w:color="auto" w:fill="CFF0FC"/>
          </w:tcPr>
          <w:p>
            <w:pPr>
              <w:jc w:val="right"/>
              <w:ind w:right="519"/>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2,896</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Other income, net decreased by $2.6 million in the three months ended March 31, 2021 compared to the three months ended March 31, 2020. This decrease was primarily due to a decrease of $1.0 million interest expense related to our 2025 Notes and and a decrease of $3.7 million in amortization of premiums on our marketable securities. These amounts were partially offset by an increase of $2.1 million in interest income, mainly due to income earned from investments in marketable securities and money market funds.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Since inception, we have financed operations primarily through sales of subscriptions and the net proceeds we have received from issuance of equity and debt securities.</w:t>
      </w:r>
    </w:p>
    <w:p>
      <w:pPr>
        <w:spacing w:after="0" w:line="170"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In June 2020, we issued $747.5 million aggregate principal amount of the 2025 Notes in a private placement to qualified institutional buyers pursuant to Rule 144A under the Securities Act. The 2025 Notes will mature on June 15, 2025, unless earlier converted, redeemed or repurchased.</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2021, we had $369.7 million in cash and cash equivalents, and $1,178.2 million in marketable securities.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cash and cash equivalents primarily consist of bank deposits and money market funds. Our marketable securities consist of commercial debt securities, certificates of deposit, U.S. government treasury and commercial paper.</w:t>
      </w:r>
    </w:p>
    <w:p>
      <w:pPr>
        <w:spacing w:after="0" w:line="170"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believe that our existing cash and cash equivalents, marketable securities, and cash flow from operations will be sufficient to support working capital and capital expenditure requirements for at least the next 12 months. Our future capital requirements will depend on many factors, including our subscription growth rate, subscription renewal activity, including the timing and the amount of cash received from customers, the expansion of sales and marketing activities, the timing and extent of spending to support development efforts, the introduction of new and enhanced products, the continuing market adoption of our platform, and the current uncertainty in the global markets resulting from the ongoing COVID-19 pandemic on our customers’ businesses and operations. 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6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 substantial source of our cash from operations is from our deferred revenue, which is included in the liabilities section of our condensed consolidated balance sheet. Deferred revenue consists of the unearned portion of customer billings, which will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1" w:name="page32"/>
    <w:bookmarkEnd w:id="31"/>
    <w:p>
      <w:pPr>
        <w:jc w:val="both"/>
        <w:spacing w:after="0" w:line="263" w:lineRule="auto"/>
        <w:rPr>
          <w:sz w:val="20"/>
          <w:szCs w:val="20"/>
          <w:color w:val="auto"/>
        </w:rPr>
      </w:pPr>
      <w:r>
        <w:rPr>
          <w:rFonts w:ascii="Arial" w:cs="Arial" w:eastAsia="Arial" w:hAnsi="Arial"/>
          <w:sz w:val="18"/>
          <w:szCs w:val="18"/>
          <w:color w:val="auto"/>
        </w:rPr>
        <w:t>be recognized as revenue in accordance with our revenue recognition policy. As of March 31, 2021, we had deferred revenue of $229.3 million, of which $223.6 million was recorded as a current liability and expected to be recognized as revenue in the next 12 months, provided all other revenue recognition criteria have been met.</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a summary of our cash flows for the periods presented:</w:t>
      </w:r>
    </w:p>
    <w:p>
      <w:pPr>
        <w:spacing w:after="0" w:line="126"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Three Months Ended</w:t>
      </w:r>
    </w:p>
    <w:p>
      <w:pPr>
        <w:jc w:val="center"/>
        <w:ind w:left="83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4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183"/>
        </w:trPr>
        <w:tc>
          <w:tcPr>
            <w:tcW w:w="8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r>
      <w:tr>
        <w:trPr>
          <w:trHeight w:val="231"/>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51,650</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24,255</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Cash provided by (used in) investing activities</w:t>
            </w:r>
          </w:p>
        </w:tc>
        <w:tc>
          <w:tcPr>
            <w:tcW w:w="320" w:type="dxa"/>
            <w:vAlign w:val="bottom"/>
          </w:tcPr>
          <w:p>
            <w:pPr>
              <w:spacing w:after="0"/>
              <w:rPr>
                <w:sz w:val="19"/>
                <w:szCs w:val="19"/>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90,710</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(429,805)</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3,030</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r>
    </w:tbl>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largest source of operating cash is cash collection from sales of subscriptions to our customers. Our primary uses of cash from operating activities are for personnel expenses, marketing expenses, hosting expenses and overhead expenses. We have generated positive cash flows and have supplemented working capital requirements through net proceeds from the sale of equity and debt securities.</w:t>
      </w:r>
    </w:p>
    <w:p>
      <w:pPr>
        <w:spacing w:after="0" w:line="184"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Cash provided by operating activities for the three months ended March 31, 2021 of $51.7 million was primarily related to our net loss of $13.1 million, adjusted for non-cash charges of $46.2 million and net cash outflows of $18.5 million provided by changes in our operating assets and liabilities. Non-cash charges primarily consisted of stock-based compensation, depreciation and amortization of property and equipment, amortization of acquired intangibles, amortization of discounts or premiums on marketable securities, non-cash lease expense, amortization of deferred contract costs, and amortization of issuance costs related to our 2025 Notes. The main drivers of the changes in operating assets and liabilities were related to a $21.0 million increase in deferred revenue, resulting primarily from increased billings for subscriptions, a $9.7 million increase in accrued expenses and other liabilities, a $9.2 million decrease in accounts receivable, due to increased collections from customers, and a $0.6 million decrease in other assets. These amounts were partially offset by a $9.2 million decrease in accounts payable, a $6.7 million increase in deferred contract costs related to commissions paid on new bookings, and a $6.0 million increase in prepaid expenses and other current assets, primarily driven by prepaid hosting services.</w:t>
      </w:r>
    </w:p>
    <w:p>
      <w:pPr>
        <w:spacing w:after="0" w:line="16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Cash provided by operating activities for the three months ended March 31, 2020 of $24.3 million was primarily related to our net income of $6.5 million, adjusted for non-cash charges of $22.5 million and net cash outflows of $4.7 million provided by changes in our operating assets and liabilities. Non-cash charges primarily consisted of stock-based compensation, depreciation and amortization of property and equipment, and amortization of acquired intangibles. The main drivers of the changes in operating assets and liabilities were related to a $7.1 million increase in accounts receivable, net, due to increases in sales, a $4.6 million increase in deferred contract costs related to commissions paid on new bookings, a $1.4 million increase in prepaid expenses and other current assets, primarily driven by prepaid hosting services, and a $1.4 million decrease in accounts payable. These amounts were partially offset by a $6.9 million increase in deferred revenue, resulting primarily from increased billings for subscriptions, a $2.0 million increase in accrued expenses and other liabilities, and a $0.9 million decrease in other current assets.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Cash provided by investing activities for the three months ended March 31, 2021 was $90.7 million, and was primarily the result of investment in marketable securities of $150.3 million, a $6.2 million increase in capitalization of software development costs, a $1.0 million increase in capital expenditures to purchase property and equipment to support office space and site operations, and $11.5 million paid for an acquisition. These amounts were partially offset by proceeds of $253.2 million and $6.5 million from maturities and sales of marketable securities, respectively.</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Cash used in investing activities for the three months ended March 31, 2020 was $429.8 million, and was primarily the result of investment in marketable securities, increases in capital expenditures to purchase property and equipment to support additional office space and site operations and increases in capitalization of software development costs.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2" w:name="page33"/>
    <w:bookmarkEnd w:id="32"/>
    <w:p>
      <w:pPr>
        <w:ind w:left="5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Cash provided by financing activities for the three months ended March 31, 2021 was $3.0 million and was primarily the result of proceeds from the exercise of stock options in the amount of $3.3 million. These amounts were partially offset by $0.2 million of taxes paid in connection with the ESPP.</w:t>
      </w:r>
    </w:p>
    <w:p>
      <w:pPr>
        <w:spacing w:after="0" w:line="12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Cash provided by financing activities for the three months ended March 31, 2020 was $2.7 million and was primarily the result of proceeds from the exercise of stock options in the amount of $2.8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Free Cash Flow</w:t>
      </w:r>
    </w:p>
    <w:p>
      <w:pPr>
        <w:spacing w:after="0" w:line="22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report our financial results in accordance with GAAP. To supplement our condensed consolidated financial statements, we provide investors with the amount of free cash flow, which is a non-GAAP financial measure. Free cash flow represents net cash used in operating activities, reduced by capital expenditures and capitalized software development costs, if any. Free cash flow is a measure used by management to understand and evaluate our liquidity and to generate future operating plans. The reduction of capital expenditures and amounts capitalized for software development facilitates comparisons of our liquidity on a period-to-period basis and excludes items that we do not consider to be indicative of our liquidity. We believe that free cash flow is a measure of liquidity that provides useful information to our management, board of directors, investors and others in understanding and evaluating the strength of our liquidity and future ability to generate cash that can be used for strategic opportunities or investing in our business.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w:t>
      </w:r>
    </w:p>
    <w:p>
      <w:pPr>
        <w:spacing w:after="0" w:line="18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presents our cash flows for the periods presented and a reconciliation of free cash flow to net cash provided by operating activities, the most directly comparable financial measure calculated in accordance with GAAP:</w:t>
      </w:r>
    </w:p>
    <w:p>
      <w:pPr>
        <w:spacing w:after="0" w:line="71"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Three Months Ended</w:t>
      </w:r>
    </w:p>
    <w:p>
      <w:pPr>
        <w:jc w:val="center"/>
        <w:ind w:left="83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4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r>
      <w:tr>
        <w:trPr>
          <w:trHeight w:val="183"/>
        </w:trPr>
        <w:tc>
          <w:tcPr>
            <w:tcW w:w="8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r>
      <w:tr>
        <w:trPr>
          <w:trHeight w:val="231"/>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24,255</w:t>
            </w:r>
          </w:p>
        </w:tc>
      </w:tr>
      <w:tr>
        <w:trPr>
          <w:trHeight w:val="229"/>
        </w:trPr>
        <w:tc>
          <w:tcPr>
            <w:tcW w:w="8440" w:type="dxa"/>
            <w:vAlign w:val="bottom"/>
          </w:tcPr>
          <w:p>
            <w:pPr>
              <w:ind w:left="220"/>
              <w:spacing w:after="0"/>
              <w:rPr>
                <w:sz w:val="20"/>
                <w:szCs w:val="20"/>
                <w:color w:val="auto"/>
              </w:rPr>
            </w:pPr>
            <w:r>
              <w:rPr>
                <w:rFonts w:ascii="Arial" w:cs="Arial" w:eastAsia="Arial" w:hAnsi="Arial"/>
                <w:sz w:val="18"/>
                <w:szCs w:val="18"/>
                <w:color w:val="auto"/>
              </w:rPr>
              <w:t>Less: Purchases of property and equipment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w w:val="94"/>
              </w:rPr>
              <w:t>(1,526)</w:t>
            </w: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Capitalized software development costs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4"/>
              </w:rPr>
              <w:t>(3,417)</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44,469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8"/>
              </w:rPr>
              <w:t>19,312</w:t>
            </w:r>
          </w:p>
        </w:tc>
      </w:tr>
      <w:tr>
        <w:trPr>
          <w:trHeight w:val="21"/>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principal commitments consist of obligations under our operating leases, purchase commitments to our cloud hosting providers and other vendors, and obligations to pay the 2025 Notes’ coupons and principal.</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During the three months ended March 31, 2021, other than certain non-cancelable operating leases described in Note 9,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there were no other material changes outside the ordinary course of business in our contractual obligations and commitments, as disclosed in Part II, Item 7, “Management’s Discussion and Analysis of Financial Condition and Results of Operations” of the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March 31, 2021 we did not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condensed consolidated financial statements are prepared in accordance with GAAP. The preparation of these financial statements requires us to make estimates and assumptions that affect the reported amounts of assets, liabilities,</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33" w:name="page34"/>
    <w:bookmarkEnd w:id="33"/>
    <w:p>
      <w:pPr>
        <w:jc w:val="both"/>
        <w:ind w:right="20"/>
        <w:spacing w:after="0" w:line="342" w:lineRule="auto"/>
        <w:rPr>
          <w:sz w:val="20"/>
          <w:szCs w:val="20"/>
          <w:color w:val="auto"/>
        </w:rPr>
      </w:pPr>
      <w:r>
        <w:rPr>
          <w:rFonts w:ascii="Arial" w:cs="Arial" w:eastAsia="Arial" w:hAnsi="Arial"/>
          <w:sz w:val="16"/>
          <w:szCs w:val="16"/>
          <w:color w:val="auto"/>
        </w:rPr>
        <w:t>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2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have been no material changes to our critical accounting policies from those disclosed in Part II, Item 7, “Management’s Discussion and Analysis of Financial Condition and Results of Operations” of the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 xml:space="preserve">See Note 2, </w:t>
      </w:r>
      <w:r>
        <w:rPr>
          <w:rFonts w:ascii="Arial" w:cs="Arial" w:eastAsia="Arial" w:hAnsi="Arial"/>
          <w:sz w:val="17"/>
          <w:szCs w:val="17"/>
          <w:i w:val="1"/>
          <w:iCs w:val="1"/>
          <w:color w:val="auto"/>
        </w:rPr>
        <w:t>Basis of Presentation and Summary of Significant Accounting Policies</w:t>
      </w:r>
      <w:r>
        <w:rPr>
          <w:rFonts w:ascii="Arial" w:cs="Arial" w:eastAsia="Arial" w:hAnsi="Arial"/>
          <w:sz w:val="17"/>
          <w:szCs w:val="17"/>
          <w:color w:val="auto"/>
        </w:rPr>
        <w:t>, in our Notes to Unaudited Condensed Consolidated Financial Statements included in Part I, Item 1 of this Quarterly Report on Form 10-Q for a discussion of recent accounting pronouncements.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As of March 31, 2021, we had $362.2 million in cash equivalents and $1,178.2 million in marketable securities, </w:t>
      </w:r>
      <w:r>
        <w:rPr>
          <w:rFonts w:ascii="Arial" w:cs="Arial" w:eastAsia="Arial" w:hAnsi="Arial"/>
          <w:sz w:val="17"/>
          <w:szCs w:val="17"/>
          <w:color w:val="333333"/>
        </w:rPr>
        <w:t>which consisted</w:t>
      </w:r>
      <w:r>
        <w:rPr>
          <w:rFonts w:ascii="Arial" w:cs="Arial" w:eastAsia="Arial" w:hAnsi="Arial"/>
          <w:sz w:val="17"/>
          <w:szCs w:val="17"/>
          <w:color w:val="auto"/>
        </w:rPr>
        <w:t xml:space="preserve"> of commercial debt, certificates of deposit, U.S. government treasury and agency securities, and commercial paper</w:t>
      </w:r>
      <w:r>
        <w:rPr>
          <w:rFonts w:ascii="Arial" w:cs="Arial" w:eastAsia="Arial" w:hAnsi="Arial"/>
          <w:sz w:val="17"/>
          <w:szCs w:val="17"/>
          <w:color w:val="333333"/>
        </w:rPr>
        <w:t>. In addition, we had</w:t>
      </w:r>
      <w:r>
        <w:rPr>
          <w:rFonts w:ascii="Arial" w:cs="Arial" w:eastAsia="Arial" w:hAnsi="Arial"/>
          <w:sz w:val="17"/>
          <w:szCs w:val="17"/>
          <w:color w:val="auto"/>
        </w:rPr>
        <w:t xml:space="preserve"> $3.6 million of restricted cash due to the outstanding letters of credit established in connection with lease agreements for our facilities. Our cash and cash equivalents are held for working capital purposes. We do not enter into investments for trading or speculative purposes. </w:t>
      </w:r>
      <w:r>
        <w:rPr>
          <w:rFonts w:ascii="Arial" w:cs="Arial" w:eastAsia="Arial" w:hAnsi="Arial"/>
          <w:sz w:val="17"/>
          <w:szCs w:val="17"/>
          <w:color w:val="333333"/>
        </w:rPr>
        <w:t>Our investments are exposed to market risk due to a fluctuation in interest</w:t>
      </w:r>
      <w:r>
        <w:rPr>
          <w:rFonts w:ascii="Arial" w:cs="Arial" w:eastAsia="Arial" w:hAnsi="Arial"/>
          <w:sz w:val="17"/>
          <w:szCs w:val="17"/>
          <w:color w:val="auto"/>
        </w:rPr>
        <w:t xml:space="preserve"> </w:t>
      </w:r>
      <w:r>
        <w:rPr>
          <w:rFonts w:ascii="Arial" w:cs="Arial" w:eastAsia="Arial" w:hAnsi="Arial"/>
          <w:sz w:val="17"/>
          <w:szCs w:val="17"/>
          <w:color w:val="333333"/>
        </w:rPr>
        <w:t xml:space="preserve">rates, which may affect our interest income and the fair market value of our investments. </w:t>
      </w:r>
      <w:r>
        <w:rPr>
          <w:rFonts w:ascii="Arial" w:cs="Arial" w:eastAsia="Arial" w:hAnsi="Arial"/>
          <w:sz w:val="17"/>
          <w:szCs w:val="17"/>
          <w:color w:val="000000"/>
        </w:rPr>
        <w:t>As of March 31, 2021, a hypothetical 10% relative change in</w:t>
      </w:r>
      <w:r>
        <w:rPr>
          <w:rFonts w:ascii="Arial" w:cs="Arial" w:eastAsia="Arial" w:hAnsi="Arial"/>
          <w:sz w:val="17"/>
          <w:szCs w:val="17"/>
          <w:color w:val="333333"/>
        </w:rPr>
        <w:t xml:space="preserve"> </w:t>
      </w:r>
      <w:r>
        <w:rPr>
          <w:rFonts w:ascii="Arial" w:cs="Arial" w:eastAsia="Arial" w:hAnsi="Arial"/>
          <w:sz w:val="17"/>
          <w:szCs w:val="17"/>
          <w:color w:val="000000"/>
        </w:rPr>
        <w:t>interest rates would not have a material impact on our condensed consolidated financial statements.</w:t>
      </w:r>
    </w:p>
    <w:p>
      <w:pPr>
        <w:spacing w:after="0" w:line="178"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On June 2, 2020, we issued $747.5 million aggregate principal amount of the 2025 Notes. The fair value of the 2025 Notes is subject to interest rate risk, market risk and other factors due to the conversion feature. The fair value of the 2025 Notes will generally increase as our Class A common stock price increases and will generally decrease as our Class A common stock price declines. The interest and market value changes affect the fair value of the 2025 Notes but do not impact our financial position, cash flows, or results of operations due to the fixed nature of the debt obligation.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reporting currency and the functional currency of our wholly 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Canada, France, Ireland, the United Kingdom, Japan, Australia, Germany, the Netherlands, and Spain.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4" w:name="page35"/>
    <w:bookmarkEnd w:id="34"/>
    <w:p>
      <w:pPr>
        <w:jc w:val="both"/>
        <w:ind w:firstLine="486"/>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March 31, 2021. Based on the evaluation of our disclosure controls and procedures as of March 31, 2021, our Chief Executive Officer and Chief Financial Officer concluded that, as of such date, our disclosure controls and procedures were effective at the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the principal risks associated with an investment in our Class A common stock:</w:t>
      </w:r>
    </w:p>
    <w:p>
      <w:pPr>
        <w:spacing w:after="0" w:line="117" w:lineRule="exact"/>
        <w:rPr>
          <w:sz w:val="20"/>
          <w:szCs w:val="20"/>
          <w:color w:val="auto"/>
        </w:rPr>
      </w:pPr>
    </w:p>
    <w:p>
      <w:pPr>
        <w:ind w:left="980" w:hanging="486"/>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ongoing COVID-19 pandemic and any related economic downturn could negatively impact our business, financial condition and results of operations.</w:t>
      </w:r>
    </w:p>
    <w:p>
      <w:pPr>
        <w:spacing w:after="0" w:line="62"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Unfavorable conditions in our industry or the global economy, or reductions in information technology spending, could limit our ability to grow our business and negatively affect our results of operations.</w:t>
      </w:r>
    </w:p>
    <w:p>
      <w:pPr>
        <w:spacing w:after="0" w:line="62"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recent rapid growth may not be indicative of our future growth. Our rapid growth also makes it difficult to evaluate our future prospects and may increase the risk that we will not be successful.</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forecast our future results of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require additional capital to support the growth of our business, and this capital might not be available on acceptable terms, if at all.</w:t>
      </w:r>
    </w:p>
    <w:p>
      <w:pPr>
        <w:spacing w:after="0" w:line="140" w:lineRule="exact"/>
        <w:rPr>
          <w:rFonts w:ascii="Arial" w:cs="Arial" w:eastAsia="Arial" w:hAnsi="Arial"/>
          <w:sz w:val="16"/>
          <w:szCs w:val="16"/>
          <w:color w:val="auto"/>
        </w:rPr>
      </w:pPr>
    </w:p>
    <w:p>
      <w:pPr>
        <w:ind w:left="980" w:hanging="486"/>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attract new customers, our business, financial condition and results of operations may be adversely affected.</w:t>
      </w:r>
    </w:p>
    <w:p>
      <w:pPr>
        <w:spacing w:after="0" w:line="117"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effectively develop and expand our sales and marketing capabilities could harm our ability to increase our customer base and achieve broader market acceptance of our products.</w:t>
      </w:r>
    </w:p>
    <w:p>
      <w:pPr>
        <w:spacing w:after="0" w:line="62" w:lineRule="exact"/>
        <w:rPr>
          <w:rFonts w:ascii="Arial" w:cs="Arial" w:eastAsia="Arial" w:hAnsi="Arial"/>
          <w:sz w:val="18"/>
          <w:szCs w:val="18"/>
          <w:color w:val="auto"/>
        </w:rPr>
      </w:pPr>
    </w:p>
    <w:p>
      <w:pPr>
        <w:jc w:val="both"/>
        <w:ind w:left="980" w:hanging="486"/>
        <w:spacing w:after="0" w:line="259"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or our third-party service providers experience, or are unable to protect against cyber attacks, ransomware, security incidents, or security breaches, or if unauthorized parties otherwise obtain access to our customers’ data, our data, or our platform, then our solution may be perceived as not being secure, our reputation may be harmed, demand for our platform and products may be reduced, and we may incur significant liabilities or additional expenses.</w:t>
      </w:r>
    </w:p>
    <w:p>
      <w:pPr>
        <w:spacing w:after="0" w:line="78"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Interruptions or performance problems associated with our products and platform capabilities may adversely affect our business, financial condition and results of operations.</w:t>
      </w:r>
    </w:p>
    <w:p>
      <w:pPr>
        <w:spacing w:after="0" w:line="62"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successfully manage our growth, and if we are not able to grow efficiently, our business, financial condition and results of operations could be harmed.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ind w:left="980" w:hanging="486"/>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62"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markets in which we participate are competitive, and if we do not compete effectively, our business, financial condition and results of operations could be harmed.</w:t>
      </w:r>
    </w:p>
    <w:p>
      <w:pPr>
        <w:spacing w:after="0" w:line="62" w:lineRule="exact"/>
        <w:rPr>
          <w:rFonts w:ascii="Arial" w:cs="Arial" w:eastAsia="Arial" w:hAnsi="Arial"/>
          <w:sz w:val="18"/>
          <w:szCs w:val="18"/>
          <w:color w:val="auto"/>
        </w:rPr>
      </w:pPr>
    </w:p>
    <w:p>
      <w:pPr>
        <w:jc w:val="both"/>
        <w:ind w:left="980" w:hanging="486"/>
        <w:spacing w:after="0" w:line="263"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ongoing COVID-19 pandemic and any related economic downturn could negatively impact our business, financial condition and results of operations.</w:t>
      </w:r>
    </w:p>
    <w:p>
      <w:pPr>
        <w:spacing w:after="0" w:line="17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ongoing COVID-19 pandemic may prevent us or our employees, customers, partners, suppliers or vendors or other parties with whom we do business from conducting certain marketing and other business activities for an indefinite period of time, which could adversely impact our business, financial position and results of operations. Further, in response to the COVID-19 pandemic, many state, local and foreign governments have put in place, and others in the future may put in place, quarantines, executive orders, shelter-in-place orders and similar government orders and restrictions in order to control the spread of the disease. Such orders or restrictions, or the perception that such orders or restrictions could occur or reoccur, have resulted in business closures, work stoppages, slowdowns and delays, work-from-home policies, travel restrictions and cancellation of events, among other effects that could negatively impact productivity and disrupt our operations or those of our customers, partners, suppliers or vendors or other parties with whom we do business.</w:t>
      </w:r>
    </w:p>
    <w:p>
      <w:pPr>
        <w:spacing w:after="0" w:line="19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light of the uncertain and rapidly evolving situation relating to the spread of COVID-19 and in compliance with recent shelter-in-place orders and other government executive orders directing that all non-essential businesses close their physical operations, we have taken measures intended to help minimize the risk of the virus to our employees and the communities in which we participate. These measures include temporarily suspending all non-essential travel worldwide for our employees, canceling, postponing or holding virtually any Datadog events and discouraging employee attendance at any industry events or in-person work-related meetings. In addition, although we have recently and may continue to selectively reopen certain of our offices in compliance with applicable government orders and guidelines, the vast majority of our employees continue to work remotely. We have a distributed workforce and our employees are accustomed to working remotely and working with others who are working remotely. However, the temporary suspension of travel and in-person meetings could negatively impact our marketing efforts, the length or variability of our sales cycles, our international expansion efforts or the length of our average recruiting cycle for employees across the organization. Further, operational or other challenges could arise as we and our customers, partners, suppliers and vendors and other parties with whom we do business continue to operate via a remote workforce. In addition, our management team has, and will likely continue, to spend significant time, attention and resources monitoring the COVID-19 pandemic and seeking to manage its effects on our business and workforce.</w:t>
      </w:r>
    </w:p>
    <w:p>
      <w:pPr>
        <w:spacing w:after="0" w:line="17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COVID-19 could also adversely affect workforces, economies and financial markets globally, potentially leading to an economic downturn and a reduction in customer spending on our solutions or an inability for our customers, partners, suppliers or vendors or other parties with whom we do business to meet their contractual obligations. While it is not possible at this time to predict the duration and extent of the impact that COVID-19 could have on worldwide economic activity and our business in particular, the continued spread of COVID-19 and the measures taken by governments, businesses and other organizations in response to COVID-19 could adversely impact our business, financial condition and results of operations. For example, during the second quarter of 2020, we experienced some impact to the rate of usage growth from our existing customers. In addition, we have provided and may continue to provide guidance about our business and future operating results, which is based on certain assumptions, estimates and expectations as of the date such guidance is given. Guidance is necessarily speculative in nature, and is inherently subject to significant business, economic and competitive uncertainties and contingencies, many of which are beyond our control, such as the global economic uncertainty and financial market conditions caused by the COVID-19 pandemic. If we were to revise or fail to meet our announced guidance or expectations of analysts as a result of these factors, the price of our Class A common stock could be negatively affected.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expand within our existing customer base, acquire new customers, develop and expand our sales and marketing capabilities and expand internationally.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70"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 xml:space="preserve">Our results of operations may vary based on the impact of unfavorable changes in our industry or the global economy on us or our customers and potential customers. Unfavorable conditions in the economy both in the United States and abroad, including conditions resulting from changes in gross domestic product growth in the United States or abroad, financial and credit market fluctuations, international trade relations, political turmoil, natural catastrophes, </w:t>
      </w:r>
      <w:r>
        <w:rPr>
          <w:rFonts w:ascii="Arial" w:cs="Arial" w:eastAsia="Arial" w:hAnsi="Arial"/>
          <w:sz w:val="16"/>
          <w:szCs w:val="16"/>
          <w:color w:val="333333"/>
        </w:rPr>
        <w:t>outbreaks of contagious diseases (such as the ongoing COVID-19 pandemic),</w:t>
      </w:r>
      <w:r>
        <w:rPr>
          <w:rFonts w:ascii="Arial" w:cs="Arial" w:eastAsia="Arial" w:hAnsi="Arial"/>
          <w:sz w:val="16"/>
          <w:szCs w:val="16"/>
          <w:color w:val="auto"/>
        </w:rPr>
        <w:t xml:space="preserve"> warfare and terrorist attacks on the United States, Europe, the Asia Pacific region or elsewhere, could cause a decrease in business investments, including spending on information technology, disrupt the timing and cadence of key industry events, and negatively affect the growth of our business and our results of operations. For example, these types of unfavorable conditions could disrupt the timing of and attendance at key industry events, which we rely upon in part to generate sales of our products. If those events are disrupted, our marketing investments, sales pipeline and ability to generate new customers and sales of our products could be negatively and adversely affected. In addition, our competitors, many of whom are larger and have greater financial resources than we do, may respond to challenging market conditions by lowering prices in an attempt to attract our customers and may be less dependent on key industry events to generate sales for their products. In addition, the increased pace of consolidation in certain industries may result in reduced overall spending on our products and solutions. We cannot predict the timing, strength, or duration of any economic slowdown, instability, or recovery, generally or how any such event may impact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Growth</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70"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revenue was $198.5 million, $131.2 million, $603.5 million and $362.8 million for the three months ended March 31, 2021 and 2020 and the years ended December 31, 2020 and 2019,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49"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our products effectively so that we are able to attract new customers and expand sales to our existing customers;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the functionality and use cases for the products we offer on our platform;</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and expand the rates at which customers purchase and renew subscriptions to our platform;</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our customers with support that meets their needs;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introduce our products to new markets outside of the United States;</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identify and acquire or invest in businesses, products or technologies that we believe could complement or expand our platform; and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awareness of our brand on a global basis and successfully compete with other companies.</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may not successfully accomplish any of these objectives, and as a result, it is difficult for us to forecast our future results of operations.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we expect to continue to expend substantial financial and other resources on:</w:t>
      </w:r>
    </w:p>
    <w:p>
      <w:pPr>
        <w:spacing w:after="0" w:line="117"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sales and marketing organization to engage our existing and prospective customers, increase brand awareness and drive adoption of our products;</w:t>
      </w:r>
    </w:p>
    <w:p>
      <w:pPr>
        <w:spacing w:after="0" w:line="62"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acquisitions or strategic investments;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8" w:name="page39"/>
    <w:bookmarkEnd w:id="38"/>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international expansion;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These investments may not result in increased revenue growth in our business. If we are unable to maintain or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business, financial position and results of operations may be harmed, and we may not achieve or maintain profitability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22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generated net (loss) income of $(13.1) million and $6.5 million for the three months ended March 31, 2021 and 2020, respectively. We generated net loss of $(24.5) million and $(16.7) million for the years ended December 31, 2020 and 2019, respectively. As of March 31, 2021, we had an accumulated deficit of $144.4 million. While we have experienced significant revenue growth in recent periods, we are not certain whether or when we will obtain a high enough volume of sales to sustain or increase our growth or achieve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the expansion of our customer base, and being a public company.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achieve and sustain profitability, the value of our business and Class A common stock may significantly decrease.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forecast our future results of operations.</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were founded in June 2010. As a result of our limited operating history,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support the growth of our business, and this capital might not be available on acceptable terms, if at all.</w:t>
      </w:r>
    </w:p>
    <w:p>
      <w:pPr>
        <w:spacing w:after="0" w:line="248"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have funded our operations since inception primarily through equity and debt financings and sales of our products.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 Risks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17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Our future success depends in part on our ability to sell additional subscriptions and products to our existing customers, and our customers renewing their subscriptions when the contract term expires. The terms of our 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 important that our customers renew or expand their subscriptions with us. Whether our customers renew or expand their subscriptions with us may be impacted by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the effects of global economic conditions, including due to the global economic uncertainty and financial market conditions caused by the COVID-19 pandemic, or reductions in our customers’ spending on IT solutions or their spending levels generally. In addition, the factors impacting our ability to sell additional subscriptions and products to our customers may be exacerbated by the COVID-19 pandemic. These factors may also be exacerbated if, consistent with our growth strategy, our customer base continues to grow to encompass larger enterprises, which may also require more sophisticated and costly sales efforts. If our customers do not purchase additional subscriptions and products from us or our customers fail to renew their subscriptions, our revenue may decline and our business, financial condition and results of operations may be harmed.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new customers, our business, financial condition and results of operations will be adversely affected.</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highly-customizable application software. In addition, as our market matures, our products evolve, and competitors introduce lower cost or differentiated products that are perceived to compete with our platform and products, our ability to sell subscriptions for our products could 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7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 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or our third-party service providers experience, or are unable to protect against cyber attacks, ransomware, security incidents, or security breaches, or if unauthorized parties otherwise obtain access to our customers’ data, our data, or our platform, then our solution may be perceived as not being secure, our reputation may be harmed, demand for our platform and products may be reduced, and we may incur significant liabilities or additional expenses.</w:t>
      </w:r>
    </w:p>
    <w:p>
      <w:pPr>
        <w:spacing w:after="0" w:line="214" w:lineRule="exact"/>
        <w:rPr>
          <w:sz w:val="20"/>
          <w:szCs w:val="20"/>
          <w:color w:val="auto"/>
        </w:rPr>
      </w:pPr>
    </w:p>
    <w:p>
      <w:pPr>
        <w:jc w:val="both"/>
        <w:ind w:right="280" w:firstLine="648"/>
        <w:spacing w:after="0" w:line="248" w:lineRule="auto"/>
        <w:rPr>
          <w:sz w:val="20"/>
          <w:szCs w:val="20"/>
          <w:color w:val="auto"/>
        </w:rPr>
      </w:pPr>
      <w:r>
        <w:rPr>
          <w:rFonts w:ascii="Arial" w:cs="Arial" w:eastAsia="Arial" w:hAnsi="Arial"/>
          <w:sz w:val="18"/>
          <w:szCs w:val="18"/>
          <w:color w:val="auto"/>
        </w:rPr>
        <w:t>We collect, receive, store, process, generate, use, transfer, disclose, make accessible, protect, secure, dispose of and share personal information, confidential information and other information necessary to provide our service, to operate our business, for legal and marketing purposes, and for other business-related purposes. We may use third-party service providers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and sub-processors to help us deliver services to our customers. These vendors may store or process personal information on our behalf</w:t>
      </w:r>
      <w:r>
        <w:rPr>
          <w:rFonts w:ascii="Arial" w:cs="Arial" w:eastAsia="Arial" w:hAnsi="Arial"/>
          <w:sz w:val="18"/>
          <w:szCs w:val="18"/>
          <w:b w:val="1"/>
          <w:bCs w:val="1"/>
          <w:i w:val="1"/>
          <w:iCs w:val="1"/>
          <w:color w:val="auto"/>
        </w:rPr>
        <w:t>.</w:t>
      </w:r>
    </w:p>
    <w:p>
      <w:pPr>
        <w:spacing w:after="0" w:line="21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platform and products involve the storage and transmission of data, including personal information, and security breaches or unauthorized access to our platform and products, or those of our third-party service providers, could result in the loss of our or our customers’ data, litigation, indemnity obligations, fines, penalties, disputes, investigations and other liabilities. We have previously and may in the future become the target of cyber-attacks by third parties seeking unauthorized access to our or our customers’ data or to disrupt our ability to provide our services. For example, in July 2016 an unidentified third party gained unauthorized access to, and exfiltrated data from, certain of our infrastructure resources, including a database that stored our customers’ credentials for our platform and for third-party integrations. Some of the customer credentials accessed and exfiltrated included confidential and personal information. As a precautionary measure following this event, we reset customer passwords and instructed customers to revoke credentials that had been shared with us. In addition, our employees are temporarily working remotely due to the COVID-19 pandemic, which may pose additional data security risks (including, for example, an increase in phishing and spam emails experienced during 2020).</w:t>
      </w:r>
    </w:p>
    <w:p>
      <w:pPr>
        <w:spacing w:after="0" w:line="16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While we have taken steps to protect the confidential and personal information that we have access to, our security measures or those of our third-party service providers that store or otherwise process certain of our and our customers’ data on our behalf could be breached or we could suffer a loss of our or our customers’ data. Our ability to monitor our third-party service providers’ data security is limited. Cyber-attacks, computer malware, viruses, employee mistakes or malfeasance, social engineering (including spear phishing and ransomware attacks), and general hacking have become more prevalent in our industry, particularly against cloud services. In addition, we do not directly control content that our customers store in our products. If our customers use our products for the transmission or storage of personal information and our security measures are or are believed to have been breached as a result of third-party action, employee error, malfeasance or otherwise, our reputation could be damaged, our business may suffer, and we could incur significant liability. In addition, our remediation efforts may not be successful.</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also process, store and transmit our own data as part of our business and operations. This data may include personal, confidential or proprietary information. There can be no assurance that any security measures that we or our third-party service providers have implemented will be effective against current or future security threats. While we have developed systems and processes designed to protect the integrity, confidentiality and security of our and our customers’ data, our security measures or those of our third-party service providers could fail and result in unauthorized access to or disclosure, modification, misuse, loss or destruction of such data.</w:t>
      </w:r>
    </w:p>
    <w:p>
      <w:pPr>
        <w:spacing w:after="0" w:line="215" w:lineRule="exact"/>
        <w:rPr>
          <w:sz w:val="20"/>
          <w:szCs w:val="20"/>
          <w:color w:val="auto"/>
        </w:rPr>
      </w:pPr>
    </w:p>
    <w:p>
      <w:pPr>
        <w:ind w:right="40" w:firstLine="486"/>
        <w:spacing w:after="0" w:line="239" w:lineRule="auto"/>
        <w:rPr>
          <w:sz w:val="20"/>
          <w:szCs w:val="20"/>
          <w:color w:val="auto"/>
        </w:rPr>
      </w:pPr>
      <w:r>
        <w:rPr>
          <w:rFonts w:ascii="Arial" w:cs="Arial" w:eastAsia="Arial" w:hAnsi="Arial"/>
          <w:sz w:val="18"/>
          <w:szCs w:val="18"/>
          <w:color w:val="auto"/>
        </w:rPr>
        <w:t>Because many different security vulnerabilities exist and exploits of such vulnerabilities continue to evolve, we may be unable to anticipate attempted security breaches, react in a timely manner or implement adequate preventative measures. Among other things, our applications, systems, networks, software and physical facilities could be breached, or the personal or confidential information that we store could be otherwise compromised due to employee error or malfeasance, if, for example, third parties fraudulently induce our employees or our members to disclose information or user names and/or passwords, or otherwise compromise the security of our networks, systems and/or physical facilities. Additionally, employees or service providers may inadvertently misconfigure resources or misdirect certain communications that lead to security incidents for which we must then expend effort and incur expenses to correct.</w:t>
      </w:r>
    </w:p>
    <w:p>
      <w:pPr>
        <w:spacing w:after="0" w:line="19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 adversely affect our business, financial condition and results of operations. These risks are likely to increase as we continue to grow and process, store, and transmit increasingly large amounts of data.</w:t>
      </w:r>
    </w:p>
    <w:p>
      <w:pPr>
        <w:spacing w:after="0" w:line="19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use third-party technology, systems and services in a variety of contexts, including, without limitation, encryption and authentication technology, employee email, content delivery to customers, back-office support, credit card processing and other functions. Although we have developed systems and processes that are designed to protect customer data and prevent data loss and other security breaches, including systems and processes designed to reduce the impact of a security breach at a third-party service provider, such measures cannot provide absolute security.</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may have contractual and other legal obligations to notify relevant stakeholders of security incidents. For instance, most jurisdictions have enacted laws, such as the Health Insurance Portability and Accountability Act of 1996 (“HIPAA”), requiring companies to notify individuals, regulatory authorities, and others of security breaches involving certain types of data.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jc w:val="both"/>
        <w:spacing w:after="0" w:line="291" w:lineRule="auto"/>
        <w:rPr>
          <w:sz w:val="20"/>
          <w:szCs w:val="20"/>
          <w:color w:val="auto"/>
        </w:rPr>
      </w:pPr>
      <w:r>
        <w:rPr>
          <w:rFonts w:ascii="Arial" w:cs="Arial" w:eastAsia="Arial" w:hAnsi="Arial"/>
          <w:sz w:val="16"/>
          <w:szCs w:val="16"/>
          <w:color w:val="auto"/>
        </w:rPr>
        <w:t>Such mandatory contractual and legal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 and any failure to provide appropriate notice may violate the terms of our customer contracts. Our contracts, our representations, or industry standards, may require us to use industry-standard or reasonable measures to safeguard sensitive personal information or confidential information. A security breach could lead to claims by our customers, or other relevant stakeholders that we have failed to comply with such legal or contractual obligations. As a result, we could be subject to legal action or our customers could end their relationships with us. Further, there can be no assurance that any limitations of liability in our contracts would be enforceable or adequate or would otherwise protect us from liabilities or damages.</w:t>
      </w:r>
    </w:p>
    <w:p>
      <w:pPr>
        <w:spacing w:after="0" w:line="193"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The costs to respond to a security breach and/or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w:t>
      </w:r>
    </w:p>
    <w:p>
      <w:pPr>
        <w:spacing w:after="0" w:line="182" w:lineRule="exact"/>
        <w:rPr>
          <w:sz w:val="20"/>
          <w:szCs w:val="20"/>
          <w:color w:val="auto"/>
        </w:rPr>
      </w:pPr>
    </w:p>
    <w:p>
      <w:pPr>
        <w:ind w:firstLine="486"/>
        <w:spacing w:after="0" w:line="271" w:lineRule="auto"/>
        <w:rPr>
          <w:sz w:val="20"/>
          <w:szCs w:val="20"/>
          <w:color w:val="auto"/>
        </w:rPr>
      </w:pPr>
      <w:r>
        <w:rPr>
          <w:rFonts w:ascii="Arial" w:cs="Arial" w:eastAsia="Arial" w:hAnsi="Arial"/>
          <w:sz w:val="16"/>
          <w:szCs w:val="16"/>
          <w:color w:val="auto"/>
        </w:rPr>
        <w:t>Additionally, we cannot be certain that our insurance coverage will be adequate for fines, judgments, settlements, penalties, costs, attorney fees and other impacts that arise out of privacy or security incidents or breaches. If the impacts of a privacy or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cyber coverage and coverage for errors and omissions will continue to be available on acceptable terms or that our insurers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Our risks are likely to increase as we continue to expand, grow our customer base, and process, store, and transmit increasingly large amounts of proprietary and sensitive data.</w:t>
      </w:r>
    </w:p>
    <w:p>
      <w:pPr>
        <w:spacing w:after="0" w:line="1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w:t>
      </w:r>
    </w:p>
    <w:p>
      <w:pPr>
        <w:spacing w:after="0" w:line="18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70"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or,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2" w:name="page43"/>
    <w:bookmarkEnd w:id="42"/>
    <w:p>
      <w:pPr>
        <w:jc w:val="both"/>
        <w:spacing w:after="0" w:line="342" w:lineRule="auto"/>
        <w:rPr>
          <w:sz w:val="20"/>
          <w:szCs w:val="20"/>
          <w:color w:val="auto"/>
        </w:rPr>
      </w:pPr>
      <w:r>
        <w:rPr>
          <w:rFonts w:ascii="Arial" w:cs="Arial" w:eastAsia="Arial" w:hAnsi="Arial"/>
          <w:sz w:val="16"/>
          <w:szCs w:val="16"/>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124"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 xml:space="preserve">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w:t>
      </w:r>
      <w:r>
        <w:rPr>
          <w:rFonts w:ascii="Arial" w:cs="Arial" w:eastAsia="Arial" w:hAnsi="Arial"/>
          <w:sz w:val="16"/>
          <w:szCs w:val="16"/>
          <w:color w:val="333333"/>
        </w:rPr>
        <w:t>outbreaks of contagious diseases,</w:t>
      </w:r>
      <w:r>
        <w:rPr>
          <w:rFonts w:ascii="Arial" w:cs="Arial" w:eastAsia="Arial" w:hAnsi="Arial"/>
          <w:sz w:val="16"/>
          <w:szCs w:val="16"/>
          <w:color w:val="auto"/>
        </w:rPr>
        <w:t xml:space="preserve">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68"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15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124"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To encourage awareness, usage, familiarity and adoption of our platform and products, we offer free trials and a free tier of our platform. These strategies may not be successful in leading customers to purchase our products. Many users of our free tier may not lead to others within their organization purchasing and deploying our platform and products. To the extent that users do not become, or we are unable to successfully attract paying customers, we will not realize the intended benefits of these marketing strategies and our ability to grow our revenue will be adversely affected.</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could decline.</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76" w:lineRule="exact"/>
        <w:rPr>
          <w:sz w:val="20"/>
          <w:szCs w:val="20"/>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demand for or pricing of our platform and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usage of our platform and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retain our existing customers;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expansion rates and the pricing and quantity of subscriptions renewed;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pricing of subscriptions from customers in our cloud-provider marketplaces;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and amount of our investments to expand the capacity of our third-party cloud infrastructure providers;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seasonality driven by industry conferences;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investment in new products and features relative to investments in our existing infrastructure and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our customer purchases;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3" w:name="page44"/>
    <w:bookmarkEnd w:id="43"/>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or delays in purchasing decisions in anticipation of new products or enhancements by us or our competitors;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 cycles and purchasing decisions;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and sales and marketing expenses, including commissions;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amount and timing of non-cash expenses, including stock-based compensation, goodwill impairments and other non-cash charges;</w:t>
      </w:r>
    </w:p>
    <w:p>
      <w:pPr>
        <w:spacing w:after="0" w:line="128" w:lineRule="exact"/>
        <w:rPr>
          <w:rFonts w:ascii="Arial" w:cs="Arial" w:eastAsia="Arial" w:hAnsi="Arial"/>
          <w:sz w:val="17"/>
          <w:szCs w:val="17"/>
          <w:color w:val="auto"/>
        </w:rPr>
      </w:pPr>
    </w:p>
    <w:p>
      <w:pPr>
        <w:ind w:left="980" w:hanging="486"/>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effects of acquisitions and their integration;</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 including those related to the ongoing COVID-19 pandemic;</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regulatory or legal environments that may cause us to incur, among other elements, expenses associated with compliance;</w:t>
      </w:r>
    </w:p>
    <w:p>
      <w:pPr>
        <w:spacing w:after="0" w:line="128" w:lineRule="exact"/>
        <w:rPr>
          <w:rFonts w:ascii="Arial" w:cs="Arial" w:eastAsia="Arial" w:hAnsi="Arial"/>
          <w:sz w:val="17"/>
          <w:szCs w:val="17"/>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significant security breaches of, technical difficulties with, or interruptions to, the delivery and use of our products and platform capabilities.</w:t>
      </w:r>
    </w:p>
    <w:p>
      <w:pPr>
        <w:spacing w:after="0" w:line="24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For example, the full impact of the COVID-19 pandemic is unknown at this time, but could result in adverse changes in our results of operations for an unknown period of time as the virus and its related social and economic impacts spread. If our quarterly results of operations fall below the expectations of investors and securities analysts who follow our stock, the price of our Class A common stock could decline substantially, and we could face costly lawsuits, including securities class action suits.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fluctuations in our sales and results of operations.</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Historically, we have experienced seasonality in new customer bookings, as we typically we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Downturns or upturns in our sales may not be immediately reflected in our financial position and results of operations.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Because we recognize the majority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 the price of our Class A common stock would decline substantially, and we could face costly lawsuits, including securities class actions.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a field sales team that targets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4" w:name="page45"/>
    <w:bookmarkEnd w:id="44"/>
    <w:p>
      <w:pPr>
        <w:jc w:val="both"/>
        <w:spacing w:after="0" w:line="254" w:lineRule="auto"/>
        <w:rPr>
          <w:sz w:val="20"/>
          <w:szCs w:val="20"/>
          <w:color w:val="auto"/>
        </w:rPr>
      </w:pPr>
      <w:r>
        <w:rPr>
          <w:rFonts w:ascii="Arial" w:cs="Arial" w:eastAsia="Arial" w:hAnsi="Arial"/>
          <w:sz w:val="18"/>
          <w:szCs w:val="18"/>
          <w:color w:val="auto"/>
        </w:rPr>
        <w:t>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17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Our success and future growth depend largely upon the continued services of our executive officers, particularly Olivier Pomel, our co-founder and Chief Executive Officer, Alexis Lê-Quôc, our co-founder, President and Chief Technology Officer, and David Obstler, our Chief Financial Officer, as well as our other key employees in the areas of research and development and sales and 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spacing w:after="0" w:line="166"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In addition, to execute our growth plan, we must attract and retain highly qualified personnel. Competition for these personnel is intense, especially for engineers experienced in designing and developing SaaS applications and experienced sales professionals. If we are unable to attract such personnel in cities where we are located, we may need to hire in other locations which may add to the complexity and costs of our business operations.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7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and competitive position may be harmed.</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5" w:name="page46"/>
    <w:bookmarkEnd w:id="45"/>
    <w:p>
      <w:pPr>
        <w:jc w:val="both"/>
        <w:ind w:firstLine="486"/>
        <w:spacing w:after="0" w:line="301" w:lineRule="auto"/>
        <w:rPr>
          <w:sz w:val="20"/>
          <w:szCs w:val="20"/>
          <w:color w:val="auto"/>
        </w:rPr>
      </w:pPr>
      <w:r>
        <w:rPr>
          <w:rFonts w:ascii="Arial" w:cs="Arial" w:eastAsia="Arial" w:hAnsi="Arial"/>
          <w:sz w:val="16"/>
          <w:szCs w:val="16"/>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2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or operations of any acquired companies, particularly if the key personnel of an acquired company choose not to work for us, their software is not easily adapted to work with our platform, or we have difficulty retaining the customers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our business, financial condition and results of operations may be adversely affected or we may be exposed to unknown risks or liabilities.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and Industry Risks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17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If we were unable to enhance our products and platform capabilities that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17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success of our platform depends, in part, on its ability to be deployed in a self-service installation process. We currently offer more than 400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7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Our unified platform combines functionality from numerous traditional product categories, and hence we compete in each of these categories with home-grown and open-source technologies, as well as a number of different vendors. With respect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6" w:name="page47"/>
    <w:bookmarkEnd w:id="46"/>
    <w:p>
      <w:pPr>
        <w:jc w:val="both"/>
        <w:spacing w:after="0" w:line="272" w:lineRule="auto"/>
        <w:rPr>
          <w:sz w:val="20"/>
          <w:szCs w:val="20"/>
          <w:color w:val="auto"/>
        </w:rPr>
      </w:pPr>
      <w:r>
        <w:rPr>
          <w:rFonts w:ascii="Arial" w:cs="Arial" w:eastAsia="Arial" w:hAnsi="Arial"/>
          <w:sz w:val="17"/>
          <w:szCs w:val="17"/>
          <w:color w:val="auto"/>
        </w:rPr>
        <w:t>to on-premise infrastructure monitoring, we compete with diversified technology companies and systems management vendors including IBM, Microsoft Corporation, Micro Focus International plc, BMC Software, Inc. and Computer Associates International, Inc. With respect to APM, we compete with companies including Cisco Systems, Inc., New Relic, Inc. and Dynatrace Software Inc. With respect to log management, we compete with companies including Splunk Inc. and Elastic N.V. With respect to cloud monitoring, we compete with native solutions from cloud providers such as AWS, GCP and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17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 solutions, we must convince their internal stakeholders that our products and platform capabilities are superior to their current solutions.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compete on the basis of a number of factors, including:</w:t>
      </w:r>
    </w:p>
    <w:p>
      <w:pPr>
        <w:spacing w:after="0" w:line="117" w:lineRule="exact"/>
        <w:rPr>
          <w:sz w:val="20"/>
          <w:szCs w:val="20"/>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provide unified, real-time observability of IT environments;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operate in dynamic and elastic environments;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extensibility across the enterprise, including development, operations and business users;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propensity to enable collaboration between development, operations and business users;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monitor any combination of public clouds, private clouds, on-premise and multi-cloud hybrids;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provide advanced analytics and machine learning;</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ease of deployment, implementation and use;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breadth of offering and key technology integrations;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 security, scalability and reliability;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quality of service and customer satisfaction;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cost of ownership;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22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 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 platform capabilities. In addition to product and technology competition, we face pricing competition. Some of our competitors offer their solutions at a lower price, which has resulted in, and may continue to result in, pricing pressures.</w:t>
      </w:r>
    </w:p>
    <w:p>
      <w:pPr>
        <w:spacing w:after="0" w:line="1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our solutions may develop more slowly or differently than we expect.</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47" w:name="page48"/>
    <w:bookmarkEnd w:id="47"/>
    <w:p>
      <w:pPr>
        <w:jc w:val="both"/>
        <w:spacing w:after="0" w:line="271" w:lineRule="auto"/>
        <w:rPr>
          <w:sz w:val="20"/>
          <w:szCs w:val="20"/>
          <w:color w:val="auto"/>
        </w:rPr>
      </w:pPr>
      <w:r>
        <w:rPr>
          <w:rFonts w:ascii="Arial" w:cs="Arial" w:eastAsia="Arial" w:hAnsi="Arial"/>
          <w:sz w:val="17"/>
          <w:szCs w:val="17"/>
          <w:color w:val="auto"/>
        </w:rPr>
        <w:t>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 develop or might develop more slowly than we expect, which would adversely affect our business,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84"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170"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 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and our third-party service providers are subject to stringent and changing laws, regulations and standards, and contractual obligations related to data privacy and security. Actual or perceived failure by us or our third-party service providers to comply with such laws, regulations, standards, or contractual obligations could harm our business.</w:t>
      </w:r>
    </w:p>
    <w:p>
      <w:pPr>
        <w:spacing w:after="0" w:line="18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We have legal and contractual obligations regarding the protection of confidentiality and appropriate use of personal information, confidential information, </w:t>
      </w:r>
      <w:r>
        <w:rPr>
          <w:rFonts w:ascii="Arial" w:cs="Arial" w:eastAsia="Arial" w:hAnsi="Arial"/>
          <w:sz w:val="18"/>
          <w:szCs w:val="18"/>
          <w:color w:val="333333"/>
        </w:rPr>
        <w:t>and other proprietary</w:t>
      </w:r>
      <w:r>
        <w:rPr>
          <w:rFonts w:ascii="Arial" w:cs="Arial" w:eastAsia="Arial" w:hAnsi="Arial"/>
          <w:sz w:val="18"/>
          <w:szCs w:val="18"/>
          <w:color w:val="auto"/>
        </w:rPr>
        <w:t xml:space="preserve"> information. We are subject to a variety of federal, state, local and international laws, directives and regulations, and industry standards, relating to the collection, use, retention, security, disclosure, transfer and other processing of personal information. The regulatory framework for privacy and security issues worldwide is rapidly evolving and as a result implementation standards and enforcement practices are likely to remain uncertain for the foreseeable future.</w:t>
      </w:r>
    </w:p>
    <w:p>
      <w:pPr>
        <w:spacing w:after="0" w:line="215" w:lineRule="exact"/>
        <w:rPr>
          <w:sz w:val="20"/>
          <w:szCs w:val="20"/>
          <w:color w:val="auto"/>
        </w:rPr>
      </w:pPr>
    </w:p>
    <w:p>
      <w:pPr>
        <w:ind w:right="140" w:firstLine="486"/>
        <w:spacing w:after="0" w:line="241" w:lineRule="auto"/>
        <w:rPr>
          <w:sz w:val="20"/>
          <w:szCs w:val="20"/>
          <w:color w:val="auto"/>
        </w:rPr>
      </w:pPr>
      <w:r>
        <w:rPr>
          <w:rFonts w:ascii="Arial" w:cs="Arial" w:eastAsia="Arial" w:hAnsi="Arial"/>
          <w:sz w:val="18"/>
          <w:szCs w:val="18"/>
          <w:color w:val="auto"/>
        </w:rPr>
        <w:t>Internationally, nearly every jurisdiction in which we operate has established its own data security and privacy legal framework with which we, our third-party service providers, or our customers must comply. The data protection landscape is currently unstable, resulting in possible significant operational costs for internal compliance and risk to our business. The European Economic Area, or EEA, Switzerland and the United Kingdom, collectively “Europe,” adopted the General Data Protection Regulation, or GDPR, which contains numerous requirements and changes from previously existing law, including</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color w:val="auto"/>
        </w:rPr>
        <w:t>more robust obligations on data processors and heavier documentation requirements for data protection compliance programs by companies.</w:t>
      </w:r>
    </w:p>
    <w:p>
      <w:pPr>
        <w:spacing w:after="0" w:line="22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7"/>
          <w:szCs w:val="17"/>
          <w:color w:val="auto"/>
        </w:rPr>
        <w:t>In addition, European data protection laws including the GDPR also generally prohibit the transfer of personal information from Europe to the United States and most other countries unless the parties to the transfer have established a legal basis for the transfer and implemented specific safeguards to protect the transferred personal information. One of the primary mechanisms allowing U.S. companies to import personal information from Europe in compliance with the GDPR has been certification to the EU-U.S. Privacy Shield and Swiss-U.S. Privacy Shield frameworks administered by the U.S. Department of Commerce. However, the Court of Justice of the European Union, in its recent “Schrems II” ruling, invalidated the EU-U.S. Privacy Shield framework. The Swiss Federal Data Protection and Information Commissioner also recently opined that the Swiss-U.S. Privacy Shield is inadequate for transfers of data from Switzerland to the United States. Authorities in the United Kingdom may similarly invalidate use of the EU-U.S. Privacy Shield as mechanisms for lawful personal information transfers from the U.K. to the United States. Inability to import personal information from Europe to the United States may decrease demand for our products and services as our customers that are subject to the GDPR may seek alternatives that do not involve personal information transfers out of Europe.</w:t>
      </w:r>
    </w:p>
    <w:p>
      <w:pPr>
        <w:spacing w:after="0" w:line="180"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7"/>
          <w:szCs w:val="17"/>
          <w:color w:val="auto"/>
        </w:rPr>
        <w:t>The Schrems II decision also raised questions about whether one of the primary alternatives to the EU-U.S. Privacy Shield, namely, the European Commission’s Standard Contractual Clauses, or “SCCs,” can lawfully be used for personal information transfers from Europe to the United States or most other countries. At present, there are few, if any, viable alternatives to the SCCs. The European Commission recently proposed updates to the SCCs, and additional regulatory guidance has been released that seeks to imposes additional obligations on companies seeking to rely on the SCCs. As such, any transfers by us or our third-party service providers of personal information from Europe pursuant to SCCs may not comply with European data protection law, may increase our exposure to the GDPR’s heightened sanctions for violations of its cross-border data transfer restrictions, and may result in lower sales on our platform because of difficulty of establishing a lawful basis for personal information transfers out of Europe. While we have taken steps to mitigate the impact on us with respect to transfers of data, such as implementing SCCs, the efficacy and longevity of these transfer mechanisms remains uncertain. Moreover, as a result of the Schrems II decision, data exporters may now have an obligation to assess, analyze and verify on a case-by-case basis that personal information will be adequately protected in the country to which it is being exported, which increases the difficult of selling to European customers and may lead to longer sales cycles.</w:t>
      </w:r>
    </w:p>
    <w:p>
      <w:pPr>
        <w:spacing w:after="0" w:line="18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Further, the United Kingdom’s decision to leave the European Union, often referred to as Brexit, has created uncertainty with regard to data protection regulation in the United Kingdom. In particular, it is unclear whether the transfer of personal information from the EU to the United Kingdom will in the future remain lawful under the GDPR. The United Kingdom-EU post-Brexit trade deal provides that transfers of personal information to the United Kingdom will not be treated as restricted transfers to a non-EU country for a period of up to six months from January 1, 2021. However, unless the EU Commission makes an “adequacy finding” with respect to the United Kingdom before the end of that transition period, from that date the United Kingdom will be a “third country” under the GDPR and transfers of personal information from the EU to the United Kingdom will require an “adequacy mechanism,” such as the SCCs.</w:t>
      </w:r>
    </w:p>
    <w:p>
      <w:pPr>
        <w:spacing w:after="0" w:line="19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 addition to the GDPR, the European Commission has another draft regulation in the approval process, known as the Regulation on Privacy and Electronic Communications, or ePrivacy Regulation, that would replace the current ePrivacy Directive. Originally planned to be adopted and implemented at the same time as the GDPR, the ePrivacy Regulation continues to be delayed. While the new legislation contains protections for those using communications services (for example, protections against online tracking technologies), the timing of its proposed enactment following the GDPR means that additional time and effort may need to be spent addressing differences between the ePrivacy Regulation and the GDPR. New rules related to the ePrivacy Regulation may negatively impact our platform and products and our relationships with our customers. Following Brexit, it is unclear whether, and if so how, the United Kingdom will introduce any or all of the ePrivacy Regulation into law in the United Kingdom.</w:t>
      </w:r>
    </w:p>
    <w:p>
      <w:pPr>
        <w:spacing w:after="0" w:line="17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Complying with the GDPR and the ePrivacy Regulation, when it becomes effective, may cause us to incur substantial operational costs or require us to change our business practices. Despite our efforts to bring practices into compliance before the effective date of the GDPR and ePrivacy Regulation,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While we utilize a data center in the EEA to maintain certain customer data (which may include personal data) originating from the EEA, we may find it necessary to establish additional systems and processes to maintain such data in the EEA, which may involve substantial expense and distraction from other aspects of our business.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9" w:name="page50"/>
    <w:bookmarkEnd w:id="49"/>
    <w:p>
      <w:pPr>
        <w:jc w:val="both"/>
        <w:ind w:firstLine="486"/>
        <w:spacing w:after="0" w:line="301" w:lineRule="auto"/>
        <w:rPr>
          <w:sz w:val="20"/>
          <w:szCs w:val="20"/>
          <w:color w:val="auto"/>
        </w:rPr>
      </w:pPr>
      <w:r>
        <w:rPr>
          <w:rFonts w:ascii="Arial" w:cs="Arial" w:eastAsia="Arial" w:hAnsi="Arial"/>
          <w:sz w:val="16"/>
          <w:szCs w:val="16"/>
          <w:color w:val="auto"/>
        </w:rPr>
        <w:t>Additionally, other countries outside of Europe have enacted or are considering enacting similar cross-border data transfer restrictions and laws requiring local data residency, and strict limitations to the processing of personal information, which could increase the cost and complexity of delivering our services and operating our business. In the past year, for example, Brazil enacted the General Data Protection Law, New Zealand enacted the New Zealand Privacy Act, China released its draft Personal Information Protection Law, and Canada introduced the Digital Charter Implementation Act.</w:t>
      </w:r>
    </w:p>
    <w:p>
      <w:pPr>
        <w:spacing w:after="0" w:line="15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Domestic laws in this area are also complex and developing rapidly. In the United States, rules and regulations governing data privacy and security include those promulgated under the authority of the Federal Trade Commission Act, the Electronic Communications Privacy Act, the Computer Fraud and Abuse Act, the California Consumer Privacy Act, or CCPA, and other state and federal laws relating to privacy and data security. Many state legislatures have adopted legislation that regulates how businesses operate online, including measures relating to privacy, data security and data breaches. Laws in all 50 states require businesses to provide notice to customers whose personal information has been disclosed as a result of a data breach. The laws are not consistent, and compliance in the event of a widespread data breach is costly. States are also constantly amending existing laws, requiring attention to frequently changing regulatory requirements.</w:t>
      </w:r>
    </w:p>
    <w:p>
      <w:pPr>
        <w:spacing w:after="0" w:line="19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The CCPA, which became effective on January 1, 2020, gives California residents expanded rights to access and delete their personal information, opt out of the sale of personal information, and receive detailed information about how their personal information is used. The CCPA provides a private right of action and statutory damages for data breaches and may increase our compliance costs and potential liability with respect to other personal information we collect about California residents. In addition, the California Privacy Rights Act, or the CPRA, which amends the CCPA, was approved by California voters on November 3, 2020 and is scheduled to go into effect on January 1, 2023. The CPRA would, among other things, amend the CCPA to give California residents the ability to limit the use of their sensitive information, provide additional penalties for CPRA violations concerning California residents under the age of 16, and establish a new California Privacy Protection Agency to implement and enforce the law. Both the CCPA and CPRA could impact our business activities depending on how they are interpreted. These laws exemplify the vulnerability of our business not only to security incidents but also to the evolving regulatory environment related to personal information and protected health information. Some observers have noted that the CCPA and CPRA could mark the beginning of a trend toward more stringent privacy legislation in the United States, which could increase our potential liability and adversely affect our business, the results of our operations, and our financial condition.</w:t>
      </w:r>
    </w:p>
    <w:p>
      <w:pPr>
        <w:spacing w:after="0" w:line="172"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Because the interpretation and application of many privacy and data protection laws and regulations, along with contractually imposed industry standards are uncertain, it is possible that they may be interpreted and applied in a manner that is inconsistent with our existing data management practices or the features of our products and platform capabilities. If so, in addition to the possibility of fines, lawsuits, regulatory investigations, imprisonment of company officials and public censure, other claims and penalties, significant costs for remediation and damage to our reputation, we could be required to fundamentally change our business activities and practices or modify our products and platform capabilities, any of which could have an adverse effect on our business. Any inability to adequately address privacy and security concerns, even if unfounded, or comply with applicable privacy and data security laws, regulations, or contractual obligations, could result in additional cost and liability to us, damage our reputation, inhibit sales, and adversely affect our business. Furthermore, the costs of compliance with, and other burdens imposed by, the laws, regulations, and contractual obligations that are applicable to the businesses of our customers may limit the use and adoption of, and reduce the overall demand for, our products. Privacy and data security concerns, whether valid or not valid, may inhibit market adoption of our products, particularly in certain industries and foreign countries. If we are not able to adjust to these changing laws, regulations, and contractual obligations, our business may be harmed.</w:t>
      </w:r>
    </w:p>
    <w:p>
      <w:pPr>
        <w:spacing w:after="0" w:line="17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publicly post our policies and other documentation regarding our practices concerning the collection, processing, use, transfer, and disclosure of data. Although we endeavor to comply with our published policies and documentation, we may at times fail to do so or be alleged to have failed to do so. The publication of our policies and other documentation that provide promises and assurances about privacy and security can subject us to potential state and federal action if they are found to be deceptive, unfair, or misrepresentative of our actual practices. Any failure by us, our third-party service providers or other parties with whom we do business to comply with our policies or other documentation could result in proceedings against us by governmental entities, private parties or others. We are or may also be subject to the terms of our external and internal privacy and security policies, codes, representations, certifications, industry standards, publications and frameworks and contractual obligations to third parties related to privacy, information security, including contractual obligations to indemnify and hold harmless third parties from the costs or consequences of non-compliance with data protection laws or other obligations.</w:t>
      </w:r>
    </w:p>
    <w:p>
      <w:pPr>
        <w:spacing w:after="0" w:line="19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0" w:name="page51"/>
    <w:bookmarkEnd w:id="50"/>
    <w:p>
      <w:pPr>
        <w:jc w:val="both"/>
        <w:ind w:firstLine="486"/>
        <w:spacing w:after="0" w:line="290" w:lineRule="auto"/>
        <w:rPr>
          <w:sz w:val="20"/>
          <w:szCs w:val="20"/>
          <w:color w:val="auto"/>
        </w:rPr>
      </w:pPr>
      <w:r>
        <w:rPr>
          <w:rFonts w:ascii="Arial" w:cs="Arial" w:eastAsia="Arial" w:hAnsi="Arial"/>
          <w:sz w:val="16"/>
          <w:szCs w:val="16"/>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6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18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government entities and highly regulated organizations are subject to a number of challenges and risks.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may sell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products are affected by public sector budgetary cycles and funding authorizations, with funding reductions or delays adversely affecting public sector demand for our products.</w:t>
      </w:r>
    </w:p>
    <w:p>
      <w:pPr>
        <w:spacing w:after="0" w:line="17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w:t>
      </w:r>
    </w:p>
    <w:p>
      <w:pPr>
        <w:spacing w:after="0" w:line="1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Obtaining the necessary export license or other authorization for a particular sale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1" w:name="page52"/>
    <w:bookmarkEnd w:id="51"/>
    <w:p>
      <w:pPr>
        <w:jc w:val="both"/>
        <w:ind w:firstLine="486"/>
        <w:spacing w:after="0" w:line="277" w:lineRule="auto"/>
        <w:rPr>
          <w:sz w:val="20"/>
          <w:szCs w:val="20"/>
          <w:color w:val="auto"/>
        </w:rPr>
      </w:pPr>
      <w:r>
        <w:rPr>
          <w:rFonts w:ascii="Arial" w:cs="Arial" w:eastAsia="Arial" w:hAnsi="Arial"/>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7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7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 xml:space="preserve">An increasing number of states have considered or adopted laws that attempt to impose tax collection obligations on out-of-state companies. Additionally, the Supreme Court of the United States recently ruled in </w:t>
      </w:r>
      <w:r>
        <w:rPr>
          <w:rFonts w:ascii="Arial" w:cs="Arial" w:eastAsia="Arial" w:hAnsi="Arial"/>
          <w:sz w:val="17"/>
          <w:szCs w:val="17"/>
          <w:i w:val="1"/>
          <w:iCs w:val="1"/>
          <w:color w:val="auto"/>
        </w:rPr>
        <w:t>South Dakota v. Wayfair, Inc. et al</w:t>
      </w:r>
      <w:r>
        <w:rPr>
          <w:rFonts w:ascii="Arial" w:cs="Arial" w:eastAsia="Arial" w:hAnsi="Arial"/>
          <w:sz w:val="17"/>
          <w:szCs w:val="17"/>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As of December 31, 2020, we had NOL carryforwards for federal and state income tax purposes of approximately $263.2 million and $177.5 million, respectively, which may be available to offset taxable income in the future, and which expire in various years beginning in 2031 for federal purposes and 2028 for state purposes if not utilized. A lack of future taxable income would adversely affect our ability to utilize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sheets, even if we attain profitability, which could potentially result in increased future tax liability to us and could adversely affect our operating results and financial condition.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17" w:lineRule="exact"/>
        <w:rPr>
          <w:sz w:val="20"/>
          <w:szCs w:val="20"/>
          <w:color w:val="auto"/>
        </w:rPr>
      </w:pPr>
    </w:p>
    <w:p>
      <w:pPr>
        <w:ind w:left="980" w:hanging="486"/>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40" w:lineRule="exact"/>
        <w:rPr>
          <w:rFonts w:ascii="Arial" w:cs="Arial" w:eastAsia="Arial" w:hAnsi="Arial"/>
          <w:sz w:val="16"/>
          <w:szCs w:val="16"/>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 including the Tax Act;</w:t>
      </w:r>
    </w:p>
    <w:p>
      <w:pPr>
        <w:spacing w:after="0" w:line="117" w:lineRule="exact"/>
        <w:rPr>
          <w:rFonts w:ascii="Arial" w:cs="Arial" w:eastAsia="Arial" w:hAnsi="Arial"/>
          <w:sz w:val="18"/>
          <w:szCs w:val="18"/>
          <w:color w:val="auto"/>
        </w:rPr>
      </w:pPr>
    </w:p>
    <w:p>
      <w:pPr>
        <w:ind w:left="980" w:hanging="486"/>
        <w:spacing w:after="0" w:line="308" w:lineRule="auto"/>
        <w:tabs>
          <w:tab w:leader="none" w:pos="975"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8" w:lineRule="exact"/>
        <w:rPr>
          <w:rFonts w:ascii="Arial" w:cs="Arial" w:eastAsia="Arial" w:hAnsi="Arial"/>
          <w:sz w:val="17"/>
          <w:szCs w:val="17"/>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of these developments could adversely affect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23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GAAP is subject to interpretation by the Financial Accounting Standards Board, the SEC and various bodies formed to promulgate and interpret applicable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26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in our unaudited condensed consolidated financial statements and accompanying notes. We base our estimates on historical experience and on various other assumptions that we believe to be reasonable under the circumstances, as described in Note 2 in the Notes to Condensed Consolidated Financial Statements included in "Part II, Item 8. Financial Statements and Supplementary Data" of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revenue recognition, deferred contract costs, and the valuation of our stock-based compensation awards,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17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 xml:space="preserve">Our success depends to a significant degree on our ability to obtain, maintain, protect and enforce our intellectual property rights, including our proprietary technology, know-how and our brand. We rely on a combination of trademarks, trade secret laws, patents, copyrights, service marks,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gain access to our proprietary technology and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 including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interference and derivation proceedings and equivalent proceedings in foreign jurisdictions (e.g., opposition proceedings) or litigation. Despite our pending U.S. patent applications, there can be no assurance that our patent applications will result in issued patents. Even if we continue to seek patent protection in the future, we may be unable to obtain or maintain patent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3" w:name="page54"/>
    <w:bookmarkEnd w:id="53"/>
    <w:p>
      <w:pPr>
        <w:jc w:val="both"/>
        <w:spacing w:after="0" w:line="284" w:lineRule="auto"/>
        <w:rPr>
          <w:sz w:val="20"/>
          <w:szCs w:val="20"/>
          <w:color w:val="auto"/>
        </w:rPr>
      </w:pPr>
      <w:r>
        <w:rPr>
          <w:rFonts w:ascii="Arial" w:cs="Arial" w:eastAsia="Arial" w:hAnsi="Arial"/>
          <w:sz w:val="16"/>
          <w:szCs w:val="16"/>
          <w:color w:val="auto"/>
        </w:rPr>
        <w:t>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 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 may not be available to us in every country in which our products are available. For example, as we have expanded internationally, we have been unable to register and obtain the right to use the Datadog trademark in certain jurisdictions, including in the EU, and as we continue to expand, we may face similar issues in other jurisdictions.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oppose or challenge our trademarks or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spacing w:after="0" w:line="18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w:t>
      </w:r>
    </w:p>
    <w:p>
      <w:pPr>
        <w:spacing w:after="0" w:line="19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 platform capabilities, delay introductions of new solutions, result in our substituting inferior or more costly technologies into our products, or injure our reputation.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7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may become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4" w:name="page55"/>
    <w:bookmarkEnd w:id="54"/>
    <w:p>
      <w:pPr>
        <w:jc w:val="both"/>
        <w:spacing w:after="0" w:line="269" w:lineRule="auto"/>
        <w:rPr>
          <w:sz w:val="20"/>
          <w:szCs w:val="20"/>
          <w:color w:val="auto"/>
        </w:rPr>
      </w:pPr>
      <w:r>
        <w:rPr>
          <w:rFonts w:ascii="Arial" w:cs="Arial" w:eastAsia="Arial" w:hAnsi="Arial"/>
          <w:sz w:val="17"/>
          <w:szCs w:val="17"/>
          <w:color w:val="auto"/>
        </w:rPr>
        <w:t>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 companies or other adverse patent owners that have no relevant product revenue, and therefore, our patent applications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are required to provide indemnification, may require us to do one or more of the following:</w:t>
      </w:r>
    </w:p>
    <w:p>
      <w:pPr>
        <w:spacing w:after="0" w:line="71" w:lineRule="exact"/>
        <w:rPr>
          <w:sz w:val="20"/>
          <w:szCs w:val="20"/>
          <w:color w:val="auto"/>
        </w:rPr>
      </w:pPr>
    </w:p>
    <w:p>
      <w:pPr>
        <w:ind w:left="980" w:hanging="486"/>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cease selling or using products or services that incorporate the intellectual property rights that we allegedly infringe, misappropriate or violate;</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 license, which may not be available on reasonable terms or at all, to sell or use the relevant technology; or</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redesign the allegedly infringing products to avoid infringement, misappropriation or violation, which could be costly, time-consuming or impossible.</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use open source software in our products, which could negatively affect our ability to sell our services or subject us to litigation or other actions.</w:t>
      </w:r>
    </w:p>
    <w:p>
      <w:pPr>
        <w:spacing w:after="0" w:line="260"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Risks Associated with our International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operations are international in scope, and we plan further geographic expansion, creating a variety of operational challenges.</w:t>
      </w:r>
    </w:p>
    <w:p>
      <w:pPr>
        <w:spacing w:after="0" w:line="23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A component of our growth strategy involves the further expansion of our operations and customer base internationally. Revenue, as determined based on the billing address of our customers, from regions outside of North America was 28% and 24% for the three months ended March 31, 2021 and 2020, respectively. Beyond North America, we now have sales presence internationally, including in Amsterdam, Dublin, London, Paris, Seoul, Singapore, Sydney, and Tokyo.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March 31, 2021, approximately 37% of our full-time employees were located outside of the United States, 42%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current and future international business and operations involve a variety of risks, including:</w:t>
      </w:r>
    </w:p>
    <w:p>
      <w:pPr>
        <w:spacing w:after="0" w:line="117" w:lineRule="exact"/>
        <w:rPr>
          <w:sz w:val="20"/>
          <w:szCs w:val="20"/>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slower than anticipated availability and adoption of cloud and hybrid IT infrastructures by international businesses;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changes in trade relations, regulations, or laws;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changes in laws, regulatory requirements, or tax laws;</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more stringent regulations relating to privacy and data security and the unauthorized use of, or access to, commercial and personal information, particularly in Europe;</w:t>
      </w:r>
    </w:p>
    <w:p>
      <w:pPr>
        <w:spacing w:after="0" w:line="62" w:lineRule="exact"/>
        <w:rPr>
          <w:rFonts w:ascii="Arial" w:cs="Arial" w:eastAsia="Arial" w:hAnsi="Arial"/>
          <w:sz w:val="18"/>
          <w:szCs w:val="18"/>
          <w:color w:val="auto"/>
        </w:rPr>
      </w:pPr>
    </w:p>
    <w:p>
      <w:pPr>
        <w:ind w:left="980" w:hanging="486"/>
        <w:spacing w:after="0" w:line="308" w:lineRule="auto"/>
        <w:tabs>
          <w:tab w:leader="none" w:pos="9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38" w:lineRule="exact"/>
        <w:rPr>
          <w:rFonts w:ascii="Arial" w:cs="Arial" w:eastAsia="Arial" w:hAnsi="Arial"/>
          <w:sz w:val="17"/>
          <w:szCs w:val="17"/>
          <w:color w:val="auto"/>
        </w:rPr>
      </w:pPr>
    </w:p>
    <w:p>
      <w:pPr>
        <w:ind w:left="980" w:right="60" w:hanging="486"/>
        <w:spacing w:after="0" w:line="263"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7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changes in laws, regulations and costs affecting our U.K. operations and local employees due to Brexit;</w:t>
      </w:r>
    </w:p>
    <w:p>
      <w:pPr>
        <w:spacing w:after="0" w:line="117"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140" w:lineRule="exact"/>
        <w:rPr>
          <w:rFonts w:ascii="Arial" w:cs="Arial" w:eastAsia="Arial" w:hAnsi="Arial"/>
          <w:sz w:val="16"/>
          <w:szCs w:val="16"/>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market preferences for local vendors;</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obtaining, maintaining, protecting or enforcing our intellectual property rights, including our trademarks and patents;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117" w:lineRule="exact"/>
        <w:rPr>
          <w:rFonts w:ascii="Arial" w:cs="Arial" w:eastAsia="Arial" w:hAnsi="Arial"/>
          <w:sz w:val="18"/>
          <w:szCs w:val="18"/>
          <w:color w:val="auto"/>
        </w:rPr>
      </w:pPr>
    </w:p>
    <w:p>
      <w:pPr>
        <w:ind w:left="980" w:right="340" w:hanging="486"/>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333333"/>
        </w:rPr>
        <w:t>an outbreak of a contagious disease</w:t>
      </w:r>
      <w:r>
        <w:rPr>
          <w:rFonts w:ascii="Arial" w:cs="Arial" w:eastAsia="Arial" w:hAnsi="Arial"/>
          <w:sz w:val="18"/>
          <w:szCs w:val="18"/>
          <w:color w:val="000000"/>
        </w:rPr>
        <w:t>,</w:t>
      </w:r>
      <w:r>
        <w:rPr>
          <w:rFonts w:ascii="Arial" w:cs="Arial" w:eastAsia="Arial" w:hAnsi="Arial"/>
          <w:sz w:val="18"/>
          <w:szCs w:val="18"/>
          <w:color w:val="333333"/>
        </w:rPr>
        <w:t xml:space="preserve"> which may cause us or our third-party providers and/or customers to temporarily suspend our or their respective operations in the affected city or country;</w:t>
      </w:r>
    </w:p>
    <w:p>
      <w:pPr>
        <w:spacing w:after="0" w:line="62"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FCPA, U.S. bribery laws, the UK Bribery Act, and similar laws and regulations in other jurisdictions;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6" w:name="page57"/>
    <w:bookmarkEnd w:id="56"/>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which could negatively affect our results of operations.</w:t>
      </w:r>
    </w:p>
    <w:p>
      <w:pPr>
        <w:spacing w:after="0" w:line="225"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sales contracts are denominated in U.S. dollars, and therefore, our revenue is not subject to foreign currency risk. However, a strengthening of the U.S. dollar could increase the real cost of our products and platform capabilities to our customers outside of the United States, which could adversely affect our results of operations. In addition, an increasing portion of our operating expenses are incurred outside the United States. These operating expenses are denominated in foreign currencies and are subject to fluctuations due to changes in foreign currency exchange rates. If we are not able to successfully hedge against the risks associated with currency fluctuations, our results of operations could be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may subject us to potential adverse tax consequences.</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8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Tax Cuts and Jobs Act, or the Tax Act, makes broad and complex changes to the U.S. tax code including, among other things, changes to U.S. federal tax rates, imposes additional limitations on the deductibility of interest, has both positive and negative changes to the utilization of future net operating loss, or NOL, carryforwards, allows for the expensing of certain capital expenditures, and puts into effect the migration from a “worldwide” system of taxation to a territorial system.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62" w:lineRule="exact"/>
        <w:rPr>
          <w:sz w:val="20"/>
          <w:szCs w:val="20"/>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pricing of subscriptions to our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platform and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data breaches, disruptions to or other incidents involving our software;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future sales of our Class A common stock by us or our stockholders, as well as the anticipation of lock-up releases;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57" w:name="page58"/>
    <w:bookmarkEnd w:id="57"/>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Broad market and industry fluctuations, as well as general economic, political, regulatory, and market conditions including those related to the ongoing COVID-19 pandemic, may also negatively impact the market price of our Class A common stock. The full impact of the COVID-19 pandemic is unknown at this time, but could result in material adverse changes in our results of operations for an unknown period of time as the virus and its related political, social and economic impacts spread.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7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8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Our Class B common stock has ten votes per share and our Class A common stock has one vote per share. As of March 31, 2021, our outstanding shares of Class B common stock represented approximately 76% of the voting power of our outstanding capital stock. As a result, the holders of our Class B common stock, which includes our directors, executive officers and their affiliates, will be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will limit the ability of other stockholders to influence corporate matters and may cause us to make strategic decisions that could involve risks to holders of our Class A common stock or that may not be aligned with the interests of holders of our Class A common stock. This control may adversely affect the market price of our Class A common stock.</w:t>
      </w:r>
    </w:p>
    <w:p>
      <w:pPr>
        <w:spacing w:after="0" w:line="17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who retain their shares in the long 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cannot predict whether our dual class structure, combined with the concentrated control of our stockholders who held our capital stock prior to the completion of our initial public offering, or IPO, including our executive officers, employees and directors and their affiliates,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public trading market for our Class A common stock may not develop or be sustained.</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Prior to the closing of our IPO in September 2019, no public market for our Class A common stock existed. An active public trading market for our Class A common stock may not continue to develop or, if further developed, it may not be sustained. The lack of an active market may impair the ability of holders of our Class A common stock to sell their shares at the time they wish to sell them or at a price that the holders of our Class A common stock consider reasonable. The lack of an active market may also reduce the fair value of shares of our Class A common stock. An inactive market may also impair our ability to raise capital to continue to fund operations by selling shares and may impair our ability to acquire other companies or technologies by using our shares as consideration.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Class A common stock in the public market could cause the market price of our Class A common stock to decline.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8" w:name="page59"/>
    <w:bookmarkEnd w:id="58"/>
    <w:p>
      <w:pPr>
        <w:jc w:val="both"/>
        <w:ind w:firstLine="486"/>
        <w:spacing w:after="0" w:line="296" w:lineRule="auto"/>
        <w:rPr>
          <w:sz w:val="20"/>
          <w:szCs w:val="20"/>
          <w:color w:val="auto"/>
        </w:rPr>
      </w:pPr>
      <w:r>
        <w:rPr>
          <w:rFonts w:ascii="Arial" w:cs="Arial" w:eastAsia="Arial" w:hAnsi="Arial"/>
          <w:sz w:val="16"/>
          <w:szCs w:val="16"/>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stockholders who held our capital stock prior to the completion of our IPO have substantial unrecognized gains on the value of the equity they hold based upon the price at which shares were sold in our IPO,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6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have registered all of the shares of Class A common stock and Class B common stock issuable upon exercise of outstanding options or other equity incentives we may grant in the future, for public resale under the Securities Act. The shares of Class A common stock and Class B common stock will become eligible for sale in the public market to the extent such options are exercised, subject to compliance with applicable securities laws.</w:t>
      </w:r>
    </w:p>
    <w:p>
      <w:pPr>
        <w:spacing w:after="0" w:line="149"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Further, as of March 31, 2021, holders of a substantial number of shares had rights, subject to certain conditions, to require us to file registration statements covering the sale of their shares or to include their shares in registration statements that we may file for ourselves or other stockholders.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7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have and may continue to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Furthermore, if we issue additional equity or convertible debt securities, the new equity securities could have rights senior to those of our common stock. For example, if we elect to settle our conversion obligation under our 0.125% Convertible Senior Notes due 2025, or our 2025 Notes, in shares of our Class A common stock or a combination of cash and shares of our Class A common stock, the issuance of such Class A common stock may dilute the ownership interests of our stockholders and sales in the public market could adversely affect prevailing market prices.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or if we fail to meet or significantly exceed our publicly announced financial guidance or the expectations of analysts or public investors, the market price and trading volume of our Class A common stock could decline.</w:t>
      </w:r>
    </w:p>
    <w:p>
      <w:pPr>
        <w:spacing w:after="0" w:line="184"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market price and trading volume of our Class A common stock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In addition, the stock prices of many companies in the technology industry have declined significantly after those companies have failed to meet, or significantly exceed, the financial guidance publicly announced by those companies or the expectations of analysts. If our financial results fail to meet, or significantly exceed, our announced guidance or the expectations or analysts or public investors, analysts could downgrade or Class A common stock or publish unfavorable research on us.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their holdings of Class A common stock after price appreciation, which may never occur, as the only way to realize any future gains on their investment.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continue to devote substantial time to compliance with our public company responsibilities and corporate governance practices.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9" w:name="page60"/>
    <w:bookmarkEnd w:id="59"/>
    <w:p>
      <w:pPr>
        <w:jc w:val="both"/>
        <w:ind w:firstLine="486"/>
        <w:spacing w:after="0" w:line="275" w:lineRule="auto"/>
        <w:rPr>
          <w:sz w:val="20"/>
          <w:szCs w:val="20"/>
          <w:color w:val="auto"/>
        </w:rPr>
      </w:pPr>
      <w:r>
        <w:rPr>
          <w:rFonts w:ascii="Arial" w:cs="Arial" w:eastAsia="Arial" w:hAnsi="Arial"/>
          <w:sz w:val="17"/>
          <w:szCs w:val="17"/>
          <w:color w:val="auto"/>
        </w:rPr>
        <w:t>We have incurred significant legal, accounting, insurance, and other expenses as a public company, which we expect to further increase because we are no longer an “emerging growth company”. The Sarbanes-Oxley Act, the Dodd-Frank Wall Street Reform and Consumer Protection Act, the listing requirements of the Nasdaq Global Select Market and other applicable securities rules and regulations impose various requirements on public companies. Our management and other personnel devote a substantial amount of time to compliance with these requirements. These rules and regulations contribute to increased legal and financial compliance costs and make some activities more time-consuming and costly.</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8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are required, pursuant to Section 404 of the Sarbanes-Oxley Act, to furnish a report by management on, among other things, the effectiveness of our internal control over financial reporting for the fiscal year ending December 31, 2021. This assessment will need to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We have hired, and need to continue to hire, additional accounting and financial staff with appropriate public company experience and technical accounting knowledge to comply with Section 404.</w:t>
      </w:r>
    </w:p>
    <w:p>
      <w:pPr>
        <w:spacing w:after="0" w:line="17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During the evaluation and testing process of our internal controls in future years,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4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76" w:lineRule="exact"/>
        <w:rPr>
          <w:sz w:val="20"/>
          <w:szCs w:val="20"/>
          <w:color w:val="auto"/>
        </w:rPr>
      </w:pPr>
    </w:p>
    <w:p>
      <w:pPr>
        <w:ind w:left="980" w:hanging="486"/>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128" w:lineRule="exact"/>
        <w:rPr>
          <w:rFonts w:ascii="Arial" w:cs="Arial" w:eastAsia="Arial" w:hAnsi="Arial"/>
          <w:sz w:val="17"/>
          <w:szCs w:val="17"/>
          <w:color w:val="auto"/>
        </w:rPr>
      </w:pPr>
    </w:p>
    <w:p>
      <w:pPr>
        <w:ind w:left="980" w:right="20" w:hanging="486"/>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62"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provide that our directors may be removed for cause only upon the vote of at least 66 2/3% of our outstanding shares of voting stock;</w:t>
      </w:r>
    </w:p>
    <w:p>
      <w:pPr>
        <w:spacing w:after="0" w:line="128" w:lineRule="exact"/>
        <w:rPr>
          <w:rFonts w:ascii="Arial" w:cs="Arial" w:eastAsia="Arial" w:hAnsi="Arial"/>
          <w:sz w:val="17"/>
          <w:szCs w:val="17"/>
          <w:color w:val="auto"/>
        </w:rPr>
      </w:pPr>
    </w:p>
    <w:p>
      <w:pPr>
        <w:ind w:left="980" w:hanging="486"/>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0" w:name="page61"/>
    <w:bookmarkEnd w:id="60"/>
    <w:p>
      <w:pPr>
        <w:ind w:left="980" w:right="20" w:hanging="486"/>
        <w:spacing w:after="0" w:line="27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7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holders of our Class A common stock would receive a premium for their shares of our Class A common stock in an acquisition.</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and the federal district courts of the United States of America as the exclusive forums for substantially all disputes between us and our stockholders, which could restrict our stockholders’ ability to choose the judicial forum for disputes with us or our directors, officers, or employees.</w:t>
      </w:r>
    </w:p>
    <w:p>
      <w:pPr>
        <w:spacing w:after="0" w:line="16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In addition,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7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Outstanding 2025 Notes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have sufficient cash flow from our business to make payments on our significant debt when due, and we may incur additional indebtedness in the future.</w:t>
      </w:r>
    </w:p>
    <w:p>
      <w:pPr>
        <w:spacing w:after="0" w:line="17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June 2020, we issued the 2025 Notes in a private placement. We may be required to use a substantial portion of our cash flows from operations to pay interest and principal on our indebtedness. Our ability to make scheduled payments of the principal of, to pay interest on or to refinance our indebtedness, including the 2025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we may incur substantial additional debt in the future, subject to the restrictions contained in our future debt agreements, some of which may be secured debt. We are not restricted under the terms of the indenture governing the 2025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2025 Notes that could have the effect of diminishing our ability to make payments on the 2025 Notes when due.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conditional conversion feature of the 2025 Notes, if triggered, may adversely affect our financial condition and operating results.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1" w:name="page62"/>
    <w:bookmarkEnd w:id="61"/>
    <w:p>
      <w:pPr>
        <w:jc w:val="both"/>
        <w:ind w:firstLine="486"/>
        <w:spacing w:after="0" w:line="254" w:lineRule="auto"/>
        <w:rPr>
          <w:sz w:val="20"/>
          <w:szCs w:val="20"/>
          <w:color w:val="auto"/>
        </w:rPr>
      </w:pPr>
      <w:r>
        <w:rPr>
          <w:rFonts w:ascii="Arial" w:cs="Arial" w:eastAsia="Arial" w:hAnsi="Arial"/>
          <w:sz w:val="18"/>
          <w:szCs w:val="18"/>
          <w:color w:val="auto"/>
        </w:rPr>
        <w:t>In the event the conditional conversion feature of the 2025 Notes is triggered, holders of the 2025 Notes will be entitled to convert the notes at any time during specified periods at their option. If one or more holders elect to convert their 2025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2025 Notes when these conversion triggers are satisfied, we could be required under applicable accounting rules to reclassify all or a portion of the outstanding principal of the 2025 Notes as a current rather than long-term liability, which would result in a material reduction of our net working capital.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capped call transactions may affect the value of the 2025 Notes and our Class A common stock.</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connection with the pricing of the 2025 Notes, we entered into capped call transactions with the option counterparties. The capped call transactions cover, subject to customary adjustments, the number of shares of our common stock that initially underlie the 2025 Notes. The capped call transactions are expected generally to partially offset the potential dilution to our Class A common stock as a result of conversion of the 2025 Notes. In connection with establishing their initial hedges of the capped call transactions, the option counterparties or their respective affiliates entered into various derivative transactions with respect to our Class A common stock concurrently with or shortly after the pricing of the 2025 Notes, including with certain investors in the 2025 Notes.</w:t>
      </w:r>
    </w:p>
    <w:p>
      <w:pPr>
        <w:spacing w:after="0" w:line="192"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In addition, the option counterparties or their respective affiliates may modify their hedge positions by entering into or unwinding various derivatives with respect to our common stock and/or purchasing or selling our Class A common stock or other securities of ours in secondary market transactions following the pricing of the 2025 Notes on June 2, 2020 and prior to the maturity of the 2025 Notes. They are likely to do so on each exercise date for the capped call transactions, which are expected to occur during each 30 trading day period beginning on the 31st scheduled trading day prior to the maturity date of the 2025 Notes, or following any termination of any portion of the capped call transactions in connection with any repurchase, redemption or early conversion of the 2025 Notes). This activity could also cause or prevent an increase or decrease in the price of our Class A common stock or the 2025 Notes. The potential effect, if any, of these transactions on the price of our Class A common stock or the 2025 Notes will depend in part on market conditions and cannot be ascertained at this time. Any of these activities could adversely affect the value of our Class A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 transactions.</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counterparties to the capped call transactions are financial institutions, and we will be subject to the risk that one or more of the option counterparties may default, fail to perform or exercise their termination rights under the capped call transactions. Our exposure to the credit risk of the option counterparties will not be secured by any collateral. If a counterparty to the capped call transactions becomes subject to insolvency proceedings, we will become an unsecured creditor in those proceedings with a claim equal to our exposure at the time under such transaction. Our exposure will depend on many factors but, generally, our exposure will increase if the market price or the volatility of our common stock increases. In addition, upon a default, failure to perform or a termination of the capped call transactions by a counterparty, we may suffer more dilution than we currently anticipate with respect to our common stock.</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500" w:right="7360" w:hanging="492"/>
        <w:spacing w:after="0" w:line="500" w:lineRule="auto"/>
        <w:tabs>
          <w:tab w:leader="none" w:pos="33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Sales of Unregistered Equity Securities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color w:val="auto"/>
        </w:rPr>
      </w:pPr>
    </w:p>
    <w:p>
      <w:pPr>
        <w:ind w:left="320" w:hanging="312"/>
        <w:spacing w:after="0"/>
        <w:tabs>
          <w:tab w:leader="none" w:pos="3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September 2019, we closed our IPO of 27,600,000 shares of our Class A common stock at an offering price of $27.00 per share, including 3,600,000 shares pursuant to the underwriters’ option to purchase additional shares of our Class A common stock, resulting in net proceeds to us of $705.9 million, after deducting underwriting discounts and commissions of $37.3 million and net offering expenses of $2.0 million. All of the shares issued and sold in our IPO were registered under the Securities Act pursuant to a registration statement on Form S-1 (File No. 333-233428), which was declared effective by the SEC on September 18, 2019.</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2" w:name="page63"/>
    <w:bookmarkEnd w:id="62"/>
    <w:p>
      <w:pPr>
        <w:jc w:val="both"/>
        <w:ind w:right="20" w:firstLine="486"/>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from those disclosed in the Final Prospectus for our IPO dated as of September 18, 2019 and filed with the SEC pursuant to Rule 424(b)(4) on September 19,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Departure of Chief Revenue Officer</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On May 6, 2021, the Company announced that Dan Fougere, Chief Revenue Officer, will be departing from the Company effective June 2, 2021.</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New Chief Operating Officer</w:t>
      </w:r>
    </w:p>
    <w:p>
      <w:pPr>
        <w:spacing w:after="0" w:line="225" w:lineRule="exact"/>
        <w:rPr>
          <w:sz w:val="20"/>
          <w:szCs w:val="20"/>
          <w:color w:val="auto"/>
        </w:rPr>
      </w:pPr>
    </w:p>
    <w:p>
      <w:pPr>
        <w:jc w:val="both"/>
        <w:ind w:firstLine="201"/>
        <w:spacing w:after="0" w:line="259" w:lineRule="auto"/>
        <w:rPr>
          <w:sz w:val="20"/>
          <w:szCs w:val="20"/>
          <w:color w:val="auto"/>
        </w:rPr>
      </w:pPr>
      <w:r>
        <w:rPr>
          <w:rFonts w:ascii="Arial" w:cs="Arial" w:eastAsia="Arial" w:hAnsi="Arial"/>
          <w:sz w:val="18"/>
          <w:szCs w:val="18"/>
          <w:color w:val="auto"/>
        </w:rPr>
        <w:t>On May 6, 2021, the Company announced the appointment of Adam Blitzer as its Chief Operating Officer, effective May 10, 2021. Mr. Blitzer, age 40, was previously at Salesforce for eight years, most recently as Executive Vice President and General Manager of Digital (Marketing Cloud, Commerce Cloud, and Experience Cloud). Prior to his time at Salesforce, Blitzer founded Pardot, a marketing automation platform now owned by Salesforce. Mr. Blitzer holds a B.A. from Duke University.</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his offer letter, Mr. Blitzer will receive an annual base salary of $375,000 and will be eligible to participate in the Company’s executive bonus plan with a target annual bonus amount of $350,000, pro-rated for 2021. Mr. Blitzer is also eligible to participate in the Company’s employee and executive benefit plans and programs as may be maintained by the Company from time to time. Mr. Blitzer’s employment is on an at-will basis.</w:t>
      </w:r>
    </w:p>
    <w:p>
      <w:pPr>
        <w:spacing w:after="0" w:line="21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Mr. Blitzer will be granted a restricted stock unit award with respect to shares of the Company’s Class A Common Stock with a value of $18.0 million dollars based on the volume weighted average price during the month of May 2021 (the “RSU Grant”). The RSU Grant will be subject to the terms and conditions applicable to RSUs granted under the Company’s 2019 Equity Incentive Plan (the “2019 Plan”). The RSU Grant will vest over a four-year schedule with 25% of the shares vesting on June 1, 2022 and the remaining 75% of the shares vesting in 12 equal quarterly installments thereafter, so long as Mr. Blitzer remain in the Continuous Service of the Company (as defined in the 2019 Plan).</w:t>
      </w:r>
    </w:p>
    <w:p>
      <w:pPr>
        <w:spacing w:after="0" w:line="20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Mr. Blitzer has also entered into the Company’s current form of change of control and severance agreement in substantially the form attached as Exhibit 10.13 to Amendment No. 1 to the Company’s Registration Statement on Form S-1 (No. 333-233428) filed on September 9, 2019 and summarized therein, with the role of Chief Operating Officer included in Tier One with respect to the acceleration of equity in a change-in-control termination.</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connection with his employment, Mr. Blitzer also entered into the Company’s standard form of Proprietary Information and Invention Assignment Agreement and is eligible to enter into the Company’s standard form of Indemnity Agreement. Mr. Blitzer was not appointed to serve as Chief Operating Officer pursuant to any arrangements or understandings with the Company (other than as reflected in the offer letter) or with any other person. There are no related party transactions between Mr. Blitzer and the Company that would require disclosure under Item 404(a) of Regulation S-K, and there are no family relationships between Mr. Blitzer and any director or executive officer of the Company.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6. EXHIBITS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560" w:type="dxa"/>
            <w:vAlign w:val="bottom"/>
            <w:gridSpan w:val="2"/>
          </w:tcPr>
          <w:p>
            <w:pPr>
              <w:ind w:left="680"/>
              <w:spacing w:after="0"/>
              <w:rPr>
                <w:sz w:val="20"/>
                <w:szCs w:val="20"/>
                <w:color w:val="auto"/>
              </w:rPr>
            </w:pPr>
            <w:r>
              <w:rPr>
                <w:rFonts w:ascii="Arial" w:cs="Arial" w:eastAsia="Arial" w:hAnsi="Arial"/>
                <w:sz w:val="14"/>
                <w:szCs w:val="14"/>
                <w:b w:val="1"/>
                <w:bCs w:val="1"/>
                <w:color w:val="auto"/>
              </w:rPr>
              <w:t>Incorporated by Reference</w:t>
            </w:r>
          </w:p>
        </w:tc>
        <w:tc>
          <w:tcPr>
            <w:tcW w:w="1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Exhibit</w:t>
            </w: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2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86"/>
        </w:trPr>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3700" w:type="dxa"/>
            <w:vAlign w:val="bottom"/>
            <w:gridSpan w:val="15"/>
          </w:tcPr>
          <w:p>
            <w:pPr>
              <w:spacing w:after="0"/>
              <w:rPr>
                <w:sz w:val="20"/>
                <w:szCs w:val="20"/>
                <w:color w:val="auto"/>
              </w:rPr>
            </w:pPr>
            <w:r>
              <w:rPr>
                <w:rFonts w:ascii="Arial" w:cs="Arial" w:eastAsia="Arial" w:hAnsi="Arial"/>
                <w:sz w:val="14"/>
                <w:szCs w:val="14"/>
                <w:b w:val="1"/>
                <w:bCs w:val="1"/>
                <w:color w:val="auto"/>
              </w:rPr>
              <w:t>Description</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1500" w:type="dxa"/>
            <w:vAlign w:val="bottom"/>
          </w:tcPr>
          <w:p>
            <w:pPr>
              <w:ind w:left="520"/>
              <w:spacing w:after="0"/>
              <w:rPr>
                <w:sz w:val="20"/>
                <w:szCs w:val="20"/>
                <w:color w:val="auto"/>
              </w:rPr>
            </w:pPr>
            <w:r>
              <w:rPr>
                <w:rFonts w:ascii="Arial" w:cs="Arial" w:eastAsia="Arial" w:hAnsi="Arial"/>
                <w:sz w:val="14"/>
                <w:szCs w:val="14"/>
                <w:b w:val="1"/>
                <w:bCs w:val="1"/>
                <w:color w:val="auto"/>
              </w:rPr>
              <w:t>File No.</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6"/>
        </w:trPr>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5"/>
          </w:tcPr>
          <w:p>
            <w:pPr>
              <w:spacing w:after="0" w:line="196" w:lineRule="exact"/>
              <w:rPr>
                <w:rFonts w:ascii="Arial" w:cs="Arial" w:eastAsia="Arial" w:hAnsi="Arial"/>
                <w:sz w:val="18"/>
                <w:szCs w:val="18"/>
                <w:color w:val="0000FF"/>
              </w:rPr>
            </w:pPr>
            <w:hyperlink r:id="rId104">
              <w:r>
                <w:rPr>
                  <w:rFonts w:ascii="Arial" w:cs="Arial" w:eastAsia="Arial" w:hAnsi="Arial"/>
                  <w:sz w:val="18"/>
                  <w:szCs w:val="18"/>
                  <w:color w:val="0000FF"/>
                </w:rPr>
                <w:t>Amended and Restated Certificate of</w:t>
              </w:r>
            </w:hyperlink>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500" w:type="dxa"/>
            <w:vAlign w:val="bottom"/>
          </w:tcPr>
          <w:p>
            <w:pPr>
              <w:jc w:val="right"/>
              <w:ind w:right="279"/>
              <w:spacing w:after="0" w:line="196" w:lineRule="exact"/>
              <w:rPr>
                <w:sz w:val="20"/>
                <w:szCs w:val="20"/>
                <w:color w:val="auto"/>
              </w:rPr>
            </w:pPr>
            <w:r>
              <w:rPr>
                <w:rFonts w:ascii="Arial" w:cs="Arial" w:eastAsia="Arial" w:hAnsi="Arial"/>
                <w:sz w:val="18"/>
                <w:szCs w:val="18"/>
                <w:color w:val="auto"/>
              </w:rPr>
              <w:t>001-39051</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660" w:type="dxa"/>
            <w:vAlign w:val="bottom"/>
          </w:tcPr>
          <w:p>
            <w:pPr>
              <w:jc w:val="center"/>
              <w:spacing w:after="0" w:line="196" w:lineRule="exact"/>
              <w:rPr>
                <w:sz w:val="20"/>
                <w:szCs w:val="20"/>
                <w:color w:val="auto"/>
              </w:rPr>
            </w:pPr>
            <w:r>
              <w:rPr>
                <w:rFonts w:ascii="Arial" w:cs="Arial" w:eastAsia="Arial" w:hAnsi="Arial"/>
                <w:sz w:val="18"/>
                <w:szCs w:val="18"/>
                <w:color w:val="auto"/>
                <w:w w:val="88"/>
              </w:rPr>
              <w:t>September 23,</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r:id="rId104">
              <w:r>
                <w:rPr>
                  <w:rFonts w:ascii="Arial" w:cs="Arial" w:eastAsia="Arial" w:hAnsi="Arial"/>
                  <w:sz w:val="18"/>
                  <w:szCs w:val="18"/>
                  <w:color w:val="0000FF"/>
                </w:rPr>
                <w:t>Incorporation of Datadog, Inc.</w:t>
              </w:r>
            </w:hyperlink>
          </w:p>
        </w:tc>
        <w:tc>
          <w:tcPr>
            <w:tcW w:w="1040" w:type="dxa"/>
            <w:vAlign w:val="bottom"/>
            <w:gridSpan w:val="10"/>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jc w:val="center"/>
              <w:spacing w:after="0" w:line="196" w:lineRule="exact"/>
              <w:rPr>
                <w:sz w:val="20"/>
                <w:szCs w:val="20"/>
                <w:color w:val="auto"/>
              </w:rPr>
            </w:pPr>
            <w:r>
              <w:rPr>
                <w:rFonts w:ascii="Arial" w:cs="Arial" w:eastAsia="Arial" w:hAnsi="Arial"/>
                <w:sz w:val="18"/>
                <w:szCs w:val="18"/>
                <w:color w:val="auto"/>
                <w:w w:val="89"/>
              </w:rPr>
              <w:t>2019</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80" w:type="dxa"/>
            <w:vAlign w:val="bottom"/>
            <w:tcBorders>
              <w:bottom w:val="single" w:sz="8" w:color="0000FF"/>
            </w:tcBorders>
            <w:gridSpan w:val="14"/>
          </w:tcPr>
          <w:p>
            <w:pPr>
              <w:spacing w:after="0"/>
              <w:rPr>
                <w:rFonts w:ascii="Arial" w:cs="Arial" w:eastAsia="Arial" w:hAnsi="Arial"/>
                <w:sz w:val="18"/>
                <w:szCs w:val="18"/>
                <w:color w:val="0000FF"/>
                <w:w w:val="90"/>
              </w:rPr>
            </w:pPr>
            <w:hyperlink r:id="rId105">
              <w:r>
                <w:rPr>
                  <w:rFonts w:ascii="Arial" w:cs="Arial" w:eastAsia="Arial" w:hAnsi="Arial"/>
                  <w:sz w:val="18"/>
                  <w:szCs w:val="18"/>
                  <w:color w:val="0000FF"/>
                  <w:w w:val="90"/>
                </w:rPr>
                <w:t>Amended and Restated Bylaws of Datadog, Inc.</w:t>
              </w:r>
            </w:hyperlink>
          </w:p>
        </w:tc>
        <w:tc>
          <w:tcPr>
            <w:tcW w:w="22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500" w:type="dxa"/>
            <w:vAlign w:val="bottom"/>
          </w:tcPr>
          <w:p>
            <w:pPr>
              <w:jc w:val="right"/>
              <w:ind w:right="239"/>
              <w:spacing w:after="0"/>
              <w:rPr>
                <w:sz w:val="20"/>
                <w:szCs w:val="20"/>
                <w:color w:val="auto"/>
              </w:rPr>
            </w:pPr>
            <w:r>
              <w:rPr>
                <w:rFonts w:ascii="Arial" w:cs="Arial" w:eastAsia="Arial" w:hAnsi="Arial"/>
                <w:sz w:val="18"/>
                <w:szCs w:val="18"/>
                <w:color w:val="auto"/>
              </w:rPr>
              <w:t>333-233428</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August 23, 2019</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66">
              <w:r>
                <w:rPr>
                  <w:rFonts w:ascii="Arial" w:cs="Arial" w:eastAsia="Arial" w:hAnsi="Arial"/>
                  <w:sz w:val="18"/>
                  <w:szCs w:val="18"/>
                  <w:color w:val="0000FF"/>
                  <w:w w:val="90"/>
                </w:rPr>
                <w:t>Offer Letter, by and between Datadog, Inc. and</w:t>
              </w:r>
            </w:hyperlink>
          </w:p>
        </w:tc>
        <w:tc>
          <w:tcPr>
            <w:tcW w:w="300" w:type="dxa"/>
            <w:vAlign w:val="bottom"/>
            <w:gridSpan w:val="3"/>
          </w:tcPr>
          <w:p>
            <w:pPr>
              <w:spacing w:after="0"/>
              <w:rPr>
                <w:sz w:val="21"/>
                <w:szCs w:val="21"/>
                <w:color w:val="auto"/>
              </w:rPr>
            </w:pP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w:anchor="page66">
              <w:r>
                <w:rPr>
                  <w:rFonts w:ascii="Arial" w:cs="Arial" w:eastAsia="Arial" w:hAnsi="Arial"/>
                  <w:sz w:val="18"/>
                  <w:szCs w:val="18"/>
                  <w:color w:val="0000FF"/>
                  <w:w w:val="91"/>
                </w:rPr>
                <w:t>Alexis Lê-Quôc, dated May 20, 2011</w:t>
              </w:r>
            </w:hyperlink>
          </w:p>
        </w:tc>
        <w:tc>
          <w:tcPr>
            <w:tcW w:w="1020" w:type="dxa"/>
            <w:vAlign w:val="bottom"/>
            <w:gridSpan w:val="9"/>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69">
              <w:r>
                <w:rPr>
                  <w:rFonts w:ascii="Arial" w:cs="Arial" w:eastAsia="Arial" w:hAnsi="Arial"/>
                  <w:sz w:val="18"/>
                  <w:szCs w:val="18"/>
                  <w:color w:val="0000FF"/>
                  <w:w w:val="90"/>
                </w:rPr>
                <w:t>Offer Letter, by and between Datadog, Inc. and</w:t>
              </w:r>
            </w:hyperlink>
          </w:p>
        </w:tc>
        <w:tc>
          <w:tcPr>
            <w:tcW w:w="300" w:type="dxa"/>
            <w:vAlign w:val="bottom"/>
            <w:gridSpan w:val="3"/>
          </w:tcPr>
          <w:p>
            <w:pPr>
              <w:spacing w:after="0"/>
              <w:rPr>
                <w:sz w:val="21"/>
                <w:szCs w:val="21"/>
                <w:color w:val="auto"/>
              </w:rPr>
            </w:pP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5"/>
          </w:tcPr>
          <w:p>
            <w:pPr>
              <w:spacing w:after="0" w:line="196" w:lineRule="exact"/>
              <w:rPr>
                <w:rFonts w:ascii="Arial" w:cs="Arial" w:eastAsia="Arial" w:hAnsi="Arial"/>
                <w:sz w:val="18"/>
                <w:szCs w:val="18"/>
                <w:color w:val="0000FF"/>
              </w:rPr>
            </w:pPr>
            <w:hyperlink w:anchor="page69">
              <w:r>
                <w:rPr>
                  <w:rFonts w:ascii="Arial" w:cs="Arial" w:eastAsia="Arial" w:hAnsi="Arial"/>
                  <w:sz w:val="18"/>
                  <w:szCs w:val="18"/>
                  <w:color w:val="0000FF"/>
                </w:rPr>
                <w:t>Amit Agarwal, dated May 4, 2012</w:t>
              </w:r>
            </w:hyperlink>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73">
              <w:r>
                <w:rPr>
                  <w:rFonts w:ascii="Arial" w:cs="Arial" w:eastAsia="Arial" w:hAnsi="Arial"/>
                  <w:sz w:val="18"/>
                  <w:szCs w:val="18"/>
                  <w:color w:val="0000FF"/>
                  <w:w w:val="90"/>
                </w:rPr>
                <w:t>Offer Letter, by and between Datadog, Inc. and</w:t>
              </w:r>
            </w:hyperlink>
          </w:p>
        </w:tc>
        <w:tc>
          <w:tcPr>
            <w:tcW w:w="300" w:type="dxa"/>
            <w:vAlign w:val="bottom"/>
            <w:gridSpan w:val="3"/>
          </w:tcPr>
          <w:p>
            <w:pPr>
              <w:spacing w:after="0"/>
              <w:rPr>
                <w:sz w:val="21"/>
                <w:szCs w:val="21"/>
                <w:color w:val="auto"/>
              </w:rPr>
            </w:pP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5"/>
          </w:tcPr>
          <w:p>
            <w:pPr>
              <w:spacing w:after="0" w:line="196" w:lineRule="exact"/>
              <w:rPr>
                <w:rFonts w:ascii="Arial" w:cs="Arial" w:eastAsia="Arial" w:hAnsi="Arial"/>
                <w:sz w:val="18"/>
                <w:szCs w:val="18"/>
                <w:color w:val="0000FF"/>
              </w:rPr>
            </w:pPr>
            <w:hyperlink w:anchor="page73">
              <w:r>
                <w:rPr>
                  <w:rFonts w:ascii="Arial" w:cs="Arial" w:eastAsia="Arial" w:hAnsi="Arial"/>
                  <w:sz w:val="18"/>
                  <w:szCs w:val="18"/>
                  <w:color w:val="0000FF"/>
                </w:rPr>
                <w:t>Dan Fougere, dated December 18, 2016</w:t>
              </w:r>
            </w:hyperlink>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9"/>
          </w:tcPr>
          <w:p>
            <w:pPr>
              <w:spacing w:after="0"/>
              <w:rPr>
                <w:rFonts w:ascii="Arial" w:cs="Arial" w:eastAsia="Arial" w:hAnsi="Arial"/>
                <w:sz w:val="18"/>
                <w:szCs w:val="18"/>
                <w:color w:val="0000FF"/>
                <w:w w:val="93"/>
              </w:rPr>
            </w:pPr>
            <w:hyperlink w:anchor="page78">
              <w:r>
                <w:rPr>
                  <w:rFonts w:ascii="Arial" w:cs="Arial" w:eastAsia="Arial" w:hAnsi="Arial"/>
                  <w:sz w:val="18"/>
                  <w:szCs w:val="18"/>
                  <w:color w:val="0000FF"/>
                  <w:w w:val="93"/>
                </w:rPr>
                <w:t>Certification of Principal Executive Officer</w:t>
              </w:r>
            </w:hyperlink>
          </w:p>
        </w:tc>
        <w:tc>
          <w:tcPr>
            <w:tcW w:w="580" w:type="dxa"/>
            <w:vAlign w:val="bottom"/>
            <w:gridSpan w:val="6"/>
          </w:tcPr>
          <w:p>
            <w:pPr>
              <w:spacing w:after="0"/>
              <w:rPr>
                <w:sz w:val="21"/>
                <w:szCs w:val="21"/>
                <w:color w:val="auto"/>
              </w:rPr>
            </w:pP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5"/>
          </w:tcPr>
          <w:p>
            <w:pPr>
              <w:spacing w:after="0" w:line="196" w:lineRule="exact"/>
              <w:rPr>
                <w:rFonts w:ascii="Arial" w:cs="Arial" w:eastAsia="Arial" w:hAnsi="Arial"/>
                <w:sz w:val="18"/>
                <w:szCs w:val="18"/>
                <w:color w:val="0000FF"/>
              </w:rPr>
            </w:pPr>
            <w:hyperlink w:anchor="page78">
              <w:r>
                <w:rPr>
                  <w:rFonts w:ascii="Arial" w:cs="Arial" w:eastAsia="Arial" w:hAnsi="Arial"/>
                  <w:sz w:val="18"/>
                  <w:szCs w:val="18"/>
                  <w:color w:val="0000FF"/>
                </w:rPr>
                <w:t>Pursuant to Rules 13a-14(a) and 15d-14(a)</w:t>
              </w:r>
            </w:hyperlink>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5"/>
          </w:tcPr>
          <w:p>
            <w:pPr>
              <w:spacing w:after="0" w:line="196" w:lineRule="exact"/>
              <w:rPr>
                <w:rFonts w:ascii="Arial" w:cs="Arial" w:eastAsia="Arial" w:hAnsi="Arial"/>
                <w:sz w:val="18"/>
                <w:szCs w:val="18"/>
                <w:color w:val="0000FF"/>
                <w:w w:val="99"/>
              </w:rPr>
            </w:pPr>
            <w:hyperlink w:anchor="page78">
              <w:r>
                <w:rPr>
                  <w:rFonts w:ascii="Arial" w:cs="Arial" w:eastAsia="Arial" w:hAnsi="Arial"/>
                  <w:sz w:val="18"/>
                  <w:szCs w:val="18"/>
                  <w:color w:val="0000FF"/>
                  <w:w w:val="99"/>
                </w:rPr>
                <w:t>under the Securities Exchange Act of 1934, as</w:t>
              </w:r>
            </w:hyperlink>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9"/>
              </w:rPr>
            </w:pPr>
            <w:hyperlink w:anchor="page78">
              <w:r>
                <w:rPr>
                  <w:rFonts w:ascii="Arial" w:cs="Arial" w:eastAsia="Arial" w:hAnsi="Arial"/>
                  <w:sz w:val="18"/>
                  <w:szCs w:val="18"/>
                  <w:color w:val="0000FF"/>
                  <w:w w:val="89"/>
                </w:rPr>
                <w:t>Adopted Pursuant to Section 302 of the</w:t>
              </w:r>
            </w:hyperlink>
          </w:p>
        </w:tc>
        <w:tc>
          <w:tcPr>
            <w:tcW w:w="460" w:type="dxa"/>
            <w:vAlign w:val="bottom"/>
            <w:tcBorders>
              <w:top w:val="single" w:sz="8" w:color="0000FF"/>
            </w:tcBorders>
            <w:gridSpan w:val="3"/>
          </w:tcPr>
          <w:p>
            <w:pPr>
              <w:spacing w:after="0"/>
              <w:rPr>
                <w:sz w:val="17"/>
                <w:szCs w:val="17"/>
                <w:color w:val="auto"/>
              </w:rPr>
            </w:pPr>
          </w:p>
        </w:tc>
        <w:tc>
          <w:tcPr>
            <w:tcW w:w="380" w:type="dxa"/>
            <w:vAlign w:val="bottom"/>
            <w:gridSpan w:val="5"/>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78">
              <w:r>
                <w:rPr>
                  <w:rFonts w:ascii="Arial" w:cs="Arial" w:eastAsia="Arial" w:hAnsi="Arial"/>
                  <w:sz w:val="18"/>
                  <w:szCs w:val="18"/>
                  <w:color w:val="0000FF"/>
                  <w:w w:val="90"/>
                </w:rPr>
                <w:t>Sarbanes-Oxley Act of 2002.</w:t>
              </w:r>
            </w:hyperlink>
          </w:p>
        </w:tc>
        <w:tc>
          <w:tcPr>
            <w:tcW w:w="1600" w:type="dxa"/>
            <w:vAlign w:val="bottom"/>
            <w:gridSpan w:val="13"/>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gridSpan w:val="15"/>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Certification of Principal Financial Officer</w:t>
              </w:r>
            </w:hyperlink>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5"/>
          </w:tcPr>
          <w:p>
            <w:pPr>
              <w:spacing w:after="0" w:line="196" w:lineRule="exact"/>
              <w:rPr>
                <w:rFonts w:ascii="Arial" w:cs="Arial" w:eastAsia="Arial" w:hAnsi="Arial"/>
                <w:sz w:val="18"/>
                <w:szCs w:val="18"/>
                <w:color w:val="0000FF"/>
              </w:rPr>
            </w:pPr>
            <w:hyperlink w:anchor="page79">
              <w:r>
                <w:rPr>
                  <w:rFonts w:ascii="Arial" w:cs="Arial" w:eastAsia="Arial" w:hAnsi="Arial"/>
                  <w:sz w:val="18"/>
                  <w:szCs w:val="18"/>
                  <w:color w:val="0000FF"/>
                </w:rPr>
                <w:t>Pursuant to Rules 13a-14(a) and 15d-14(a)</w:t>
              </w:r>
            </w:hyperlink>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5"/>
          </w:tcPr>
          <w:p>
            <w:pPr>
              <w:spacing w:after="0" w:line="196" w:lineRule="exact"/>
              <w:rPr>
                <w:rFonts w:ascii="Arial" w:cs="Arial" w:eastAsia="Arial" w:hAnsi="Arial"/>
                <w:sz w:val="18"/>
                <w:szCs w:val="18"/>
                <w:color w:val="0000FF"/>
                <w:w w:val="99"/>
              </w:rPr>
            </w:pPr>
            <w:hyperlink w:anchor="page79">
              <w:r>
                <w:rPr>
                  <w:rFonts w:ascii="Arial" w:cs="Arial" w:eastAsia="Arial" w:hAnsi="Arial"/>
                  <w:sz w:val="18"/>
                  <w:szCs w:val="18"/>
                  <w:color w:val="0000FF"/>
                  <w:w w:val="99"/>
                </w:rPr>
                <w:t>under the Securities Exchange Act of 1934, as</w:t>
              </w:r>
            </w:hyperlink>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9"/>
              </w:rPr>
            </w:pPr>
            <w:hyperlink w:anchor="page79">
              <w:r>
                <w:rPr>
                  <w:rFonts w:ascii="Arial" w:cs="Arial" w:eastAsia="Arial" w:hAnsi="Arial"/>
                  <w:sz w:val="18"/>
                  <w:szCs w:val="18"/>
                  <w:color w:val="0000FF"/>
                  <w:w w:val="89"/>
                </w:rPr>
                <w:t>Adopted Pursuant to Section 302 of the</w:t>
              </w:r>
            </w:hyperlink>
          </w:p>
        </w:tc>
        <w:tc>
          <w:tcPr>
            <w:tcW w:w="460" w:type="dxa"/>
            <w:vAlign w:val="bottom"/>
            <w:tcBorders>
              <w:top w:val="single" w:sz="8" w:color="0000FF"/>
            </w:tcBorders>
            <w:gridSpan w:val="3"/>
          </w:tcPr>
          <w:p>
            <w:pPr>
              <w:spacing w:after="0"/>
              <w:rPr>
                <w:sz w:val="17"/>
                <w:szCs w:val="17"/>
                <w:color w:val="auto"/>
              </w:rPr>
            </w:pPr>
          </w:p>
        </w:tc>
        <w:tc>
          <w:tcPr>
            <w:tcW w:w="380" w:type="dxa"/>
            <w:vAlign w:val="bottom"/>
            <w:gridSpan w:val="5"/>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79">
              <w:r>
                <w:rPr>
                  <w:rFonts w:ascii="Arial" w:cs="Arial" w:eastAsia="Arial" w:hAnsi="Arial"/>
                  <w:sz w:val="18"/>
                  <w:szCs w:val="18"/>
                  <w:color w:val="0000FF"/>
                  <w:w w:val="90"/>
                </w:rPr>
                <w:t>Sarbanes-Oxley Act of 2002.</w:t>
              </w:r>
            </w:hyperlink>
          </w:p>
        </w:tc>
        <w:tc>
          <w:tcPr>
            <w:tcW w:w="1600" w:type="dxa"/>
            <w:vAlign w:val="bottom"/>
            <w:gridSpan w:val="13"/>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9"/>
          </w:tcPr>
          <w:p>
            <w:pPr>
              <w:spacing w:after="0"/>
              <w:rPr>
                <w:rFonts w:ascii="Arial" w:cs="Arial" w:eastAsia="Arial" w:hAnsi="Arial"/>
                <w:sz w:val="18"/>
                <w:szCs w:val="18"/>
                <w:color w:val="0000FF"/>
                <w:w w:val="93"/>
              </w:rPr>
            </w:pPr>
            <w:hyperlink w:anchor="page80">
              <w:r>
                <w:rPr>
                  <w:rFonts w:ascii="Arial" w:cs="Arial" w:eastAsia="Arial" w:hAnsi="Arial"/>
                  <w:sz w:val="18"/>
                  <w:szCs w:val="18"/>
                  <w:color w:val="0000FF"/>
                  <w:w w:val="93"/>
                </w:rPr>
                <w:t>Certification of Principal Executive Officer</w:t>
              </w:r>
            </w:hyperlink>
          </w:p>
        </w:tc>
        <w:tc>
          <w:tcPr>
            <w:tcW w:w="580" w:type="dxa"/>
            <w:vAlign w:val="bottom"/>
            <w:gridSpan w:val="6"/>
          </w:tcPr>
          <w:p>
            <w:pPr>
              <w:spacing w:after="0"/>
              <w:rPr>
                <w:sz w:val="21"/>
                <w:szCs w:val="21"/>
                <w:color w:val="auto"/>
              </w:rPr>
            </w:pP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3"/>
          </w:tcPr>
          <w:p>
            <w:pPr>
              <w:spacing w:after="0" w:line="196" w:lineRule="exact"/>
              <w:rPr>
                <w:rFonts w:ascii="Arial" w:cs="Arial" w:eastAsia="Arial" w:hAnsi="Arial"/>
                <w:sz w:val="18"/>
                <w:szCs w:val="18"/>
                <w:color w:val="0000FF"/>
                <w:w w:val="89"/>
              </w:rPr>
            </w:pPr>
            <w:hyperlink w:anchor="page80">
              <w:r>
                <w:rPr>
                  <w:rFonts w:ascii="Arial" w:cs="Arial" w:eastAsia="Arial" w:hAnsi="Arial"/>
                  <w:sz w:val="18"/>
                  <w:szCs w:val="18"/>
                  <w:color w:val="0000FF"/>
                  <w:w w:val="89"/>
                </w:rPr>
                <w:t>Pursuant to 18 U.S.C. Section 1350, as Adopted</w:t>
              </w:r>
            </w:hyperlink>
          </w:p>
        </w:tc>
        <w:tc>
          <w:tcPr>
            <w:tcW w:w="24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5"/>
          </w:tcPr>
          <w:p>
            <w:pPr>
              <w:spacing w:after="0" w:line="196" w:lineRule="exact"/>
              <w:rPr>
                <w:rFonts w:ascii="Arial" w:cs="Arial" w:eastAsia="Arial" w:hAnsi="Arial"/>
                <w:sz w:val="18"/>
                <w:szCs w:val="18"/>
                <w:color w:val="0000FF"/>
                <w:w w:val="97"/>
              </w:rPr>
            </w:pPr>
            <w:hyperlink w:anchor="page80">
              <w:r>
                <w:rPr>
                  <w:rFonts w:ascii="Arial" w:cs="Arial" w:eastAsia="Arial" w:hAnsi="Arial"/>
                  <w:sz w:val="18"/>
                  <w:szCs w:val="18"/>
                  <w:color w:val="0000FF"/>
                  <w:w w:val="97"/>
                </w:rPr>
                <w:t>Pursuant to Section 906 of the Sarbanes-Oxley</w:t>
              </w:r>
            </w:hyperlink>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w:anchor="page80">
              <w:r>
                <w:rPr>
                  <w:rFonts w:ascii="Arial" w:cs="Arial" w:eastAsia="Arial" w:hAnsi="Arial"/>
                  <w:sz w:val="18"/>
                  <w:szCs w:val="18"/>
                  <w:color w:val="0000FF"/>
                  <w:w w:val="91"/>
                </w:rPr>
                <w:t>Act of 2002.</w:t>
              </w:r>
            </w:hyperlink>
          </w:p>
        </w:tc>
        <w:tc>
          <w:tcPr>
            <w:tcW w:w="2460" w:type="dxa"/>
            <w:vAlign w:val="bottom"/>
            <w:tcBorders>
              <w:top w:val="single" w:sz="8" w:color="0000FF"/>
            </w:tcBorders>
            <w:gridSpan w:val="10"/>
          </w:tcPr>
          <w:p>
            <w:pPr>
              <w:spacing w:after="0"/>
              <w:rPr>
                <w:sz w:val="17"/>
                <w:szCs w:val="17"/>
                <w:color w:val="auto"/>
              </w:rPr>
            </w:pPr>
          </w:p>
        </w:tc>
        <w:tc>
          <w:tcPr>
            <w:tcW w:w="34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gridSpan w:val="15"/>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Certification of Principal Financial Officer</w:t>
              </w:r>
            </w:hyperlink>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8"/>
            <w:shd w:val="clear" w:color="auto" w:fill="0000FF"/>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3"/>
          </w:tcPr>
          <w:p>
            <w:pPr>
              <w:spacing w:after="0" w:line="196" w:lineRule="exact"/>
              <w:rPr>
                <w:rFonts w:ascii="Arial" w:cs="Arial" w:eastAsia="Arial" w:hAnsi="Arial"/>
                <w:sz w:val="18"/>
                <w:szCs w:val="18"/>
                <w:color w:val="0000FF"/>
                <w:w w:val="89"/>
              </w:rPr>
            </w:pPr>
            <w:hyperlink w:anchor="page81">
              <w:r>
                <w:rPr>
                  <w:rFonts w:ascii="Arial" w:cs="Arial" w:eastAsia="Arial" w:hAnsi="Arial"/>
                  <w:sz w:val="18"/>
                  <w:szCs w:val="18"/>
                  <w:color w:val="0000FF"/>
                  <w:w w:val="89"/>
                </w:rPr>
                <w:t>Pursuant to 18 U.S.C. Section 1350, as Adopted</w:t>
              </w:r>
            </w:hyperlink>
          </w:p>
        </w:tc>
        <w:tc>
          <w:tcPr>
            <w:tcW w:w="24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5"/>
          </w:tcPr>
          <w:p>
            <w:pPr>
              <w:spacing w:after="0" w:line="196" w:lineRule="exact"/>
              <w:rPr>
                <w:rFonts w:ascii="Arial" w:cs="Arial" w:eastAsia="Arial" w:hAnsi="Arial"/>
                <w:sz w:val="18"/>
                <w:szCs w:val="18"/>
                <w:color w:val="0000FF"/>
                <w:w w:val="97"/>
              </w:rPr>
            </w:pPr>
            <w:hyperlink w:anchor="page81">
              <w:r>
                <w:rPr>
                  <w:rFonts w:ascii="Arial" w:cs="Arial" w:eastAsia="Arial" w:hAnsi="Arial"/>
                  <w:sz w:val="18"/>
                  <w:szCs w:val="18"/>
                  <w:color w:val="0000FF"/>
                  <w:w w:val="97"/>
                </w:rPr>
                <w:t>Pursuant to Section 906 of the Sarbanes-Oxley</w:t>
              </w:r>
            </w:hyperlink>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w:anchor="page81">
              <w:r>
                <w:rPr>
                  <w:rFonts w:ascii="Arial" w:cs="Arial" w:eastAsia="Arial" w:hAnsi="Arial"/>
                  <w:sz w:val="18"/>
                  <w:szCs w:val="18"/>
                  <w:color w:val="0000FF"/>
                  <w:w w:val="91"/>
                </w:rPr>
                <w:t>Act of 2002.</w:t>
              </w:r>
            </w:hyperlink>
          </w:p>
        </w:tc>
        <w:tc>
          <w:tcPr>
            <w:tcW w:w="2460" w:type="dxa"/>
            <w:vAlign w:val="bottom"/>
            <w:tcBorders>
              <w:top w:val="single" w:sz="8" w:color="0000FF"/>
            </w:tcBorders>
            <w:gridSpan w:val="10"/>
          </w:tcPr>
          <w:p>
            <w:pPr>
              <w:spacing w:after="0"/>
              <w:rPr>
                <w:sz w:val="17"/>
                <w:szCs w:val="17"/>
                <w:color w:val="auto"/>
              </w:rPr>
            </w:pPr>
          </w:p>
        </w:tc>
        <w:tc>
          <w:tcPr>
            <w:tcW w:w="34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3700" w:type="dxa"/>
            <w:vAlign w:val="bottom"/>
            <w:gridSpan w:val="15"/>
          </w:tcPr>
          <w:p>
            <w:pPr>
              <w:spacing w:after="0"/>
              <w:rPr>
                <w:sz w:val="20"/>
                <w:szCs w:val="20"/>
                <w:color w:val="auto"/>
              </w:rPr>
            </w:pPr>
            <w:r>
              <w:rPr>
                <w:rFonts w:ascii="Arial" w:cs="Arial" w:eastAsia="Arial" w:hAnsi="Arial"/>
                <w:sz w:val="18"/>
                <w:szCs w:val="18"/>
                <w:color w:val="auto"/>
              </w:rPr>
              <w:t>XBRL Instance Document</w:t>
            </w: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3"/>
                <w:szCs w:val="23"/>
                <w:color w:val="auto"/>
              </w:rPr>
            </w:pPr>
          </w:p>
        </w:tc>
        <w:tc>
          <w:tcPr>
            <w:tcW w:w="3700" w:type="dxa"/>
            <w:vAlign w:val="bottom"/>
            <w:gridSpan w:val="15"/>
          </w:tcPr>
          <w:p>
            <w:pPr>
              <w:spacing w:after="0"/>
              <w:rPr>
                <w:sz w:val="20"/>
                <w:szCs w:val="20"/>
                <w:color w:val="auto"/>
              </w:rPr>
            </w:pPr>
            <w:r>
              <w:rPr>
                <w:rFonts w:ascii="Arial" w:cs="Arial" w:eastAsia="Arial" w:hAnsi="Arial"/>
                <w:sz w:val="18"/>
                <w:szCs w:val="18"/>
                <w:color w:val="auto"/>
                <w:w w:val="97"/>
              </w:rPr>
              <w:t>XBRL Taxonomy Extension Schema Document</w:t>
            </w:r>
          </w:p>
        </w:tc>
        <w:tc>
          <w:tcPr>
            <w:tcW w:w="9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2"/>
                <w:szCs w:val="22"/>
                <w:color w:val="auto"/>
              </w:rPr>
            </w:pPr>
          </w:p>
        </w:tc>
        <w:tc>
          <w:tcPr>
            <w:tcW w:w="3700" w:type="dxa"/>
            <w:vAlign w:val="bottom"/>
            <w:gridSpan w:val="15"/>
          </w:tcPr>
          <w:p>
            <w:pPr>
              <w:spacing w:after="0"/>
              <w:rPr>
                <w:sz w:val="20"/>
                <w:szCs w:val="20"/>
                <w:color w:val="auto"/>
              </w:rPr>
            </w:pPr>
            <w:r>
              <w:rPr>
                <w:rFonts w:ascii="Arial" w:cs="Arial" w:eastAsia="Arial" w:hAnsi="Arial"/>
                <w:sz w:val="18"/>
                <w:szCs w:val="18"/>
                <w:color w:val="auto"/>
              </w:rPr>
              <w:t>XBRL Taxonomy Extension Calculation</w:t>
            </w:r>
          </w:p>
        </w:tc>
        <w:tc>
          <w:tcPr>
            <w:tcW w:w="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gridSpan w:val="15"/>
          </w:tcPr>
          <w:p>
            <w:pPr>
              <w:spacing w:after="0"/>
              <w:rPr>
                <w:sz w:val="20"/>
                <w:szCs w:val="20"/>
                <w:color w:val="auto"/>
              </w:rPr>
            </w:pPr>
            <w:r>
              <w:rPr>
                <w:rFonts w:ascii="Arial" w:cs="Arial" w:eastAsia="Arial" w:hAnsi="Arial"/>
                <w:sz w:val="18"/>
                <w:szCs w:val="18"/>
                <w:color w:val="auto"/>
              </w:rPr>
              <w:t>Linkbase Document</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2"/>
                <w:szCs w:val="22"/>
                <w:color w:val="auto"/>
              </w:rPr>
            </w:pPr>
          </w:p>
        </w:tc>
        <w:tc>
          <w:tcPr>
            <w:tcW w:w="3700" w:type="dxa"/>
            <w:vAlign w:val="bottom"/>
            <w:gridSpan w:val="15"/>
          </w:tcPr>
          <w:p>
            <w:pPr>
              <w:spacing w:after="0"/>
              <w:rPr>
                <w:sz w:val="20"/>
                <w:szCs w:val="20"/>
                <w:color w:val="auto"/>
              </w:rPr>
            </w:pPr>
            <w:r>
              <w:rPr>
                <w:rFonts w:ascii="Arial" w:cs="Arial" w:eastAsia="Arial" w:hAnsi="Arial"/>
                <w:sz w:val="18"/>
                <w:szCs w:val="18"/>
                <w:color w:val="auto"/>
              </w:rPr>
              <w:t>XBRL Taxonomy Extension Definition</w:t>
            </w:r>
          </w:p>
        </w:tc>
        <w:tc>
          <w:tcPr>
            <w:tcW w:w="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gridSpan w:val="15"/>
          </w:tcPr>
          <w:p>
            <w:pPr>
              <w:spacing w:after="0"/>
              <w:rPr>
                <w:sz w:val="20"/>
                <w:szCs w:val="20"/>
                <w:color w:val="auto"/>
              </w:rPr>
            </w:pPr>
            <w:r>
              <w:rPr>
                <w:rFonts w:ascii="Arial" w:cs="Arial" w:eastAsia="Arial" w:hAnsi="Arial"/>
                <w:sz w:val="18"/>
                <w:szCs w:val="18"/>
                <w:color w:val="auto"/>
              </w:rPr>
              <w:t>Linkbase Document</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2"/>
                <w:szCs w:val="22"/>
                <w:color w:val="auto"/>
              </w:rPr>
            </w:pPr>
          </w:p>
        </w:tc>
        <w:tc>
          <w:tcPr>
            <w:tcW w:w="3700" w:type="dxa"/>
            <w:vAlign w:val="bottom"/>
            <w:gridSpan w:val="15"/>
          </w:tcPr>
          <w:p>
            <w:pPr>
              <w:spacing w:after="0"/>
              <w:rPr>
                <w:sz w:val="20"/>
                <w:szCs w:val="20"/>
                <w:color w:val="auto"/>
              </w:rPr>
            </w:pPr>
            <w:r>
              <w:rPr>
                <w:rFonts w:ascii="Arial" w:cs="Arial" w:eastAsia="Arial" w:hAnsi="Arial"/>
                <w:sz w:val="18"/>
                <w:szCs w:val="18"/>
                <w:color w:val="auto"/>
              </w:rPr>
              <w:t>XBRL Taxonomy Extension Label Linkbase</w:t>
            </w:r>
          </w:p>
        </w:tc>
        <w:tc>
          <w:tcPr>
            <w:tcW w:w="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2"/>
                <w:szCs w:val="22"/>
                <w:color w:val="auto"/>
              </w:rPr>
            </w:pPr>
          </w:p>
        </w:tc>
        <w:tc>
          <w:tcPr>
            <w:tcW w:w="3700" w:type="dxa"/>
            <w:vAlign w:val="bottom"/>
            <w:gridSpan w:val="15"/>
          </w:tcPr>
          <w:p>
            <w:pPr>
              <w:spacing w:after="0"/>
              <w:rPr>
                <w:sz w:val="20"/>
                <w:szCs w:val="20"/>
                <w:color w:val="auto"/>
              </w:rPr>
            </w:pPr>
            <w:r>
              <w:rPr>
                <w:rFonts w:ascii="Arial" w:cs="Arial" w:eastAsia="Arial" w:hAnsi="Arial"/>
                <w:sz w:val="18"/>
                <w:szCs w:val="18"/>
                <w:color w:val="auto"/>
              </w:rPr>
              <w:t>XBRL Taxonomy Extension Presentation</w:t>
            </w:r>
          </w:p>
        </w:tc>
        <w:tc>
          <w:tcPr>
            <w:tcW w:w="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gridSpan w:val="15"/>
          </w:tcPr>
          <w:p>
            <w:pPr>
              <w:spacing w:after="0"/>
              <w:rPr>
                <w:sz w:val="20"/>
                <w:szCs w:val="20"/>
                <w:color w:val="auto"/>
              </w:rPr>
            </w:pPr>
            <w:r>
              <w:rPr>
                <w:rFonts w:ascii="Arial" w:cs="Arial" w:eastAsia="Arial" w:hAnsi="Arial"/>
                <w:sz w:val="18"/>
                <w:szCs w:val="18"/>
                <w:color w:val="auto"/>
              </w:rPr>
              <w:t>Linkbase Document</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45" w:lineRule="exact"/>
        <w:rPr>
          <w:sz w:val="20"/>
          <w:szCs w:val="20"/>
          <w:color w:val="auto"/>
        </w:rPr>
      </w:pPr>
    </w:p>
    <w:p>
      <w:pPr>
        <w:ind w:left="420" w:right="20" w:hanging="412"/>
        <w:spacing w:after="0" w:line="235" w:lineRule="auto"/>
        <w:tabs>
          <w:tab w:leader="none" w:pos="415" w:val="left"/>
        </w:tabs>
        <w:numPr>
          <w:ilvl w:val="0"/>
          <w:numId w:val="31"/>
        </w:numPr>
        <w:rPr>
          <w:rFonts w:ascii="Arial" w:cs="Arial" w:eastAsia="Arial" w:hAnsi="Arial"/>
          <w:sz w:val="18"/>
          <w:szCs w:val="18"/>
          <w:color w:val="auto"/>
        </w:rPr>
      </w:pPr>
      <w:r>
        <w:rPr>
          <w:rFonts w:ascii="Arial" w:cs="Arial" w:eastAsia="Arial" w:hAnsi="Arial"/>
          <w:sz w:val="14"/>
          <w:szCs w:val="14"/>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7820" w:type="dxa"/>
            <w:vAlign w:val="bottom"/>
            <w:gridSpan w:val="2"/>
          </w:tcPr>
          <w:p>
            <w:pPr>
              <w:ind w:left="2000"/>
              <w:spacing w:after="0"/>
              <w:rPr>
                <w:sz w:val="20"/>
                <w:szCs w:val="20"/>
                <w:color w:val="auto"/>
              </w:rPr>
            </w:pPr>
            <w:r>
              <w:rPr>
                <w:rFonts w:ascii="Arial" w:cs="Arial" w:eastAsia="Arial" w:hAnsi="Arial"/>
                <w:sz w:val="18"/>
                <w:szCs w:val="18"/>
                <w:color w:val="auto"/>
              </w:rPr>
              <w:t>DATADOG, INC.</w:t>
            </w:r>
          </w:p>
        </w:tc>
      </w:tr>
      <w:tr>
        <w:trPr>
          <w:trHeight w:val="499"/>
        </w:trPr>
        <w:tc>
          <w:tcPr>
            <w:tcW w:w="3360" w:type="dxa"/>
            <w:vAlign w:val="bottom"/>
          </w:tcPr>
          <w:p>
            <w:pPr>
              <w:spacing w:after="0"/>
              <w:rPr>
                <w:sz w:val="20"/>
                <w:szCs w:val="20"/>
                <w:color w:val="auto"/>
              </w:rPr>
            </w:pPr>
            <w:r>
              <w:rPr>
                <w:rFonts w:ascii="Arial" w:cs="Arial" w:eastAsia="Arial" w:hAnsi="Arial"/>
                <w:sz w:val="18"/>
                <w:szCs w:val="18"/>
                <w:color w:val="auto"/>
              </w:rPr>
              <w:t>Date: May 7, 2021</w:t>
            </w:r>
          </w:p>
        </w:tc>
        <w:tc>
          <w:tcPr>
            <w:tcW w:w="2980" w:type="dxa"/>
            <w:vAlign w:val="bottom"/>
          </w:tcPr>
          <w:p>
            <w:pPr>
              <w:ind w:left="200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Olivier Pomel</w:t>
            </w:r>
          </w:p>
        </w:tc>
      </w:tr>
      <w:tr>
        <w:trPr>
          <w:trHeight w:val="222"/>
        </w:trPr>
        <w:tc>
          <w:tcPr>
            <w:tcW w:w="3360" w:type="dxa"/>
            <w:vAlign w:val="bottom"/>
          </w:tcPr>
          <w:p>
            <w:pPr>
              <w:spacing w:after="0"/>
              <w:rPr>
                <w:sz w:val="19"/>
                <w:szCs w:val="19"/>
                <w:color w:val="auto"/>
              </w:rPr>
            </w:pPr>
          </w:p>
        </w:tc>
        <w:tc>
          <w:tcPr>
            <w:tcW w:w="2980" w:type="dxa"/>
            <w:vAlign w:val="bottom"/>
          </w:tcPr>
          <w:p>
            <w:pPr>
              <w:ind w:left="2000"/>
              <w:spacing w:after="0"/>
              <w:rPr>
                <w:sz w:val="20"/>
                <w:szCs w:val="20"/>
                <w:color w:val="auto"/>
              </w:rPr>
            </w:pPr>
            <w:r>
              <w:rPr>
                <w:rFonts w:ascii="Arial" w:cs="Arial" w:eastAsia="Arial" w:hAnsi="Arial"/>
                <w:sz w:val="18"/>
                <w:szCs w:val="18"/>
                <w:color w:val="auto"/>
              </w:rPr>
              <w:t>Name:</w:t>
            </w:r>
          </w:p>
        </w:tc>
        <w:tc>
          <w:tcPr>
            <w:tcW w:w="4840" w:type="dxa"/>
            <w:vAlign w:val="bottom"/>
          </w:tcPr>
          <w:p>
            <w:pPr>
              <w:ind w:left="20"/>
              <w:spacing w:after="0"/>
              <w:rPr>
                <w:sz w:val="20"/>
                <w:szCs w:val="20"/>
                <w:color w:val="auto"/>
              </w:rPr>
            </w:pPr>
            <w:r>
              <w:rPr>
                <w:rFonts w:ascii="Arial" w:cs="Arial" w:eastAsia="Arial" w:hAnsi="Arial"/>
                <w:sz w:val="18"/>
                <w:szCs w:val="18"/>
                <w:color w:val="auto"/>
              </w:rPr>
              <w:t>Olivier Pomel</w:t>
            </w:r>
          </w:p>
        </w:tc>
      </w:tr>
      <w:tr>
        <w:trPr>
          <w:trHeight w:val="176"/>
        </w:trPr>
        <w:tc>
          <w:tcPr>
            <w:tcW w:w="3360" w:type="dxa"/>
            <w:vAlign w:val="bottom"/>
          </w:tcPr>
          <w:p>
            <w:pPr>
              <w:spacing w:after="0"/>
              <w:rPr>
                <w:sz w:val="15"/>
                <w:szCs w:val="15"/>
                <w:color w:val="auto"/>
              </w:rPr>
            </w:pPr>
          </w:p>
        </w:tc>
        <w:tc>
          <w:tcPr>
            <w:tcW w:w="2980" w:type="dxa"/>
            <w:vAlign w:val="bottom"/>
          </w:tcPr>
          <w:p>
            <w:pPr>
              <w:ind w:left="2000"/>
              <w:spacing w:after="0" w:line="176" w:lineRule="exact"/>
              <w:rPr>
                <w:sz w:val="20"/>
                <w:szCs w:val="20"/>
                <w:color w:val="auto"/>
              </w:rPr>
            </w:pPr>
            <w:r>
              <w:rPr>
                <w:rFonts w:ascii="Arial" w:cs="Arial" w:eastAsia="Arial" w:hAnsi="Arial"/>
                <w:sz w:val="18"/>
                <w:szCs w:val="18"/>
                <w:color w:val="auto"/>
              </w:rPr>
              <w:t>Title:</w:t>
            </w:r>
          </w:p>
        </w:tc>
        <w:tc>
          <w:tcPr>
            <w:tcW w:w="484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 and Director</w:t>
            </w:r>
          </w:p>
        </w:tc>
      </w:tr>
      <w:tr>
        <w:trPr>
          <w:trHeight w:val="230"/>
        </w:trPr>
        <w:tc>
          <w:tcPr>
            <w:tcW w:w="33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85"/>
        </w:trPr>
        <w:tc>
          <w:tcPr>
            <w:tcW w:w="3360" w:type="dxa"/>
            <w:vAlign w:val="bottom"/>
          </w:tcPr>
          <w:p>
            <w:pPr>
              <w:spacing w:after="0"/>
              <w:rPr>
                <w:sz w:val="20"/>
                <w:szCs w:val="20"/>
                <w:color w:val="auto"/>
              </w:rPr>
            </w:pPr>
            <w:r>
              <w:rPr>
                <w:rFonts w:ascii="Arial" w:cs="Arial" w:eastAsia="Arial" w:hAnsi="Arial"/>
                <w:sz w:val="18"/>
                <w:szCs w:val="18"/>
                <w:color w:val="auto"/>
              </w:rPr>
              <w:t>Date: May 7, 2021</w:t>
            </w:r>
          </w:p>
        </w:tc>
        <w:tc>
          <w:tcPr>
            <w:tcW w:w="2980" w:type="dxa"/>
            <w:vAlign w:val="bottom"/>
          </w:tcPr>
          <w:p>
            <w:pPr>
              <w:ind w:left="200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Obstler</w:t>
            </w:r>
          </w:p>
        </w:tc>
      </w:tr>
      <w:tr>
        <w:trPr>
          <w:trHeight w:val="222"/>
        </w:trPr>
        <w:tc>
          <w:tcPr>
            <w:tcW w:w="3360" w:type="dxa"/>
            <w:vAlign w:val="bottom"/>
          </w:tcPr>
          <w:p>
            <w:pPr>
              <w:spacing w:after="0"/>
              <w:rPr>
                <w:sz w:val="19"/>
                <w:szCs w:val="19"/>
                <w:color w:val="auto"/>
              </w:rPr>
            </w:pPr>
          </w:p>
        </w:tc>
        <w:tc>
          <w:tcPr>
            <w:tcW w:w="2980" w:type="dxa"/>
            <w:vAlign w:val="bottom"/>
          </w:tcPr>
          <w:p>
            <w:pPr>
              <w:ind w:left="2000"/>
              <w:spacing w:after="0"/>
              <w:rPr>
                <w:sz w:val="20"/>
                <w:szCs w:val="20"/>
                <w:color w:val="auto"/>
              </w:rPr>
            </w:pPr>
            <w:r>
              <w:rPr>
                <w:rFonts w:ascii="Arial" w:cs="Arial" w:eastAsia="Arial" w:hAnsi="Arial"/>
                <w:sz w:val="18"/>
                <w:szCs w:val="18"/>
                <w:color w:val="auto"/>
              </w:rPr>
              <w:t>Name:</w:t>
            </w:r>
          </w:p>
        </w:tc>
        <w:tc>
          <w:tcPr>
            <w:tcW w:w="4840" w:type="dxa"/>
            <w:vAlign w:val="bottom"/>
          </w:tcPr>
          <w:p>
            <w:pPr>
              <w:ind w:left="20"/>
              <w:spacing w:after="0"/>
              <w:rPr>
                <w:sz w:val="20"/>
                <w:szCs w:val="20"/>
                <w:color w:val="auto"/>
              </w:rPr>
            </w:pPr>
            <w:r>
              <w:rPr>
                <w:rFonts w:ascii="Arial" w:cs="Arial" w:eastAsia="Arial" w:hAnsi="Arial"/>
                <w:sz w:val="18"/>
                <w:szCs w:val="18"/>
                <w:color w:val="auto"/>
              </w:rPr>
              <w:t>David Obstler</w:t>
            </w:r>
          </w:p>
        </w:tc>
      </w:tr>
      <w:tr>
        <w:trPr>
          <w:trHeight w:val="176"/>
        </w:trPr>
        <w:tc>
          <w:tcPr>
            <w:tcW w:w="3360" w:type="dxa"/>
            <w:vAlign w:val="bottom"/>
          </w:tcPr>
          <w:p>
            <w:pPr>
              <w:spacing w:after="0"/>
              <w:rPr>
                <w:sz w:val="15"/>
                <w:szCs w:val="15"/>
                <w:color w:val="auto"/>
              </w:rPr>
            </w:pPr>
          </w:p>
        </w:tc>
        <w:tc>
          <w:tcPr>
            <w:tcW w:w="2980" w:type="dxa"/>
            <w:vAlign w:val="bottom"/>
          </w:tcPr>
          <w:p>
            <w:pPr>
              <w:ind w:left="2000"/>
              <w:spacing w:after="0" w:line="176" w:lineRule="exact"/>
              <w:rPr>
                <w:sz w:val="20"/>
                <w:szCs w:val="20"/>
                <w:color w:val="auto"/>
              </w:rPr>
            </w:pPr>
            <w:r>
              <w:rPr>
                <w:rFonts w:ascii="Arial" w:cs="Arial" w:eastAsia="Arial" w:hAnsi="Arial"/>
                <w:sz w:val="18"/>
                <w:szCs w:val="18"/>
                <w:color w:val="auto"/>
              </w:rPr>
              <w:t>Title:</w:t>
            </w:r>
          </w:p>
        </w:tc>
        <w:tc>
          <w:tcPr>
            <w:tcW w:w="484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33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89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Datadog, Inc.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May 20, 2011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Alexis Le-Quoc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[home address]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Dear Alexis: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Datadog, Inc. (the “Company”) is pleased to offer you employment on the following terms:</w:t>
      </w:r>
    </w:p>
    <w:p>
      <w:pPr>
        <w:spacing w:after="0" w:line="214" w:lineRule="exact"/>
        <w:rPr>
          <w:sz w:val="20"/>
          <w:szCs w:val="20"/>
          <w:color w:val="auto"/>
        </w:rPr>
      </w:pPr>
    </w:p>
    <w:p>
      <w:pPr>
        <w:jc w:val="both"/>
        <w:ind w:firstLine="656"/>
        <w:spacing w:after="0" w:line="264" w:lineRule="auto"/>
        <w:tabs>
          <w:tab w:leader="none" w:pos="1296" w:val="left"/>
        </w:tabs>
        <w:numPr>
          <w:ilvl w:val="0"/>
          <w:numId w:val="32"/>
        </w:numPr>
        <w:rPr>
          <w:rFonts w:ascii="Arial" w:cs="Arial" w:eastAsia="Arial" w:hAnsi="Arial"/>
          <w:sz w:val="21"/>
          <w:szCs w:val="21"/>
          <w:color w:val="auto"/>
        </w:rPr>
      </w:pPr>
      <w:r>
        <w:rPr>
          <w:rFonts w:ascii="Arial" w:cs="Arial" w:eastAsia="Arial" w:hAnsi="Arial"/>
          <w:sz w:val="21"/>
          <w:szCs w:val="21"/>
          <w:b w:val="1"/>
          <w:bCs w:val="1"/>
          <w:color w:val="auto"/>
        </w:rPr>
        <w:t>Position</w:t>
      </w:r>
      <w:r>
        <w:rPr>
          <w:rFonts w:ascii="Arial" w:cs="Arial" w:eastAsia="Arial" w:hAnsi="Arial"/>
          <w:sz w:val="21"/>
          <w:szCs w:val="21"/>
          <w:color w:val="auto"/>
        </w:rPr>
        <w:t>. Your initial title will be Chief Product Officer, and you will initially report to the Company’s Chief</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Officer. This is a full-time position. While you render services to the Company, you will not engage in any 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70" w:lineRule="exact"/>
        <w:rPr>
          <w:rFonts w:ascii="Arial" w:cs="Arial" w:eastAsia="Arial" w:hAnsi="Arial"/>
          <w:sz w:val="21"/>
          <w:szCs w:val="21"/>
          <w:color w:val="auto"/>
        </w:rPr>
      </w:pPr>
    </w:p>
    <w:p>
      <w:pPr>
        <w:jc w:val="both"/>
        <w:ind w:firstLine="656"/>
        <w:spacing w:after="0" w:line="256" w:lineRule="auto"/>
        <w:tabs>
          <w:tab w:leader="none" w:pos="1296"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Cash Compensation</w:t>
      </w:r>
      <w:r>
        <w:rPr>
          <w:rFonts w:ascii="Arial" w:cs="Arial" w:eastAsia="Arial" w:hAnsi="Arial"/>
          <w:sz w:val="22"/>
          <w:szCs w:val="22"/>
          <w:color w:val="auto"/>
        </w:rPr>
        <w:t>. The Company will pay you a starting salary at the rate of $90,000 per year, payable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Company’s standard payroll schedule. This salary will be subject to adjustment pursuant to the Company’s employee compensation policies in effect from time to time.</w:t>
      </w:r>
    </w:p>
    <w:p>
      <w:pPr>
        <w:spacing w:after="0" w:line="176" w:lineRule="exact"/>
        <w:rPr>
          <w:rFonts w:ascii="Arial" w:cs="Arial" w:eastAsia="Arial" w:hAnsi="Arial"/>
          <w:sz w:val="22"/>
          <w:szCs w:val="22"/>
          <w:color w:val="auto"/>
        </w:rPr>
      </w:pPr>
    </w:p>
    <w:p>
      <w:pPr>
        <w:jc w:val="both"/>
        <w:ind w:firstLine="656"/>
        <w:spacing w:after="0" w:line="256" w:lineRule="auto"/>
        <w:tabs>
          <w:tab w:leader="none" w:pos="1296"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Employee Benefits</w:t>
      </w:r>
      <w:r>
        <w:rPr>
          <w:rFonts w:ascii="Arial" w:cs="Arial" w:eastAsia="Arial" w:hAnsi="Arial"/>
          <w:sz w:val="22"/>
          <w:szCs w:val="22"/>
          <w:color w:val="auto"/>
        </w:rPr>
        <w:t>. As a regular employee of the Company, you will be eligible to participate in a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Company-sponsored benefits. In addition, you will be entitled to paid vacation in accordance with the Company’s vacation policy, as in effect from time to time.</w:t>
      </w:r>
    </w:p>
    <w:p>
      <w:pPr>
        <w:spacing w:after="0" w:line="176" w:lineRule="exact"/>
        <w:rPr>
          <w:rFonts w:ascii="Arial" w:cs="Arial" w:eastAsia="Arial" w:hAnsi="Arial"/>
          <w:sz w:val="22"/>
          <w:szCs w:val="22"/>
          <w:color w:val="auto"/>
        </w:rPr>
      </w:pPr>
    </w:p>
    <w:p>
      <w:pPr>
        <w:jc w:val="both"/>
        <w:ind w:firstLine="656"/>
        <w:spacing w:after="0" w:line="256" w:lineRule="auto"/>
        <w:tabs>
          <w:tab w:leader="none" w:pos="1296"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Proprietary Information and Inventions Agreement</w:t>
      </w:r>
      <w:r>
        <w:rPr>
          <w:rFonts w:ascii="Arial" w:cs="Arial" w:eastAsia="Arial" w:hAnsi="Arial"/>
          <w:sz w:val="22"/>
          <w:szCs w:val="22"/>
          <w:color w:val="auto"/>
        </w:rPr>
        <w:t>. Like all Company employees, you will be required, as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condition of your employment with the Company, to sign the Company’s standard Proprietary Information and Inventions Agreement, a copy of which is attached hereto as </w:t>
      </w:r>
      <w:r>
        <w:rPr>
          <w:rFonts w:ascii="Arial" w:cs="Arial" w:eastAsia="Arial" w:hAnsi="Arial"/>
          <w:sz w:val="22"/>
          <w:szCs w:val="22"/>
          <w:b w:val="1"/>
          <w:bCs w:val="1"/>
          <w:color w:val="auto"/>
        </w:rPr>
        <w:t>Exhibit A</w:t>
      </w:r>
      <w:r>
        <w:rPr>
          <w:rFonts w:ascii="Arial" w:cs="Arial" w:eastAsia="Arial" w:hAnsi="Arial"/>
          <w:sz w:val="22"/>
          <w:szCs w:val="22"/>
          <w:color w:val="auto"/>
        </w:rPr>
        <w:t>.</w:t>
      </w:r>
    </w:p>
    <w:p>
      <w:pPr>
        <w:spacing w:after="0" w:line="176" w:lineRule="exact"/>
        <w:rPr>
          <w:rFonts w:ascii="Arial" w:cs="Arial" w:eastAsia="Arial" w:hAnsi="Arial"/>
          <w:sz w:val="22"/>
          <w:szCs w:val="22"/>
          <w:color w:val="auto"/>
        </w:rPr>
      </w:pPr>
    </w:p>
    <w:p>
      <w:pPr>
        <w:jc w:val="both"/>
        <w:ind w:firstLine="656"/>
        <w:spacing w:after="0" w:line="262" w:lineRule="auto"/>
        <w:tabs>
          <w:tab w:leader="none" w:pos="1296" w:val="left"/>
        </w:tabs>
        <w:numPr>
          <w:ilvl w:val="0"/>
          <w:numId w:val="32"/>
        </w:numPr>
        <w:rPr>
          <w:rFonts w:ascii="Arial" w:cs="Arial" w:eastAsia="Arial" w:hAnsi="Arial"/>
          <w:sz w:val="21"/>
          <w:szCs w:val="21"/>
          <w:color w:val="auto"/>
        </w:rPr>
      </w:pPr>
      <w:r>
        <w:rPr>
          <w:rFonts w:ascii="Arial" w:cs="Arial" w:eastAsia="Arial" w:hAnsi="Arial"/>
          <w:sz w:val="21"/>
          <w:szCs w:val="21"/>
          <w:b w:val="1"/>
          <w:bCs w:val="1"/>
          <w:color w:val="auto"/>
        </w:rPr>
        <w:t>Employment Relationship</w:t>
      </w:r>
      <w:r>
        <w:rPr>
          <w:rFonts w:ascii="Arial" w:cs="Arial" w:eastAsia="Arial" w:hAnsi="Arial"/>
          <w:sz w:val="21"/>
          <w:szCs w:val="21"/>
          <w:color w:val="auto"/>
        </w:rPr>
        <w:t>. Employment with the Company is for no specific period of time. Your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w:t>
      </w:r>
    </w:p>
    <w:p>
      <w:pPr>
        <w:sectPr>
          <w:pgSz w:w="11900" w:h="16838" w:orient="portrait"/>
          <w:cols w:equalWidth="0" w:num="1">
            <w:col w:w="11240"/>
          </w:cols>
          <w:pgMar w:left="320" w:top="121" w:right="339" w:bottom="1440" w:gutter="0" w:footer="0" w:header="0"/>
        </w:sectPr>
      </w:pPr>
    </w:p>
    <w:bookmarkStart w:id="66" w:name="page67"/>
    <w:bookmarkEnd w:id="66"/>
    <w:p>
      <w:pPr>
        <w:spacing w:after="0" w:line="263" w:lineRule="auto"/>
        <w:rPr>
          <w:sz w:val="20"/>
          <w:szCs w:val="20"/>
          <w:color w:val="auto"/>
        </w:rPr>
      </w:pPr>
      <w:r>
        <w:rPr>
          <w:rFonts w:ascii="Arial" w:cs="Arial" w:eastAsia="Arial" w:hAnsi="Arial"/>
          <w:sz w:val="22"/>
          <w:szCs w:val="22"/>
          <w:color w:val="auto"/>
        </w:rPr>
        <w:t>may only be changed in an express written agreement signed by you and a duly authorized officer of the Company (other than you).</w:t>
      </w:r>
    </w:p>
    <w:p>
      <w:pPr>
        <w:spacing w:after="0" w:line="169"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Tax Matters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1304"/>
        <w:spacing w:after="0" w:line="269" w:lineRule="auto"/>
        <w:tabs>
          <w:tab w:leader="none" w:pos="1941" w:val="left"/>
        </w:tabs>
        <w:numPr>
          <w:ilvl w:val="1"/>
          <w:numId w:val="33"/>
        </w:numPr>
        <w:rPr>
          <w:rFonts w:ascii="Arial" w:cs="Arial" w:eastAsia="Arial" w:hAnsi="Arial"/>
          <w:sz w:val="22"/>
          <w:szCs w:val="22"/>
          <w:color w:val="auto"/>
        </w:rPr>
      </w:pPr>
      <w:r>
        <w:rPr>
          <w:rFonts w:ascii="Arial" w:cs="Arial" w:eastAsia="Arial" w:hAnsi="Arial"/>
          <w:sz w:val="22"/>
          <w:szCs w:val="22"/>
          <w:b w:val="1"/>
          <w:bCs w:val="1"/>
          <w:color w:val="auto"/>
        </w:rPr>
        <w:t>Withholding</w:t>
      </w:r>
      <w:r>
        <w:rPr>
          <w:rFonts w:ascii="Arial" w:cs="Arial" w:eastAsia="Arial" w:hAnsi="Arial"/>
          <w:sz w:val="22"/>
          <w:szCs w:val="22"/>
          <w:color w:val="auto"/>
        </w:rPr>
        <w:t>. All forms of compensation referred to in this letter agreement are subject to reduction to</w:t>
      </w:r>
      <w:r>
        <w:rPr>
          <w:rFonts w:ascii="Arial" w:cs="Arial" w:eastAsia="Arial" w:hAnsi="Arial"/>
          <w:sz w:val="22"/>
          <w:szCs w:val="22"/>
          <w:b w:val="1"/>
          <w:bCs w:val="1"/>
          <w:color w:val="auto"/>
        </w:rPr>
        <w:t xml:space="preserve"> </w:t>
      </w:r>
      <w:r>
        <w:rPr>
          <w:rFonts w:ascii="Arial" w:cs="Arial" w:eastAsia="Arial" w:hAnsi="Arial"/>
          <w:sz w:val="22"/>
          <w:szCs w:val="22"/>
          <w:color w:val="auto"/>
        </w:rPr>
        <w:t>reflect applicable withholding and payroll taxes and other deductions required by law.</w:t>
      </w:r>
    </w:p>
    <w:p>
      <w:pPr>
        <w:spacing w:after="0" w:line="161" w:lineRule="exact"/>
        <w:rPr>
          <w:rFonts w:ascii="Arial" w:cs="Arial" w:eastAsia="Arial" w:hAnsi="Arial"/>
          <w:sz w:val="22"/>
          <w:szCs w:val="22"/>
          <w:color w:val="auto"/>
        </w:rPr>
      </w:pPr>
    </w:p>
    <w:p>
      <w:pPr>
        <w:jc w:val="both"/>
        <w:ind w:firstLine="1304"/>
        <w:spacing w:after="0" w:line="252" w:lineRule="auto"/>
        <w:tabs>
          <w:tab w:leader="none" w:pos="1939" w:val="left"/>
        </w:tabs>
        <w:numPr>
          <w:ilvl w:val="1"/>
          <w:numId w:val="33"/>
        </w:numPr>
        <w:rPr>
          <w:rFonts w:ascii="Arial" w:cs="Arial" w:eastAsia="Arial" w:hAnsi="Arial"/>
          <w:sz w:val="22"/>
          <w:szCs w:val="22"/>
          <w:color w:val="auto"/>
        </w:rPr>
      </w:pPr>
      <w:r>
        <w:rPr>
          <w:rFonts w:ascii="Arial" w:cs="Arial" w:eastAsia="Arial" w:hAnsi="Arial"/>
          <w:sz w:val="22"/>
          <w:szCs w:val="22"/>
          <w:b w:val="1"/>
          <w:bCs w:val="1"/>
          <w:color w:val="auto"/>
        </w:rPr>
        <w:t>Tax Advice</w:t>
      </w:r>
      <w:r>
        <w:rPr>
          <w:rFonts w:ascii="Arial" w:cs="Arial" w:eastAsia="Arial" w:hAnsi="Arial"/>
          <w:sz w:val="22"/>
          <w:szCs w:val="22"/>
          <w:color w:val="auto"/>
        </w:rPr>
        <w:t>. You are encouraged to obtain your own tax advice regarding your compensation from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79" w:lineRule="exact"/>
        <w:rPr>
          <w:rFonts w:ascii="Arial" w:cs="Arial" w:eastAsia="Arial" w:hAnsi="Arial"/>
          <w:sz w:val="22"/>
          <w:szCs w:val="22"/>
          <w:color w:val="auto"/>
        </w:rPr>
      </w:pPr>
    </w:p>
    <w:p>
      <w:pPr>
        <w:jc w:val="both"/>
        <w:ind w:firstLine="656"/>
        <w:spacing w:after="0" w:line="259" w:lineRule="auto"/>
        <w:tabs>
          <w:tab w:leader="none" w:pos="1296" w:val="left"/>
        </w:tabs>
        <w:numPr>
          <w:ilvl w:val="0"/>
          <w:numId w:val="33"/>
        </w:numPr>
        <w:rPr>
          <w:rFonts w:ascii="Arial" w:cs="Arial" w:eastAsia="Arial" w:hAnsi="Arial"/>
          <w:sz w:val="21"/>
          <w:szCs w:val="21"/>
          <w:color w:val="auto"/>
        </w:rPr>
      </w:pPr>
      <w:r>
        <w:rPr>
          <w:rFonts w:ascii="Arial" w:cs="Arial" w:eastAsia="Arial" w:hAnsi="Arial"/>
          <w:sz w:val="21"/>
          <w:szCs w:val="21"/>
          <w:b w:val="1"/>
          <w:bCs w:val="1"/>
          <w:color w:val="auto"/>
        </w:rPr>
        <w:t>Interpretation, Amendment and Enforcement</w:t>
      </w:r>
      <w:r>
        <w:rPr>
          <w:rFonts w:ascii="Arial" w:cs="Arial" w:eastAsia="Arial" w:hAnsi="Arial"/>
          <w:sz w:val="21"/>
          <w:szCs w:val="21"/>
          <w:color w:val="auto"/>
        </w:rPr>
        <w:t>. This letter agreement and Exhibit A constitute the complete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between you and the Company, contain 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New York law, excluding laws relating to conflicts or choice of law. You and the Company submit to the exclusive personal jurisdiction of the federal and state courts located in New York in connection with any Dispute or any claim related to any Dispute.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 * * *</w:t>
      </w:r>
    </w:p>
    <w:p>
      <w:pPr>
        <w:spacing w:after="0" w:line="226"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This offer, if not accepted, will expire at the close of business on June 19, 2011. As required by law, your employment with the Company is contingent upon your providing legal proof of your identity and authorization to work in the United States. Your employment is also contingent upon your starting work with the Company on or before June 1, 2011.</w:t>
      </w:r>
    </w:p>
    <w:p>
      <w:pPr>
        <w:sectPr>
          <w:pgSz w:w="11900" w:h="16838" w:orient="portrait"/>
          <w:cols w:equalWidth="0" w:num="1">
            <w:col w:w="11240"/>
          </w:cols>
          <w:pgMar w:left="320" w:top="1428" w:right="339" w:bottom="1440" w:gutter="0" w:footer="0" w:header="0"/>
        </w:sectPr>
      </w:pPr>
    </w:p>
    <w:bookmarkStart w:id="67" w:name="page68"/>
    <w:bookmarkEnd w:id="67"/>
    <w:p>
      <w:pPr>
        <w:ind w:left="4220"/>
        <w:spacing w:after="0"/>
        <w:rPr>
          <w:sz w:val="20"/>
          <w:szCs w:val="20"/>
          <w:color w:val="auto"/>
        </w:rPr>
      </w:pPr>
      <w:r>
        <w:rPr>
          <w:rFonts w:ascii="Arial" w:cs="Arial" w:eastAsia="Arial" w:hAnsi="Arial"/>
          <w:sz w:val="22"/>
          <w:szCs w:val="22"/>
          <w:color w:val="auto"/>
        </w:rPr>
        <w:t>Very truly yours,</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Datadog,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-17780</wp:posOffset>
            </wp:positionV>
            <wp:extent cx="11430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00" w:lineRule="exact"/>
        <w:rPr>
          <w:sz w:val="20"/>
          <w:szCs w:val="20"/>
          <w:color w:val="auto"/>
        </w:rPr>
      </w:pPr>
    </w:p>
    <w:p>
      <w:pPr>
        <w:ind w:left="4220"/>
        <w:spacing w:after="0"/>
        <w:rPr>
          <w:sz w:val="20"/>
          <w:szCs w:val="20"/>
          <w:color w:val="auto"/>
        </w:rPr>
      </w:pPr>
      <w:r>
        <w:rPr>
          <w:rFonts w:ascii="Arial" w:cs="Arial" w:eastAsia="Arial" w:hAnsi="Arial"/>
          <w:sz w:val="19"/>
          <w:szCs w:val="19"/>
          <w:color w:val="auto"/>
        </w:rPr>
        <w:t>Name and Title: Olivier Pomel,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3175</wp:posOffset>
            </wp:positionV>
            <wp:extent cx="12534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I have read and accept this employment offer: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20"/>
        <w:spacing w:after="0"/>
        <w:rPr>
          <w:sz w:val="20"/>
          <w:szCs w:val="20"/>
          <w:color w:val="auto"/>
        </w:rPr>
      </w:pPr>
      <w:r>
        <w:rPr>
          <w:rFonts w:ascii="Arial" w:cs="Arial" w:eastAsia="Arial" w:hAnsi="Arial"/>
          <w:sz w:val="22"/>
          <w:szCs w:val="22"/>
          <w:i w:val="1"/>
          <w:iCs w:val="1"/>
          <w:color w:val="auto"/>
        </w:rPr>
        <w:t>/s/ Alexis Le-Quoc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2877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1287780" cy="889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color w:val="auto"/>
        </w:rPr>
        <w:t>Signature of Employee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Printed Name: Alexis Le-Quoc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-17780</wp:posOffset>
            </wp:positionV>
            <wp:extent cx="10166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1016635" cy="8255"/>
                    </a:xfrm>
                    <a:prstGeom prst="rect">
                      <a:avLst/>
                    </a:prstGeom>
                    <a:noFill/>
                  </pic:spPr>
                </pic:pic>
              </a:graphicData>
            </a:graphic>
          </wp:anchor>
        </w:drawing>
      </w:r>
    </w:p>
    <w:p>
      <w:pPr>
        <w:spacing w:after="0" w:line="200"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Dated:</w:t>
        <w:tab/>
        <w:t>5.20.2011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8178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ectPr>
          <w:pgSz w:w="11900" w:h="16838" w:orient="portrait"/>
          <w:cols w:equalWidth="0" w:num="1">
            <w:col w:w="10139"/>
          </w:cols>
          <w:pgMar w:left="320" w:top="1428" w:right="1440"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10.2</w:t>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http://www.datadoghq.com</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1140 Broadway, Suite 501</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New York, NY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934085" cy="9772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93408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0140"/>
        <w:spacing w:after="0"/>
        <w:rPr>
          <w:sz w:val="20"/>
          <w:szCs w:val="20"/>
          <w:color w:val="auto"/>
        </w:rPr>
      </w:pPr>
      <w:r>
        <w:rPr>
          <w:rFonts w:ascii="Arial" w:cs="Arial" w:eastAsia="Arial" w:hAnsi="Arial"/>
          <w:sz w:val="19"/>
          <w:szCs w:val="19"/>
          <w:color w:val="auto"/>
        </w:rPr>
        <w:t>May 4, 2012</w:t>
      </w:r>
    </w:p>
    <w:p>
      <w:pPr>
        <w:spacing w:after="0" w:line="56" w:lineRule="exact"/>
        <w:rPr>
          <w:sz w:val="20"/>
          <w:szCs w:val="20"/>
          <w:color w:val="auto"/>
        </w:rPr>
      </w:pPr>
    </w:p>
    <w:p>
      <w:pPr>
        <w:jc w:val="right"/>
        <w:ind w:right="9500"/>
        <w:spacing w:after="0"/>
        <w:rPr>
          <w:sz w:val="20"/>
          <w:szCs w:val="20"/>
          <w:color w:val="auto"/>
        </w:rPr>
      </w:pPr>
      <w:r>
        <w:rPr>
          <w:rFonts w:ascii="Arial" w:cs="Arial" w:eastAsia="Arial" w:hAnsi="Arial"/>
          <w:sz w:val="21"/>
          <w:szCs w:val="21"/>
          <w:color w:val="auto"/>
        </w:rPr>
        <w:t>Attn: Amit Agarwal</w:t>
      </w:r>
    </w:p>
    <w:p>
      <w:pPr>
        <w:spacing w:after="0" w:line="15" w:lineRule="exact"/>
        <w:rPr>
          <w:sz w:val="20"/>
          <w:szCs w:val="20"/>
          <w:color w:val="auto"/>
        </w:rPr>
      </w:pPr>
    </w:p>
    <w:p>
      <w:pPr>
        <w:jc w:val="right"/>
        <w:ind w:right="9420"/>
        <w:spacing w:after="0"/>
        <w:rPr>
          <w:sz w:val="20"/>
          <w:szCs w:val="20"/>
          <w:color w:val="auto"/>
        </w:rPr>
      </w:pPr>
      <w:r>
        <w:rPr>
          <w:rFonts w:ascii="Arial" w:cs="Arial" w:eastAsia="Arial" w:hAnsi="Arial"/>
          <w:sz w:val="22"/>
          <w:szCs w:val="22"/>
          <w:color w:val="auto"/>
        </w:rPr>
        <w:t>[home address]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Dear Amit: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Datadog, Inc. (the “Company”) is pleased to offer you employment on the following terms:</w:t>
      </w:r>
    </w:p>
    <w:p>
      <w:pPr>
        <w:spacing w:after="0" w:line="214" w:lineRule="exact"/>
        <w:rPr>
          <w:sz w:val="20"/>
          <w:szCs w:val="20"/>
          <w:color w:val="auto"/>
        </w:rPr>
      </w:pPr>
    </w:p>
    <w:p>
      <w:pPr>
        <w:jc w:val="both"/>
        <w:ind w:firstLine="656"/>
        <w:spacing w:after="0" w:line="264" w:lineRule="auto"/>
        <w:tabs>
          <w:tab w:leader="none" w:pos="1296" w:val="left"/>
        </w:tabs>
        <w:numPr>
          <w:ilvl w:val="0"/>
          <w:numId w:val="34"/>
        </w:numPr>
        <w:rPr>
          <w:rFonts w:ascii="Arial" w:cs="Arial" w:eastAsia="Arial" w:hAnsi="Arial"/>
          <w:sz w:val="21"/>
          <w:szCs w:val="21"/>
          <w:color w:val="auto"/>
        </w:rPr>
      </w:pPr>
      <w:r>
        <w:rPr>
          <w:rFonts w:ascii="Arial" w:cs="Arial" w:eastAsia="Arial" w:hAnsi="Arial"/>
          <w:sz w:val="21"/>
          <w:szCs w:val="21"/>
          <w:b w:val="1"/>
          <w:bCs w:val="1"/>
          <w:color w:val="auto"/>
        </w:rPr>
        <w:t>Position</w:t>
      </w:r>
      <w:r>
        <w:rPr>
          <w:rFonts w:ascii="Arial" w:cs="Arial" w:eastAsia="Arial" w:hAnsi="Arial"/>
          <w:sz w:val="21"/>
          <w:szCs w:val="21"/>
          <w:color w:val="auto"/>
        </w:rPr>
        <w:t>. Your initial title will be Vice President of Product, and you will initially report to the Company’s CEO.</w:t>
      </w:r>
      <w:r>
        <w:rPr>
          <w:rFonts w:ascii="Arial" w:cs="Arial" w:eastAsia="Arial" w:hAnsi="Arial"/>
          <w:sz w:val="21"/>
          <w:szCs w:val="21"/>
          <w:b w:val="1"/>
          <w:bCs w:val="1"/>
          <w:color w:val="auto"/>
        </w:rPr>
        <w:t xml:space="preserve"> </w:t>
      </w:r>
      <w:r>
        <w:rPr>
          <w:rFonts w:ascii="Arial" w:cs="Arial" w:eastAsia="Arial" w:hAnsi="Arial"/>
          <w:sz w:val="21"/>
          <w:szCs w:val="21"/>
          <w:color w:val="auto"/>
        </w:rPr>
        <w:t>This is a full-time position. While you render services to the Company, you will not engage in any 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70" w:lineRule="exact"/>
        <w:rPr>
          <w:rFonts w:ascii="Arial" w:cs="Arial" w:eastAsia="Arial" w:hAnsi="Arial"/>
          <w:sz w:val="21"/>
          <w:szCs w:val="21"/>
          <w:color w:val="auto"/>
        </w:rPr>
      </w:pPr>
    </w:p>
    <w:p>
      <w:pPr>
        <w:jc w:val="both"/>
        <w:ind w:firstLine="656"/>
        <w:spacing w:after="0" w:line="256" w:lineRule="auto"/>
        <w:tabs>
          <w:tab w:leader="none" w:pos="1296"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Cash Compensation</w:t>
      </w:r>
      <w:r>
        <w:rPr>
          <w:rFonts w:ascii="Arial" w:cs="Arial" w:eastAsia="Arial" w:hAnsi="Arial"/>
          <w:sz w:val="22"/>
          <w:szCs w:val="22"/>
          <w:color w:val="auto"/>
        </w:rPr>
        <w:t>. The Company will pay you a starting salary at the rate of $110,000 per year, payable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Company’s standard payroll schedule. This salary will be subject to adjustment pursuant to the Company’s employee compensation policies in effect from time to time.</w:t>
      </w:r>
    </w:p>
    <w:p>
      <w:pPr>
        <w:spacing w:after="0" w:line="176" w:lineRule="exact"/>
        <w:rPr>
          <w:rFonts w:ascii="Arial" w:cs="Arial" w:eastAsia="Arial" w:hAnsi="Arial"/>
          <w:sz w:val="22"/>
          <w:szCs w:val="22"/>
          <w:color w:val="auto"/>
        </w:rPr>
      </w:pPr>
    </w:p>
    <w:p>
      <w:pPr>
        <w:jc w:val="both"/>
        <w:ind w:firstLine="656"/>
        <w:spacing w:after="0" w:line="256" w:lineRule="auto"/>
        <w:tabs>
          <w:tab w:leader="none" w:pos="1296"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Employee Benefits</w:t>
      </w:r>
      <w:r>
        <w:rPr>
          <w:rFonts w:ascii="Arial" w:cs="Arial" w:eastAsia="Arial" w:hAnsi="Arial"/>
          <w:sz w:val="22"/>
          <w:szCs w:val="22"/>
          <w:color w:val="auto"/>
        </w:rPr>
        <w:t>. As a regular employee of the Company, you will be eligible to participate in a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Company-sponsored benefits. In addition, you will be entitled to paid vacation in accordance with the Company’s vacation policy, as in effect from time to time.</w:t>
      </w:r>
    </w:p>
    <w:p>
      <w:pPr>
        <w:spacing w:after="0" w:line="176" w:lineRule="exact"/>
        <w:rPr>
          <w:rFonts w:ascii="Arial" w:cs="Arial" w:eastAsia="Arial" w:hAnsi="Arial"/>
          <w:sz w:val="22"/>
          <w:szCs w:val="22"/>
          <w:color w:val="auto"/>
        </w:rPr>
      </w:pPr>
    </w:p>
    <w:p>
      <w:pPr>
        <w:ind w:left="1300" w:hanging="644"/>
        <w:spacing w:after="0"/>
        <w:tabs>
          <w:tab w:leader="none" w:pos="1300"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Stock Options.</w:t>
      </w:r>
    </w:p>
    <w:p>
      <w:pPr>
        <w:spacing w:after="0" w:line="225" w:lineRule="exact"/>
        <w:rPr>
          <w:rFonts w:ascii="Arial" w:cs="Arial" w:eastAsia="Arial" w:hAnsi="Arial"/>
          <w:sz w:val="22"/>
          <w:szCs w:val="22"/>
          <w:color w:val="auto"/>
        </w:rPr>
      </w:pPr>
    </w:p>
    <w:p>
      <w:pPr>
        <w:jc w:val="both"/>
        <w:ind w:left="1300" w:hanging="320"/>
        <w:spacing w:after="0" w:line="259" w:lineRule="auto"/>
        <w:tabs>
          <w:tab w:leader="none" w:pos="1295" w:val="left"/>
        </w:tabs>
        <w:numPr>
          <w:ilvl w:val="1"/>
          <w:numId w:val="34"/>
        </w:numPr>
        <w:rPr>
          <w:rFonts w:ascii="Arial" w:cs="Arial" w:eastAsia="Arial" w:hAnsi="Arial"/>
          <w:sz w:val="21"/>
          <w:szCs w:val="21"/>
          <w:color w:val="auto"/>
        </w:rPr>
      </w:pPr>
      <w:r>
        <w:rPr>
          <w:rFonts w:ascii="Arial" w:cs="Arial" w:eastAsia="Arial" w:hAnsi="Arial"/>
          <w:sz w:val="21"/>
          <w:szCs w:val="21"/>
          <w:color w:val="auto"/>
        </w:rPr>
        <w:t>Subject to the approval of the Company's Board of Directors or its Compensation Committee, you will be granted an option to purchase 188,272 shares of the Company's Common Stock (the "Option"). The exercise price per share of the Option will be determined by the Board of Directors or the Compensation Committee when the Option is granted. The Option will be subject to the terms and conditions applicable to options granted under the Company's 2011 Stock Options and Grant Plan (the "Plan"), as described in the Plan and the applicable Stock Option Agreement. You will vest in 25% of the Option shares after 12 months of continuous service, and the balance will vest in equal monthly installments over the next 36 months of continuous service, as described in the applicable Stock Option Agreement.</w:t>
      </w:r>
    </w:p>
    <w:p>
      <w:pPr>
        <w:sectPr>
          <w:pgSz w:w="11900" w:h="16838" w:orient="portrait"/>
          <w:cols w:equalWidth="0" w:num="1">
            <w:col w:w="11240"/>
          </w:cols>
          <w:pgMar w:left="320" w:top="121" w:right="339" w:bottom="1440" w:gutter="0" w:footer="0" w:header="0"/>
        </w:sectPr>
      </w:pPr>
    </w:p>
    <w:bookmarkStart w:id="69" w:name="page70"/>
    <w:bookmarkEnd w:id="69"/>
    <w:p>
      <w:pPr>
        <w:spacing w:after="0" w:line="200" w:lineRule="exact"/>
        <w:rPr>
          <w:sz w:val="20"/>
          <w:szCs w:val="20"/>
          <w:color w:val="auto"/>
        </w:rPr>
      </w:pPr>
    </w:p>
    <w:p>
      <w:pPr>
        <w:spacing w:after="0" w:line="261" w:lineRule="exact"/>
        <w:rPr>
          <w:sz w:val="20"/>
          <w:szCs w:val="20"/>
          <w:color w:val="auto"/>
        </w:rPr>
      </w:pPr>
    </w:p>
    <w:p>
      <w:pPr>
        <w:jc w:val="both"/>
        <w:ind w:left="320" w:hanging="320"/>
        <w:spacing w:after="0" w:line="289" w:lineRule="auto"/>
        <w:tabs>
          <w:tab w:leader="none" w:pos="315" w:val="left"/>
        </w:tabs>
        <w:numPr>
          <w:ilvl w:val="0"/>
          <w:numId w:val="35"/>
        </w:numPr>
        <w:rPr>
          <w:rFonts w:ascii="Arial" w:cs="Arial" w:eastAsia="Arial" w:hAnsi="Arial"/>
          <w:sz w:val="19"/>
          <w:szCs w:val="19"/>
          <w:color w:val="auto"/>
        </w:rPr>
      </w:pPr>
      <w:r>
        <w:rPr>
          <w:rFonts w:ascii="Arial" w:cs="Arial" w:eastAsia="Arial" w:hAnsi="Arial"/>
          <w:sz w:val="19"/>
          <w:szCs w:val="19"/>
          <w:color w:val="auto"/>
        </w:rPr>
        <w:t>In the event that (i) a "Change of Control" (as defined herein) occurs and (ii) within 12 months following such Change of Control your employment is terminated without "cause" (as defined below) or you terminate your employment for "Good Reason", then vesting of your remaining unvested options will be accelerated by one year, and up to 25% of your grant will immediately become vested. "Good Reason" means the occurrence of any of the following events: (a) a substantial adverse change in the nature or scope of your responsibilities, authority, powers, functions or duties within or to the Company; (b) a material reduction in your annual base salary from the base salary in effect immediately prior to such Change of Control; or (c) a substantial reduction in benefits other than across-the-board benefit reductions similarly affecting all or substantially all management employees of the Company; or (d) you are required to relocate to offices more than fifty (50) miles from your principal place of business immediately prior to such Change of Control.</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left="320" w:hanging="320"/>
        <w:spacing w:after="0" w:line="285" w:lineRule="auto"/>
        <w:tabs>
          <w:tab w:leader="none" w:pos="315" w:val="left"/>
        </w:tabs>
        <w:numPr>
          <w:ilvl w:val="0"/>
          <w:numId w:val="35"/>
        </w:numPr>
        <w:rPr>
          <w:rFonts w:ascii="Arial" w:cs="Arial" w:eastAsia="Arial" w:hAnsi="Arial"/>
          <w:sz w:val="19"/>
          <w:szCs w:val="19"/>
          <w:color w:val="auto"/>
        </w:rPr>
      </w:pPr>
      <w:r>
        <w:rPr>
          <w:rFonts w:ascii="Arial" w:cs="Arial" w:eastAsia="Arial" w:hAnsi="Arial"/>
          <w:sz w:val="19"/>
          <w:szCs w:val="19"/>
          <w:color w:val="auto"/>
        </w:rPr>
        <w:t>For the purpose of this letter, "Change in Control" shall mean the occurrence of any of the following events: (i) any consolidation or merger of the Company with or into any other corporation or other entity or person, or any other corporate reorganization, in which the capital stock of the Company immediately prior to such consolidation, merger or reorganization, represents less than 50% of the voting power of the surviving entity (or, if the surviving entity is a wholly owned subsidiary, its parent) immediately after such consolidation, merger or reorganization or</w:t>
      </w:r>
    </w:p>
    <w:p>
      <w:pPr>
        <w:spacing w:after="0" w:line="3" w:lineRule="exact"/>
        <w:rPr>
          <w:rFonts w:ascii="Arial" w:cs="Arial" w:eastAsia="Arial" w:hAnsi="Arial"/>
          <w:sz w:val="19"/>
          <w:szCs w:val="19"/>
          <w:color w:val="auto"/>
        </w:rPr>
      </w:pPr>
    </w:p>
    <w:p>
      <w:pPr>
        <w:jc w:val="both"/>
        <w:ind w:left="320" w:firstLine="4"/>
        <w:spacing w:after="0" w:line="245" w:lineRule="auto"/>
        <w:tabs>
          <w:tab w:leader="none" w:pos="666" w:val="left"/>
        </w:tabs>
        <w:numPr>
          <w:ilvl w:val="1"/>
          <w:numId w:val="35"/>
        </w:numPr>
        <w:rPr>
          <w:rFonts w:ascii="Arial" w:cs="Arial" w:eastAsia="Arial" w:hAnsi="Arial"/>
          <w:sz w:val="22"/>
          <w:szCs w:val="22"/>
          <w:color w:val="auto"/>
        </w:rPr>
      </w:pPr>
      <w:r>
        <w:rPr>
          <w:rFonts w:ascii="Arial" w:cs="Arial" w:eastAsia="Arial" w:hAnsi="Arial"/>
          <w:sz w:val="22"/>
          <w:szCs w:val="22"/>
          <w:color w:val="auto"/>
        </w:rPr>
        <w:t>a sale, lease, exclusive license or other disposition of all or substantially all of the assets of the Company. Equity financings, public offerings and/or administrative reorganizations and recapitalizations will not constitute a "Change of Control" hereunder.</w:t>
      </w:r>
    </w:p>
    <w:p>
      <w:pPr>
        <w:spacing w:after="0" w:line="193" w:lineRule="exact"/>
        <w:rPr>
          <w:sz w:val="20"/>
          <w:szCs w:val="20"/>
          <w:color w:val="auto"/>
        </w:rPr>
      </w:pPr>
    </w:p>
    <w:p>
      <w:pPr>
        <w:jc w:val="both"/>
        <w:ind w:left="320" w:right="540" w:firstLine="4"/>
        <w:spacing w:after="0" w:line="287" w:lineRule="auto"/>
        <w:tabs>
          <w:tab w:leader="none" w:pos="963" w:val="left"/>
        </w:tabs>
        <w:numPr>
          <w:ilvl w:val="0"/>
          <w:numId w:val="36"/>
        </w:numPr>
        <w:rPr>
          <w:rFonts w:ascii="Arial" w:cs="Arial" w:eastAsia="Arial" w:hAnsi="Arial"/>
          <w:sz w:val="19"/>
          <w:szCs w:val="19"/>
          <w:color w:val="auto"/>
        </w:rPr>
      </w:pPr>
      <w:r>
        <w:rPr>
          <w:rFonts w:ascii="Arial" w:cs="Arial" w:eastAsia="Arial" w:hAnsi="Arial"/>
          <w:sz w:val="19"/>
          <w:szCs w:val="19"/>
          <w:color w:val="auto"/>
        </w:rPr>
        <w:t>In the event that an equity financing event occurs in the 9 months following your start with the company, you may be granted additional options to keep your total of granted options in aggregate to a minimum of 2% of outstanding company shares at the time of closing of said financing event. This grant will be subject to the approval of the company's Board of Directors or its Compensation committee. The exercise price per share of the Option will be determined by the Board of Directors or the Compensation Committee when the Option is granted. The Option will be subject to the terms and conditions applicable to options granted under the Company's 2011 Stock Options and Grant Plan (the "Plan"), as described in the Plan and the applicable Stock Option Agreement. You will vest in 25% of the Option shares after 12 months of continuous service, and the balance will vest in equal monthly installments over the next 36 months of continuous service, as described in the applicable Stock Option Agreement. The start of the continuous service vesting period for this second grant will be your initial start date with the company.</w:t>
      </w:r>
    </w:p>
    <w:p>
      <w:pPr>
        <w:sectPr>
          <w:pgSz w:w="11900" w:h="16838" w:orient="portrait"/>
          <w:cols w:equalWidth="0" w:num="1">
            <w:col w:w="10260"/>
          </w:cols>
          <w:pgMar w:left="1300" w:top="1440" w:right="339" w:bottom="1440" w:gutter="0" w:footer="0" w:header="0"/>
        </w:sectPr>
      </w:pPr>
    </w:p>
    <w:bookmarkStart w:id="70" w:name="page71"/>
    <w:bookmarkEnd w:id="70"/>
    <w:p>
      <w:pPr>
        <w:jc w:val="both"/>
        <w:ind w:firstLine="656"/>
        <w:spacing w:after="0" w:line="256" w:lineRule="auto"/>
        <w:tabs>
          <w:tab w:leader="none" w:pos="1296"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Proprietary Information and Inventions Agreement</w:t>
      </w:r>
      <w:r>
        <w:rPr>
          <w:rFonts w:ascii="Arial" w:cs="Arial" w:eastAsia="Arial" w:hAnsi="Arial"/>
          <w:sz w:val="22"/>
          <w:szCs w:val="22"/>
          <w:color w:val="auto"/>
        </w:rPr>
        <w:t>. Like all Company employees, you will be required, as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condition of your employment with the Company, to sign the Company’s standard Proprietary Information and Inventions Agreement, a copy of which is attached hereto as </w:t>
      </w:r>
      <w:r>
        <w:rPr>
          <w:rFonts w:ascii="Arial" w:cs="Arial" w:eastAsia="Arial" w:hAnsi="Arial"/>
          <w:sz w:val="22"/>
          <w:szCs w:val="22"/>
          <w:b w:val="1"/>
          <w:bCs w:val="1"/>
          <w:color w:val="auto"/>
        </w:rPr>
        <w:t>Exhibit A</w:t>
      </w:r>
      <w:r>
        <w:rPr>
          <w:rFonts w:ascii="Arial" w:cs="Arial" w:eastAsia="Arial" w:hAnsi="Arial"/>
          <w:sz w:val="22"/>
          <w:szCs w:val="22"/>
          <w:color w:val="auto"/>
        </w:rPr>
        <w:t>.</w:t>
      </w:r>
    </w:p>
    <w:p>
      <w:pPr>
        <w:spacing w:after="0" w:line="176" w:lineRule="exact"/>
        <w:rPr>
          <w:rFonts w:ascii="Arial" w:cs="Arial" w:eastAsia="Arial" w:hAnsi="Arial"/>
          <w:sz w:val="22"/>
          <w:szCs w:val="22"/>
          <w:color w:val="auto"/>
        </w:rPr>
      </w:pPr>
    </w:p>
    <w:p>
      <w:pPr>
        <w:jc w:val="both"/>
        <w:ind w:firstLine="656"/>
        <w:spacing w:after="0" w:line="261" w:lineRule="auto"/>
        <w:tabs>
          <w:tab w:leader="none" w:pos="1296" w:val="left"/>
        </w:tabs>
        <w:numPr>
          <w:ilvl w:val="0"/>
          <w:numId w:val="37"/>
        </w:numPr>
        <w:rPr>
          <w:rFonts w:ascii="Arial" w:cs="Arial" w:eastAsia="Arial" w:hAnsi="Arial"/>
          <w:sz w:val="21"/>
          <w:szCs w:val="21"/>
          <w:color w:val="auto"/>
        </w:rPr>
      </w:pPr>
      <w:r>
        <w:rPr>
          <w:rFonts w:ascii="Arial" w:cs="Arial" w:eastAsia="Arial" w:hAnsi="Arial"/>
          <w:sz w:val="21"/>
          <w:szCs w:val="21"/>
          <w:b w:val="1"/>
          <w:bCs w:val="1"/>
          <w:color w:val="auto"/>
        </w:rPr>
        <w:t>Employment Relationship</w:t>
      </w:r>
      <w:r>
        <w:rPr>
          <w:rFonts w:ascii="Arial" w:cs="Arial" w:eastAsia="Arial" w:hAnsi="Arial"/>
          <w:sz w:val="21"/>
          <w:szCs w:val="21"/>
          <w:color w:val="auto"/>
        </w:rPr>
        <w:t>. Employment with the Company is for no specific period of time. Your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73" w:lineRule="exact"/>
        <w:rPr>
          <w:rFonts w:ascii="Arial" w:cs="Arial" w:eastAsia="Arial" w:hAnsi="Arial"/>
          <w:sz w:val="21"/>
          <w:szCs w:val="21"/>
          <w:color w:val="auto"/>
        </w:rPr>
      </w:pPr>
    </w:p>
    <w:p>
      <w:pPr>
        <w:ind w:left="1300" w:hanging="644"/>
        <w:spacing w:after="0"/>
        <w:tabs>
          <w:tab w:leader="none" w:pos="1300"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Tax Matters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1628"/>
        <w:spacing w:after="0" w:line="269" w:lineRule="auto"/>
        <w:tabs>
          <w:tab w:leader="none" w:pos="1941" w:val="left"/>
        </w:tabs>
        <w:numPr>
          <w:ilvl w:val="1"/>
          <w:numId w:val="37"/>
        </w:numPr>
        <w:rPr>
          <w:rFonts w:ascii="Arial" w:cs="Arial" w:eastAsia="Arial" w:hAnsi="Arial"/>
          <w:sz w:val="22"/>
          <w:szCs w:val="22"/>
          <w:color w:val="auto"/>
        </w:rPr>
      </w:pPr>
      <w:r>
        <w:rPr>
          <w:rFonts w:ascii="Arial" w:cs="Arial" w:eastAsia="Arial" w:hAnsi="Arial"/>
          <w:sz w:val="22"/>
          <w:szCs w:val="22"/>
          <w:b w:val="1"/>
          <w:bCs w:val="1"/>
          <w:color w:val="auto"/>
        </w:rPr>
        <w:t>Withholding</w:t>
      </w:r>
      <w:r>
        <w:rPr>
          <w:rFonts w:ascii="Arial" w:cs="Arial" w:eastAsia="Arial" w:hAnsi="Arial"/>
          <w:sz w:val="22"/>
          <w:szCs w:val="22"/>
          <w:color w:val="auto"/>
        </w:rPr>
        <w:t>. All forms of compensation referred to in this letter agreement are subject to reduction to</w:t>
      </w:r>
      <w:r>
        <w:rPr>
          <w:rFonts w:ascii="Arial" w:cs="Arial" w:eastAsia="Arial" w:hAnsi="Arial"/>
          <w:sz w:val="22"/>
          <w:szCs w:val="22"/>
          <w:b w:val="1"/>
          <w:bCs w:val="1"/>
          <w:color w:val="auto"/>
        </w:rPr>
        <w:t xml:space="preserve"> </w:t>
      </w:r>
      <w:r>
        <w:rPr>
          <w:rFonts w:ascii="Arial" w:cs="Arial" w:eastAsia="Arial" w:hAnsi="Arial"/>
          <w:sz w:val="22"/>
          <w:szCs w:val="22"/>
          <w:color w:val="auto"/>
        </w:rPr>
        <w:t>reflect applicable withholding and payroll taxes and other deductions required by law.</w:t>
      </w:r>
    </w:p>
    <w:p>
      <w:pPr>
        <w:spacing w:after="0" w:line="161" w:lineRule="exact"/>
        <w:rPr>
          <w:rFonts w:ascii="Arial" w:cs="Arial" w:eastAsia="Arial" w:hAnsi="Arial"/>
          <w:sz w:val="22"/>
          <w:szCs w:val="22"/>
          <w:color w:val="auto"/>
        </w:rPr>
      </w:pPr>
    </w:p>
    <w:p>
      <w:pPr>
        <w:jc w:val="both"/>
        <w:ind w:firstLine="1628"/>
        <w:spacing w:after="0" w:line="252" w:lineRule="auto"/>
        <w:tabs>
          <w:tab w:leader="none" w:pos="1953" w:val="left"/>
        </w:tabs>
        <w:numPr>
          <w:ilvl w:val="1"/>
          <w:numId w:val="37"/>
        </w:numPr>
        <w:rPr>
          <w:rFonts w:ascii="Arial" w:cs="Arial" w:eastAsia="Arial" w:hAnsi="Arial"/>
          <w:sz w:val="22"/>
          <w:szCs w:val="22"/>
          <w:color w:val="auto"/>
        </w:rPr>
      </w:pPr>
      <w:r>
        <w:rPr>
          <w:rFonts w:ascii="Arial" w:cs="Arial" w:eastAsia="Arial" w:hAnsi="Arial"/>
          <w:sz w:val="22"/>
          <w:szCs w:val="22"/>
          <w:b w:val="1"/>
          <w:bCs w:val="1"/>
          <w:color w:val="auto"/>
        </w:rPr>
        <w:t>Tax Advice</w:t>
      </w:r>
      <w:r>
        <w:rPr>
          <w:rFonts w:ascii="Arial" w:cs="Arial" w:eastAsia="Arial" w:hAnsi="Arial"/>
          <w:sz w:val="22"/>
          <w:szCs w:val="22"/>
          <w:color w:val="auto"/>
        </w:rPr>
        <w:t>. You are encouraged to obtain your own tax advice regarding your compensation from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79" w:lineRule="exact"/>
        <w:rPr>
          <w:rFonts w:ascii="Arial" w:cs="Arial" w:eastAsia="Arial" w:hAnsi="Arial"/>
          <w:sz w:val="22"/>
          <w:szCs w:val="22"/>
          <w:color w:val="auto"/>
        </w:rPr>
      </w:pPr>
    </w:p>
    <w:p>
      <w:pPr>
        <w:jc w:val="both"/>
        <w:ind w:firstLine="656"/>
        <w:spacing w:after="0" w:line="259" w:lineRule="auto"/>
        <w:tabs>
          <w:tab w:leader="none" w:pos="1296" w:val="left"/>
        </w:tabs>
        <w:numPr>
          <w:ilvl w:val="0"/>
          <w:numId w:val="37"/>
        </w:numPr>
        <w:rPr>
          <w:rFonts w:ascii="Arial" w:cs="Arial" w:eastAsia="Arial" w:hAnsi="Arial"/>
          <w:sz w:val="21"/>
          <w:szCs w:val="21"/>
          <w:color w:val="auto"/>
        </w:rPr>
      </w:pPr>
      <w:r>
        <w:rPr>
          <w:rFonts w:ascii="Arial" w:cs="Arial" w:eastAsia="Arial" w:hAnsi="Arial"/>
          <w:sz w:val="21"/>
          <w:szCs w:val="21"/>
          <w:b w:val="1"/>
          <w:bCs w:val="1"/>
          <w:color w:val="auto"/>
        </w:rPr>
        <w:t>Interpretation, Amendment and Enforcement</w:t>
      </w:r>
      <w:r>
        <w:rPr>
          <w:rFonts w:ascii="Arial" w:cs="Arial" w:eastAsia="Arial" w:hAnsi="Arial"/>
          <w:sz w:val="21"/>
          <w:szCs w:val="21"/>
          <w:color w:val="auto"/>
        </w:rPr>
        <w:t>. This letter agreement and Exhibit A constitute the complete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between you and the Company, contain 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New York law, excluding laws relating to conflicts or choice of law. You and the Company submit to the exclusive personal jurisdiction of the federal and state courts located in New York in connection with any Dispute or any claim related to any Dispute.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 * * *</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This offer shall apply to any. As required by law, your employment with the Company is contingent upon your providing legal proof of your</w:t>
      </w:r>
    </w:p>
    <w:p>
      <w:pPr>
        <w:sectPr>
          <w:pgSz w:w="11900" w:h="16838" w:orient="portrait"/>
          <w:cols w:equalWidth="0" w:num="1">
            <w:col w:w="11240"/>
          </w:cols>
          <w:pgMar w:left="320" w:top="1422" w:right="339" w:bottom="1440" w:gutter="0" w:footer="0" w:header="0"/>
        </w:sectPr>
      </w:pPr>
    </w:p>
    <w:bookmarkStart w:id="71" w:name="page72"/>
    <w:bookmarkEnd w:id="71"/>
    <w:p>
      <w:pPr>
        <w:spacing w:after="0" w:line="263" w:lineRule="auto"/>
        <w:rPr>
          <w:sz w:val="20"/>
          <w:szCs w:val="20"/>
          <w:color w:val="auto"/>
        </w:rPr>
      </w:pPr>
      <w:r>
        <w:rPr>
          <w:rFonts w:ascii="Arial" w:cs="Arial" w:eastAsia="Arial" w:hAnsi="Arial"/>
          <w:sz w:val="22"/>
          <w:szCs w:val="22"/>
          <w:color w:val="auto"/>
        </w:rPr>
        <w:t>identity and authorization to work in the United States. The terms of this offer will expire on 5/11/2012, and will apply to any work performed for Datadog as of 4/30/2012.</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you have any questions, please call me at [phone number].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Very truly yours,</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Datadog,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280"/>
        <w:spacing w:after="0"/>
        <w:rPr>
          <w:sz w:val="20"/>
          <w:szCs w:val="20"/>
          <w:color w:val="auto"/>
        </w:rPr>
      </w:pPr>
      <w:r>
        <w:rPr>
          <w:rFonts w:ascii="Arial" w:cs="Arial" w:eastAsia="Arial" w:hAnsi="Arial"/>
          <w:sz w:val="22"/>
          <w:szCs w:val="22"/>
          <w:i w:val="1"/>
          <w:iCs w:val="1"/>
          <w:color w:val="auto"/>
        </w:rPr>
        <w:t>/s/ Olivier Pomel</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Olivier Pomel</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I have read and accept this employment offer: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20"/>
        <w:spacing w:after="0"/>
        <w:rPr>
          <w:sz w:val="20"/>
          <w:szCs w:val="20"/>
          <w:color w:val="auto"/>
        </w:rPr>
      </w:pPr>
      <w:r>
        <w:rPr>
          <w:rFonts w:ascii="Arial" w:cs="Arial" w:eastAsia="Arial" w:hAnsi="Arial"/>
          <w:sz w:val="22"/>
          <w:szCs w:val="22"/>
          <w:i w:val="1"/>
          <w:iCs w:val="1"/>
          <w:color w:val="auto"/>
        </w:rPr>
        <w:t>/s/ Amit Agarwal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2039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color w:val="auto"/>
        </w:rPr>
        <w:t>Signature of Employee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Printed Name: Amit Agarwal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-17780</wp:posOffset>
            </wp:positionV>
            <wp:extent cx="9258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Dated:</w:t>
        <w:tab/>
        <w:t>5.01.2012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8229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10.3</w:t>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Datadog, Inc.</w:t>
      </w:r>
    </w:p>
    <w:p>
      <w:pPr>
        <w:jc w:val="right"/>
        <w:spacing w:after="0" w:line="207" w:lineRule="auto"/>
        <w:rPr>
          <w:sz w:val="20"/>
          <w:szCs w:val="20"/>
          <w:color w:val="auto"/>
        </w:rPr>
      </w:pPr>
      <w:r>
        <w:rPr>
          <w:rFonts w:ascii="Arial" w:cs="Arial" w:eastAsia="Arial" w:hAnsi="Arial"/>
          <w:sz w:val="22"/>
          <w:szCs w:val="22"/>
          <w:color w:val="auto"/>
        </w:rPr>
        <w:t>620 8</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Ave, 45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w:t>
      </w:r>
    </w:p>
    <w:p>
      <w:pPr>
        <w:jc w:val="right"/>
        <w:spacing w:after="0"/>
        <w:rPr>
          <w:sz w:val="20"/>
          <w:szCs w:val="20"/>
          <w:color w:val="auto"/>
        </w:rPr>
      </w:pPr>
      <w:r>
        <w:rPr>
          <w:rFonts w:ascii="Arial" w:cs="Arial" w:eastAsia="Arial" w:hAnsi="Arial"/>
          <w:sz w:val="22"/>
          <w:szCs w:val="22"/>
          <w:color w:val="auto"/>
        </w:rPr>
        <w:t>New York, NY 10018</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www.datadoghq.com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934085" cy="9772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93408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December 18, 2016</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Mr. Dan Fougere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Dear Dan:</w:t>
      </w:r>
    </w:p>
    <w:p>
      <w:pPr>
        <w:spacing w:after="0" w:line="220"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Datadog, Inc. (the “Company”) is pleased to offer you a consulting services relationship, and subsequent full-time employment, on the terms set forth in this letter agreement (this “Agreement”):</w:t>
      </w:r>
    </w:p>
    <w:p>
      <w:pPr>
        <w:spacing w:after="0" w:line="169" w:lineRule="exact"/>
        <w:rPr>
          <w:sz w:val="20"/>
          <w:szCs w:val="20"/>
          <w:color w:val="auto"/>
        </w:rPr>
      </w:pPr>
    </w:p>
    <w:p>
      <w:pPr>
        <w:jc w:val="both"/>
        <w:ind w:firstLine="656"/>
        <w:spacing w:after="0" w:line="274" w:lineRule="auto"/>
        <w:tabs>
          <w:tab w:leader="none" w:pos="1296" w:val="left"/>
        </w:tabs>
        <w:numPr>
          <w:ilvl w:val="0"/>
          <w:numId w:val="38"/>
        </w:numPr>
        <w:rPr>
          <w:rFonts w:ascii="Arial" w:cs="Arial" w:eastAsia="Arial" w:hAnsi="Arial"/>
          <w:sz w:val="21"/>
          <w:szCs w:val="21"/>
          <w:color w:val="auto"/>
        </w:rPr>
      </w:pPr>
      <w:r>
        <w:rPr>
          <w:rFonts w:ascii="Arial" w:cs="Arial" w:eastAsia="Arial" w:hAnsi="Arial"/>
          <w:sz w:val="21"/>
          <w:szCs w:val="21"/>
          <w:b w:val="1"/>
          <w:bCs w:val="1"/>
          <w:color w:val="auto"/>
        </w:rPr>
        <w:t>Consulting</w:t>
      </w:r>
      <w:r>
        <w:rPr>
          <w:rFonts w:ascii="Arial" w:cs="Arial" w:eastAsia="Arial" w:hAnsi="Arial"/>
          <w:sz w:val="21"/>
          <w:szCs w:val="21"/>
          <w:color w:val="auto"/>
        </w:rPr>
        <w:t>. You will provide financial and business consulting and advisory services to the Company (the</w:t>
      </w:r>
      <w:r>
        <w:rPr>
          <w:rFonts w:ascii="Arial" w:cs="Arial" w:eastAsia="Arial" w:hAnsi="Arial"/>
          <w:sz w:val="21"/>
          <w:szCs w:val="21"/>
          <w:b w:val="1"/>
          <w:bCs w:val="1"/>
          <w:color w:val="auto"/>
        </w:rPr>
        <w:t xml:space="preserve"> </w:t>
      </w:r>
      <w:r>
        <w:rPr>
          <w:rFonts w:ascii="Arial" w:cs="Arial" w:eastAsia="Arial" w:hAnsi="Arial"/>
          <w:sz w:val="21"/>
          <w:szCs w:val="21"/>
          <w:color w:val="auto"/>
        </w:rPr>
        <w:t>“Consulting Engagement”). The Consulting Engagement will begin immediately and, unless terminated sooner pursuant to paragraph 1(a)(i), end upon your commencing full-time employment as contemplated in paragraph 2 below.</w:t>
      </w:r>
    </w:p>
    <w:p>
      <w:pPr>
        <w:spacing w:after="0" w:line="164" w:lineRule="exact"/>
        <w:rPr>
          <w:rFonts w:ascii="Arial" w:cs="Arial" w:eastAsia="Arial" w:hAnsi="Arial"/>
          <w:sz w:val="21"/>
          <w:szCs w:val="21"/>
          <w:color w:val="auto"/>
        </w:rPr>
      </w:pPr>
    </w:p>
    <w:p>
      <w:pPr>
        <w:jc w:val="both"/>
        <w:ind w:firstLine="1304"/>
        <w:spacing w:after="0" w:line="248" w:lineRule="auto"/>
        <w:tabs>
          <w:tab w:leader="none" w:pos="1932" w:val="left"/>
        </w:tabs>
        <w:numPr>
          <w:ilvl w:val="1"/>
          <w:numId w:val="38"/>
        </w:numPr>
        <w:rPr>
          <w:rFonts w:ascii="Arial" w:cs="Arial" w:eastAsia="Arial" w:hAnsi="Arial"/>
          <w:sz w:val="22"/>
          <w:szCs w:val="22"/>
          <w:color w:val="auto"/>
        </w:rPr>
      </w:pPr>
      <w:r>
        <w:rPr>
          <w:rFonts w:ascii="Arial" w:cs="Arial" w:eastAsia="Arial" w:hAnsi="Arial"/>
          <w:sz w:val="22"/>
          <w:szCs w:val="22"/>
          <w:color w:val="auto"/>
        </w:rPr>
        <w:t>You acknowledge and agree that (i) either you or the Company is free to terminate the Consulting Engagement at any time upon notice to the other and (ii) you will be an independent contractor, not an employee, of the Company during the Consulting Engagement. Accordingly, you have no authority (and shall not hold yourself out as having authority) to bind the Company and shall not make any agreements or representations on the Company's behalf in the course of the Consulting Engagement.</w:t>
      </w:r>
    </w:p>
    <w:p>
      <w:pPr>
        <w:spacing w:after="0" w:line="191" w:lineRule="exact"/>
        <w:rPr>
          <w:rFonts w:ascii="Arial" w:cs="Arial" w:eastAsia="Arial" w:hAnsi="Arial"/>
          <w:sz w:val="22"/>
          <w:szCs w:val="22"/>
          <w:color w:val="auto"/>
        </w:rPr>
      </w:pPr>
    </w:p>
    <w:p>
      <w:pPr>
        <w:jc w:val="both"/>
        <w:ind w:firstLine="1304"/>
        <w:spacing w:after="0" w:line="288" w:lineRule="auto"/>
        <w:tabs>
          <w:tab w:leader="none" w:pos="1944" w:val="left"/>
        </w:tabs>
        <w:numPr>
          <w:ilvl w:val="1"/>
          <w:numId w:val="38"/>
        </w:numPr>
        <w:rPr>
          <w:rFonts w:ascii="Arial" w:cs="Arial" w:eastAsia="Arial" w:hAnsi="Arial"/>
          <w:sz w:val="19"/>
          <w:szCs w:val="19"/>
          <w:color w:val="auto"/>
        </w:rPr>
      </w:pPr>
      <w:r>
        <w:rPr>
          <w:rFonts w:ascii="Arial" w:cs="Arial" w:eastAsia="Arial" w:hAnsi="Arial"/>
          <w:sz w:val="19"/>
          <w:szCs w:val="19"/>
          <w:color w:val="auto"/>
        </w:rPr>
        <w:t>Subject to the approval of the Company’s Board of Directors (the “Board”), you will be granted a nonstatutory stock option to purchase up to 232,537 shares of the Company’s Common Stock (the “Time-Based Option”). The exercise price per share of the Time-Based Option will be determined by the Board. The Time-Based Option will be subject to the terms and conditions applicable to options granted under the Company’s 2012 Equity Incentive Plan (the “Equity Plan”), as described in the Equity Plan and the Company’s form of nonstatutory stock option grant agreement (the “Specimen Agreement”). You will vest in 25% of the Time-Based Option shares on the 12-month anniversary of the date you commence FT Employment, assuming continuous service through that date, and the balance will vest in equal monthly installments over the next 36 months of continuous service. In addition, as detailed in the stock option notice of the Specimen Agreement, you will be eligible for “double-trigger” acceleration of the Time-Based Option in the event of a change of control of the Company. The grant of the Time-Based Option will be the sole consideration due or payable to you under the Consulting Engagement.</w:t>
      </w:r>
    </w:p>
    <w:p>
      <w:pPr>
        <w:sectPr>
          <w:pgSz w:w="11900" w:h="16838" w:orient="portrait"/>
          <w:cols w:equalWidth="0" w:num="1">
            <w:col w:w="11240"/>
          </w:cols>
          <w:pgMar w:left="320" w:top="121" w:right="339" w:bottom="1440" w:gutter="0" w:footer="0" w:header="0"/>
        </w:sectPr>
      </w:pPr>
    </w:p>
    <w:bookmarkStart w:id="73" w:name="page74"/>
    <w:bookmarkEnd w:id="73"/>
    <w:p>
      <w:pPr>
        <w:jc w:val="both"/>
        <w:ind w:left="-656" w:firstLine="1304"/>
        <w:spacing w:after="0" w:line="248" w:lineRule="auto"/>
        <w:tabs>
          <w:tab w:leader="none" w:pos="1276" w:val="left"/>
        </w:tabs>
        <w:numPr>
          <w:ilvl w:val="1"/>
          <w:numId w:val="39"/>
        </w:numPr>
        <w:rPr>
          <w:rFonts w:ascii="Arial" w:cs="Arial" w:eastAsia="Arial" w:hAnsi="Arial"/>
          <w:sz w:val="22"/>
          <w:szCs w:val="22"/>
          <w:color w:val="auto"/>
        </w:rPr>
      </w:pPr>
      <w:r>
        <w:rPr>
          <w:rFonts w:ascii="Arial" w:cs="Arial" w:eastAsia="Arial" w:hAnsi="Arial"/>
          <w:sz w:val="22"/>
          <w:szCs w:val="22"/>
          <w:color w:val="auto"/>
        </w:rPr>
        <w:t>Without limiting the terms of the Specimen Agreement, you acknowledge and agree that Sections 4 and 5 of the Specimen Agreement (relating to covenants of confidentiality, nonsolicitation and assignment of certain rights) are expressly incorporated into this letter by reference. Those provisions are in addition to, and not in lieu of, the obligations under the Proprietary Information and Inventions Agreement (“PIIA”) that must be executed in connection with FT Employment as noted in paragraph 7.</w:t>
      </w:r>
    </w:p>
    <w:p>
      <w:pPr>
        <w:spacing w:after="0" w:line="191" w:lineRule="exact"/>
        <w:rPr>
          <w:rFonts w:ascii="Arial" w:cs="Arial" w:eastAsia="Arial" w:hAnsi="Arial"/>
          <w:sz w:val="22"/>
          <w:szCs w:val="22"/>
          <w:color w:val="auto"/>
        </w:rPr>
      </w:pPr>
    </w:p>
    <w:p>
      <w:pPr>
        <w:jc w:val="both"/>
        <w:ind w:left="-656" w:firstLine="1304"/>
        <w:spacing w:after="0" w:line="259" w:lineRule="auto"/>
        <w:tabs>
          <w:tab w:leader="none" w:pos="1288" w:val="left"/>
        </w:tabs>
        <w:numPr>
          <w:ilvl w:val="1"/>
          <w:numId w:val="39"/>
        </w:numPr>
        <w:rPr>
          <w:rFonts w:ascii="Arial" w:cs="Arial" w:eastAsia="Arial" w:hAnsi="Arial"/>
          <w:sz w:val="21"/>
          <w:szCs w:val="21"/>
          <w:color w:val="auto"/>
        </w:rPr>
      </w:pPr>
      <w:r>
        <w:rPr>
          <w:rFonts w:ascii="Arial" w:cs="Arial" w:eastAsia="Arial" w:hAnsi="Arial"/>
          <w:sz w:val="21"/>
          <w:szCs w:val="21"/>
          <w:color w:val="auto"/>
        </w:rPr>
        <w:t>Without limiting any representations or agreements subsequently made in the PIIA, you represent and warrant to the Company that: (i) you have the right to enter into this Agreement, to grant the rights granted herein and to perform fully all of your obligations in this Agreement and (ii) your entering into this Agreement with the Company and your performance under the Consulting Engagement do not and will not conflict with or result in any breach or default under any other agreement or duties to which you are subject (including without limitation any duty to any current or prior employer). You shall defend, indemnify, and hold harmless the Company and its affiliates and their officers, directors, employees, agents, successors, and assigns from and against all losses, damages, liabilities, deficiencies, actions, judgments, interest, awards, penalties, fines, costs, or expenses of whatever kind (including reasonable attorneys’ fees) arising out of or resulting from your breach of the foregoing.</w:t>
      </w:r>
    </w:p>
    <w:p>
      <w:pPr>
        <w:spacing w:after="0" w:line="173" w:lineRule="exact"/>
        <w:rPr>
          <w:rFonts w:ascii="Arial" w:cs="Arial" w:eastAsia="Arial" w:hAnsi="Arial"/>
          <w:sz w:val="21"/>
          <w:szCs w:val="21"/>
          <w:color w:val="auto"/>
        </w:rPr>
      </w:pPr>
    </w:p>
    <w:p>
      <w:pPr>
        <w:jc w:val="both"/>
        <w:ind w:left="-656" w:firstLine="656"/>
        <w:spacing w:after="0" w:line="247" w:lineRule="auto"/>
        <w:tabs>
          <w:tab w:leader="none" w:pos="640"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Employment</w:t>
      </w:r>
      <w:r>
        <w:rPr>
          <w:rFonts w:ascii="Arial" w:cs="Arial" w:eastAsia="Arial" w:hAnsi="Arial"/>
          <w:sz w:val="22"/>
          <w:szCs w:val="22"/>
          <w:color w:val="auto"/>
        </w:rPr>
        <w:t>. Commencing on February 1, 2017, or such other date mutually agreeable to you and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you will commence full-time employment with the Company (“FT Employment”). Your initial title will be Chief Revenue Officer, and you will report to the Company’s CEO. Your principal place of employment shall be the Company’s corporate headquarters in New York City, subject to business travel as needed to properly fulfill your employment duties and responsibilities. While you render services to the Company, you will not engage in any other employment, consulting or other business activity (whether full-time or part-time) that would create a conflict of interest with the Company. By signing this Agreement, you confirm to the Company that you have no contractual commitments or other legal obligations that would prohibit you from performing your duties for the Company.</w:t>
      </w:r>
    </w:p>
    <w:p>
      <w:pPr>
        <w:spacing w:after="0" w:line="185" w:lineRule="exact"/>
        <w:rPr>
          <w:rFonts w:ascii="Arial" w:cs="Arial" w:eastAsia="Arial" w:hAnsi="Arial"/>
          <w:sz w:val="22"/>
          <w:szCs w:val="22"/>
          <w:color w:val="auto"/>
        </w:rPr>
      </w:pPr>
    </w:p>
    <w:p>
      <w:pPr>
        <w:jc w:val="both"/>
        <w:ind w:left="-656" w:firstLine="656"/>
        <w:spacing w:after="0" w:line="293" w:lineRule="auto"/>
        <w:tabs>
          <w:tab w:leader="none" w:pos="640" w:val="left"/>
        </w:tabs>
        <w:numPr>
          <w:ilvl w:val="0"/>
          <w:numId w:val="40"/>
        </w:numPr>
        <w:rPr>
          <w:rFonts w:ascii="Arial" w:cs="Arial" w:eastAsia="Arial" w:hAnsi="Arial"/>
          <w:sz w:val="19"/>
          <w:szCs w:val="19"/>
          <w:color w:val="auto"/>
        </w:rPr>
      </w:pPr>
      <w:r>
        <w:rPr>
          <w:rFonts w:ascii="Arial" w:cs="Arial" w:eastAsia="Arial" w:hAnsi="Arial"/>
          <w:sz w:val="19"/>
          <w:szCs w:val="19"/>
          <w:b w:val="1"/>
          <w:bCs w:val="1"/>
          <w:color w:val="auto"/>
        </w:rPr>
        <w:t xml:space="preserve">Cash Compensation. </w:t>
      </w:r>
      <w:r>
        <w:rPr>
          <w:rFonts w:ascii="Arial" w:cs="Arial" w:eastAsia="Arial" w:hAnsi="Arial"/>
          <w:sz w:val="19"/>
          <w:szCs w:val="19"/>
          <w:color w:val="auto"/>
        </w:rPr>
        <w:t>Commencing with FT Employment, the Company will pay you a starting base salary at the</w:t>
      </w:r>
      <w:r>
        <w:rPr>
          <w:rFonts w:ascii="Arial" w:cs="Arial" w:eastAsia="Arial" w:hAnsi="Arial"/>
          <w:sz w:val="19"/>
          <w:szCs w:val="19"/>
          <w:b w:val="1"/>
          <w:bCs w:val="1"/>
          <w:color w:val="auto"/>
        </w:rPr>
        <w:t xml:space="preserve"> </w:t>
      </w:r>
      <w:r>
        <w:rPr>
          <w:rFonts w:ascii="Arial" w:cs="Arial" w:eastAsia="Arial" w:hAnsi="Arial"/>
          <w:sz w:val="19"/>
          <w:szCs w:val="19"/>
          <w:color w:val="auto"/>
        </w:rPr>
        <w:t>rate of $300,000 per year (the “Base Salary”), payable in accordance with the Company’s standard payroll schedule. In addition, during FT Employment, you will be eligible for an annual bonus under the terms of a cash incentive plan of up to 100% of your Base Salary (the “Bonus Plan”) for achievement of 100% of your Bonus Plan target. The performance criteria under the Bonus Plan shall be established by the CEO in consultation with you and the Board (or the compensation committee of the Board). To be eligible for payment of any annual bonus under the Bonus Plan, you must be in FT Employment on December 31 of the year with regard to which the annual bonus is applicable and must be employed on the date the annual bonus is paid.</w:t>
      </w:r>
    </w:p>
    <w:p>
      <w:pPr>
        <w:spacing w:after="0" w:line="144" w:lineRule="exact"/>
        <w:rPr>
          <w:rFonts w:ascii="Arial" w:cs="Arial" w:eastAsia="Arial" w:hAnsi="Arial"/>
          <w:sz w:val="19"/>
          <w:szCs w:val="19"/>
          <w:color w:val="auto"/>
        </w:rPr>
      </w:pPr>
    </w:p>
    <w:p>
      <w:pPr>
        <w:jc w:val="both"/>
        <w:ind w:left="-656" w:firstLine="656"/>
        <w:spacing w:after="0" w:line="315" w:lineRule="auto"/>
        <w:tabs>
          <w:tab w:leader="none" w:pos="640" w:val="left"/>
        </w:tabs>
        <w:numPr>
          <w:ilvl w:val="0"/>
          <w:numId w:val="40"/>
        </w:numPr>
        <w:rPr>
          <w:rFonts w:ascii="Arial" w:cs="Arial" w:eastAsia="Arial" w:hAnsi="Arial"/>
          <w:sz w:val="19"/>
          <w:szCs w:val="19"/>
          <w:color w:val="auto"/>
        </w:rPr>
      </w:pPr>
      <w:r>
        <w:rPr>
          <w:rFonts w:ascii="Arial" w:cs="Arial" w:eastAsia="Arial" w:hAnsi="Arial"/>
          <w:sz w:val="19"/>
          <w:szCs w:val="19"/>
          <w:b w:val="1"/>
          <w:bCs w:val="1"/>
          <w:color w:val="auto"/>
        </w:rPr>
        <w:t xml:space="preserve">Additional Option. </w:t>
      </w:r>
      <w:r>
        <w:rPr>
          <w:rFonts w:ascii="Arial" w:cs="Arial" w:eastAsia="Arial" w:hAnsi="Arial"/>
          <w:sz w:val="19"/>
          <w:szCs w:val="19"/>
          <w:color w:val="auto"/>
        </w:rPr>
        <w:t>Subject to Board approval following FT Employment, you will be granted a second option to</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 up to 23,254 shares of the Company’s Common Stock (the “Event-Based Option”) under the Equity Plan. The Event-Based Option exercise price per share will be determined by the Board and based on Board-approved performance targets.</w:t>
      </w:r>
    </w:p>
    <w:p>
      <w:pPr>
        <w:sectPr>
          <w:pgSz w:w="11900" w:h="16838" w:orient="portrait"/>
          <w:cols w:equalWidth="0" w:num="1">
            <w:col w:w="10584"/>
          </w:cols>
          <w:pgMar w:left="976" w:top="1428" w:right="339" w:bottom="1440" w:gutter="0" w:footer="0" w:header="0"/>
        </w:sectPr>
      </w:pPr>
    </w:p>
    <w:bookmarkStart w:id="74" w:name="page75"/>
    <w:bookmarkEnd w:id="74"/>
    <w:p>
      <w:pPr>
        <w:ind w:left="-656" w:firstLine="656"/>
        <w:spacing w:after="0" w:line="269" w:lineRule="auto"/>
        <w:tabs>
          <w:tab w:leader="none" w:pos="640"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 xml:space="preserve">Employee Benefits. </w:t>
      </w:r>
      <w:r>
        <w:rPr>
          <w:rFonts w:ascii="Arial" w:cs="Arial" w:eastAsia="Arial" w:hAnsi="Arial"/>
          <w:sz w:val="22"/>
          <w:szCs w:val="22"/>
          <w:color w:val="auto"/>
        </w:rPr>
        <w:t>As a regular employee of the Company after commencing FT Employment, you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eligible to participate in a number of Company-sponsored benefits.</w:t>
      </w:r>
    </w:p>
    <w:p>
      <w:pPr>
        <w:spacing w:after="0" w:line="161" w:lineRule="exact"/>
        <w:rPr>
          <w:rFonts w:ascii="Arial" w:cs="Arial" w:eastAsia="Arial" w:hAnsi="Arial"/>
          <w:sz w:val="22"/>
          <w:szCs w:val="22"/>
          <w:color w:val="auto"/>
        </w:rPr>
      </w:pPr>
    </w:p>
    <w:p>
      <w:pPr>
        <w:ind w:left="644" w:hanging="644"/>
        <w:spacing w:after="0"/>
        <w:tabs>
          <w:tab w:leader="none" w:pos="644"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Commencement Bonus and Relocation Assistance.</w:t>
      </w:r>
    </w:p>
    <w:p>
      <w:pPr>
        <w:spacing w:after="0" w:line="225" w:lineRule="exact"/>
        <w:rPr>
          <w:rFonts w:ascii="Arial" w:cs="Arial" w:eastAsia="Arial" w:hAnsi="Arial"/>
          <w:sz w:val="22"/>
          <w:szCs w:val="22"/>
          <w:color w:val="auto"/>
        </w:rPr>
      </w:pPr>
    </w:p>
    <w:p>
      <w:pPr>
        <w:ind w:left="-656" w:right="20" w:firstLine="1304"/>
        <w:spacing w:after="0" w:line="263" w:lineRule="auto"/>
        <w:tabs>
          <w:tab w:leader="none" w:pos="1285" w:val="left"/>
        </w:tabs>
        <w:numPr>
          <w:ilvl w:val="1"/>
          <w:numId w:val="41"/>
        </w:numPr>
        <w:rPr>
          <w:rFonts w:ascii="Arial" w:cs="Arial" w:eastAsia="Arial" w:hAnsi="Arial"/>
          <w:sz w:val="22"/>
          <w:szCs w:val="22"/>
          <w:color w:val="auto"/>
        </w:rPr>
      </w:pPr>
      <w:r>
        <w:rPr>
          <w:rFonts w:ascii="Arial" w:cs="Arial" w:eastAsia="Arial" w:hAnsi="Arial"/>
          <w:sz w:val="22"/>
          <w:szCs w:val="22"/>
          <w:color w:val="auto"/>
        </w:rPr>
        <w:t>Upon commencement of FT Employment, the Company will pay you a one-time bonus of $150,000 (the “Start Bonus”), less Relocation Assistance under paragraph 6(b).</w:t>
      </w:r>
    </w:p>
    <w:p>
      <w:pPr>
        <w:spacing w:after="0" w:line="174" w:lineRule="exact"/>
        <w:rPr>
          <w:rFonts w:ascii="Arial" w:cs="Arial" w:eastAsia="Arial" w:hAnsi="Arial"/>
          <w:sz w:val="22"/>
          <w:szCs w:val="22"/>
          <w:color w:val="auto"/>
        </w:rPr>
      </w:pPr>
    </w:p>
    <w:p>
      <w:pPr>
        <w:jc w:val="both"/>
        <w:ind w:left="-656" w:firstLine="1304"/>
        <w:spacing w:after="0" w:line="248" w:lineRule="auto"/>
        <w:tabs>
          <w:tab w:leader="none" w:pos="1283" w:val="left"/>
        </w:tabs>
        <w:numPr>
          <w:ilvl w:val="1"/>
          <w:numId w:val="41"/>
        </w:numPr>
        <w:rPr>
          <w:rFonts w:ascii="Arial" w:cs="Arial" w:eastAsia="Arial" w:hAnsi="Arial"/>
          <w:sz w:val="22"/>
          <w:szCs w:val="22"/>
          <w:color w:val="auto"/>
        </w:rPr>
      </w:pPr>
      <w:r>
        <w:rPr>
          <w:rFonts w:ascii="Arial" w:cs="Arial" w:eastAsia="Arial" w:hAnsi="Arial"/>
          <w:sz w:val="22"/>
          <w:szCs w:val="22"/>
          <w:color w:val="auto"/>
        </w:rPr>
        <w:t>In connection with FT Employment, you will be eligible for relocation assistance of up to the amount of the Start Bonus in the form of reimbursement to you of documented relocation expenses associated with your relocation to a primary residence within a reasonable daily commute of the Company’s New York headquarters (the “Relocation Assistance”). Irrespective of whether you use any portion of the Relocation Assistance, you understand that you are expected to relocate no later than the end of July 2017.</w:t>
      </w:r>
    </w:p>
    <w:p>
      <w:pPr>
        <w:spacing w:after="0" w:line="191" w:lineRule="exact"/>
        <w:rPr>
          <w:rFonts w:ascii="Arial" w:cs="Arial" w:eastAsia="Arial" w:hAnsi="Arial"/>
          <w:sz w:val="22"/>
          <w:szCs w:val="22"/>
          <w:color w:val="auto"/>
        </w:rPr>
      </w:pPr>
    </w:p>
    <w:p>
      <w:pPr>
        <w:jc w:val="both"/>
        <w:ind w:left="-656" w:firstLine="1304"/>
        <w:spacing w:after="0" w:line="253" w:lineRule="auto"/>
        <w:tabs>
          <w:tab w:leader="none" w:pos="1285" w:val="left"/>
        </w:tabs>
        <w:numPr>
          <w:ilvl w:val="1"/>
          <w:numId w:val="41"/>
        </w:numPr>
        <w:rPr>
          <w:rFonts w:ascii="Arial" w:cs="Arial" w:eastAsia="Arial" w:hAnsi="Arial"/>
          <w:sz w:val="22"/>
          <w:szCs w:val="22"/>
          <w:color w:val="auto"/>
        </w:rPr>
      </w:pPr>
      <w:r>
        <w:rPr>
          <w:rFonts w:ascii="Arial" w:cs="Arial" w:eastAsia="Arial" w:hAnsi="Arial"/>
          <w:sz w:val="22"/>
          <w:szCs w:val="22"/>
          <w:color w:val="auto"/>
        </w:rPr>
        <w:t>You acknowledge that if your employment ends before the 18-month anniversary of the date you commence FT Employment, you agree to re-pay to the Company a pro-rata portion of the Start Bonus and Relocation Assistance within 10 business days after the termination of your employment.</w:t>
      </w:r>
    </w:p>
    <w:p>
      <w:pPr>
        <w:spacing w:after="0" w:line="179" w:lineRule="exact"/>
        <w:rPr>
          <w:rFonts w:ascii="Arial" w:cs="Arial" w:eastAsia="Arial" w:hAnsi="Arial"/>
          <w:sz w:val="22"/>
          <w:szCs w:val="22"/>
          <w:color w:val="auto"/>
        </w:rPr>
      </w:pPr>
    </w:p>
    <w:p>
      <w:pPr>
        <w:jc w:val="both"/>
        <w:ind w:left="-656" w:firstLine="656"/>
        <w:spacing w:after="0" w:line="248" w:lineRule="auto"/>
        <w:tabs>
          <w:tab w:leader="none" w:pos="640"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 xml:space="preserve">Contingencies. </w:t>
      </w:r>
      <w:r>
        <w:rPr>
          <w:rFonts w:ascii="Arial" w:cs="Arial" w:eastAsia="Arial" w:hAnsi="Arial"/>
          <w:sz w:val="22"/>
          <w:szCs w:val="22"/>
          <w:color w:val="auto"/>
        </w:rPr>
        <w:t>In connection with FT Employment, like all Company employees, you will be required, as a</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 of your employment with the Company, to sign the Company’s standard PIIA, a copy of which is attached hereto as Exhibit A. In addition, the offer of FT Employment is contingent upon: (a) verification of your right to work in the United States, as demonstrated by your completion of an I-9 form upon hire and your submission of acceptable documentation (as noted on the I-9 form) verifying your identity and work authorization within three days of FT Employment and (b) satisfactory completion of a background investigation.</w:t>
      </w:r>
    </w:p>
    <w:p>
      <w:pPr>
        <w:spacing w:after="0" w:line="186" w:lineRule="exact"/>
        <w:rPr>
          <w:rFonts w:ascii="Arial" w:cs="Arial" w:eastAsia="Arial" w:hAnsi="Arial"/>
          <w:sz w:val="22"/>
          <w:szCs w:val="22"/>
          <w:color w:val="auto"/>
        </w:rPr>
      </w:pPr>
    </w:p>
    <w:p>
      <w:pPr>
        <w:jc w:val="both"/>
        <w:ind w:left="-656" w:firstLine="656"/>
        <w:spacing w:after="0" w:line="261" w:lineRule="auto"/>
        <w:tabs>
          <w:tab w:leader="none" w:pos="640" w:val="left"/>
        </w:tabs>
        <w:numPr>
          <w:ilvl w:val="0"/>
          <w:numId w:val="41"/>
        </w:numPr>
        <w:rPr>
          <w:rFonts w:ascii="Arial" w:cs="Arial" w:eastAsia="Arial" w:hAnsi="Arial"/>
          <w:sz w:val="21"/>
          <w:szCs w:val="21"/>
          <w:color w:val="auto"/>
        </w:rPr>
      </w:pPr>
      <w:r>
        <w:rPr>
          <w:rFonts w:ascii="Arial" w:cs="Arial" w:eastAsia="Arial" w:hAnsi="Arial"/>
          <w:sz w:val="21"/>
          <w:szCs w:val="21"/>
          <w:b w:val="1"/>
          <w:bCs w:val="1"/>
          <w:color w:val="auto"/>
        </w:rPr>
        <w:t xml:space="preserve">Employment Relationship. </w:t>
      </w:r>
      <w:r>
        <w:rPr>
          <w:rFonts w:ascii="Arial" w:cs="Arial" w:eastAsia="Arial" w:hAnsi="Arial"/>
          <w:sz w:val="21"/>
          <w:szCs w:val="21"/>
          <w:color w:val="auto"/>
        </w:rPr>
        <w:t>Employment with the Company is for no specific period of time. Your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Company will be “at will,” meaning that either you or the Company may terminate your employment at any time and for any reason, with or without cause. Any contrary representations that may have been made to you are superseded by this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73" w:lineRule="exact"/>
        <w:rPr>
          <w:rFonts w:ascii="Arial" w:cs="Arial" w:eastAsia="Arial" w:hAnsi="Arial"/>
          <w:sz w:val="21"/>
          <w:szCs w:val="21"/>
          <w:color w:val="auto"/>
        </w:rPr>
      </w:pPr>
    </w:p>
    <w:p>
      <w:pPr>
        <w:ind w:left="644" w:hanging="644"/>
        <w:spacing w:after="0"/>
        <w:tabs>
          <w:tab w:leader="none" w:pos="644"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Tax Matters.</w:t>
      </w:r>
    </w:p>
    <w:p>
      <w:pPr>
        <w:spacing w:after="0" w:line="219" w:lineRule="exact"/>
        <w:rPr>
          <w:rFonts w:ascii="Arial" w:cs="Arial" w:eastAsia="Arial" w:hAnsi="Arial"/>
          <w:sz w:val="22"/>
          <w:szCs w:val="22"/>
          <w:color w:val="auto"/>
        </w:rPr>
      </w:pPr>
    </w:p>
    <w:p>
      <w:pPr>
        <w:jc w:val="both"/>
        <w:ind w:left="-656" w:firstLine="1304"/>
        <w:spacing w:after="0" w:line="267" w:lineRule="auto"/>
        <w:tabs>
          <w:tab w:leader="none" w:pos="1285" w:val="left"/>
        </w:tabs>
        <w:numPr>
          <w:ilvl w:val="1"/>
          <w:numId w:val="41"/>
        </w:numPr>
        <w:rPr>
          <w:rFonts w:ascii="Arial" w:cs="Arial" w:eastAsia="Arial" w:hAnsi="Arial"/>
          <w:sz w:val="21"/>
          <w:szCs w:val="21"/>
          <w:color w:val="auto"/>
        </w:rPr>
      </w:pPr>
      <w:r>
        <w:rPr>
          <w:rFonts w:ascii="Arial" w:cs="Arial" w:eastAsia="Arial" w:hAnsi="Arial"/>
          <w:sz w:val="21"/>
          <w:szCs w:val="21"/>
          <w:b w:val="1"/>
          <w:bCs w:val="1"/>
          <w:color w:val="auto"/>
        </w:rPr>
        <w:t xml:space="preserve">Withholding. </w:t>
      </w:r>
      <w:r>
        <w:rPr>
          <w:rFonts w:ascii="Arial" w:cs="Arial" w:eastAsia="Arial" w:hAnsi="Arial"/>
          <w:sz w:val="21"/>
          <w:szCs w:val="21"/>
          <w:color w:val="auto"/>
        </w:rPr>
        <w:t>All forms of compensation referred to in this Agreement are subject to reduction to reflect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applicable withholding and payroll taxes and other deductions as required by law. </w:t>
      </w:r>
      <w:r>
        <w:rPr>
          <w:rFonts w:ascii="Arial" w:cs="Arial" w:eastAsia="Arial" w:hAnsi="Arial"/>
          <w:sz w:val="21"/>
          <w:szCs w:val="21"/>
          <w:u w:val="single" w:color="auto"/>
          <w:color w:val="auto"/>
        </w:rPr>
        <w:t>You acknowledge, however, that prior to FT</w:t>
      </w:r>
      <w:r>
        <w:rPr>
          <w:rFonts w:ascii="Arial" w:cs="Arial" w:eastAsia="Arial" w:hAnsi="Arial"/>
          <w:sz w:val="21"/>
          <w:szCs w:val="21"/>
          <w:color w:val="auto"/>
        </w:rPr>
        <w:t xml:space="preserve"> </w:t>
      </w:r>
      <w:r>
        <w:rPr>
          <w:rFonts w:ascii="Arial" w:cs="Arial" w:eastAsia="Arial" w:hAnsi="Arial"/>
          <w:sz w:val="21"/>
          <w:szCs w:val="21"/>
          <w:u w:val="single" w:color="auto"/>
          <w:color w:val="auto"/>
        </w:rPr>
        <w:t>Employment, the Company will not be responsible for withholding any federal, state, or local taxes, making any insurance contributions (including for unemployment or disability), or obtaining worker's compensation</w:t>
      </w:r>
    </w:p>
    <w:p>
      <w:pPr>
        <w:sectPr>
          <w:pgSz w:w="11900" w:h="16838" w:orient="portrait"/>
          <w:cols w:equalWidth="0" w:num="1">
            <w:col w:w="10584"/>
          </w:cols>
          <w:pgMar w:left="976" w:top="1422" w:right="339" w:bottom="1440" w:gutter="0" w:footer="0" w:header="0"/>
        </w:sectPr>
      </w:pPr>
    </w:p>
    <w:bookmarkStart w:id="75" w:name="page76"/>
    <w:bookmarkEnd w:id="75"/>
    <w:p>
      <w:pPr>
        <w:spacing w:after="0"/>
        <w:rPr>
          <w:sz w:val="20"/>
          <w:szCs w:val="20"/>
          <w:color w:val="auto"/>
        </w:rPr>
      </w:pPr>
      <w:r>
        <w:rPr>
          <w:rFonts w:ascii="Arial" w:cs="Arial" w:eastAsia="Arial" w:hAnsi="Arial"/>
          <w:sz w:val="21"/>
          <w:szCs w:val="21"/>
          <w:u w:val="single" w:color="auto"/>
          <w:color w:val="auto"/>
        </w:rPr>
        <w:t>insurance on your behalf. You shall be responsible for all such taxes or contributions, including penalties and interest</w:t>
      </w:r>
      <w:r>
        <w:rPr>
          <w:rFonts w:ascii="Arial" w:cs="Arial" w:eastAsia="Arial" w:hAnsi="Arial"/>
          <w:sz w:val="21"/>
          <w:szCs w:val="21"/>
          <w:color w:val="auto"/>
        </w:rPr>
        <w:t>.</w:t>
      </w:r>
    </w:p>
    <w:p>
      <w:pPr>
        <w:spacing w:after="0" w:line="225" w:lineRule="exact"/>
        <w:rPr>
          <w:sz w:val="20"/>
          <w:szCs w:val="20"/>
          <w:color w:val="auto"/>
        </w:rPr>
      </w:pPr>
    </w:p>
    <w:p>
      <w:pPr>
        <w:jc w:val="both"/>
        <w:ind w:firstLine="1304"/>
        <w:spacing w:after="0" w:line="252" w:lineRule="auto"/>
        <w:tabs>
          <w:tab w:leader="none" w:pos="1939" w:val="left"/>
        </w:tabs>
        <w:numPr>
          <w:ilvl w:val="1"/>
          <w:numId w:val="42"/>
        </w:numPr>
        <w:rPr>
          <w:rFonts w:ascii="Arial" w:cs="Arial" w:eastAsia="Arial" w:hAnsi="Arial"/>
          <w:sz w:val="22"/>
          <w:szCs w:val="22"/>
          <w:color w:val="auto"/>
        </w:rPr>
      </w:pPr>
      <w:r>
        <w:rPr>
          <w:rFonts w:ascii="Arial" w:cs="Arial" w:eastAsia="Arial" w:hAnsi="Arial"/>
          <w:sz w:val="22"/>
          <w:szCs w:val="22"/>
          <w:b w:val="1"/>
          <w:bCs w:val="1"/>
          <w:color w:val="auto"/>
        </w:rPr>
        <w:t xml:space="preserve">Tax Advice. </w:t>
      </w:r>
      <w:r>
        <w:rPr>
          <w:rFonts w:ascii="Arial" w:cs="Arial" w:eastAsia="Arial" w:hAnsi="Arial"/>
          <w:sz w:val="22"/>
          <w:szCs w:val="22"/>
          <w:color w:val="auto"/>
        </w:rPr>
        <w:t>You are encouraged to obtain your own tax advice regarding your compensation from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You agree that the Company does not have a duty to design its compensation policies in a manner that minimizes your tax liabilities, and you will not make any claim against the Company or its Board related to tax liabilities arising from your compensation.</w:t>
      </w:r>
    </w:p>
    <w:p>
      <w:pPr>
        <w:spacing w:after="0" w:line="179" w:lineRule="exact"/>
        <w:rPr>
          <w:rFonts w:ascii="Arial" w:cs="Arial" w:eastAsia="Arial" w:hAnsi="Arial"/>
          <w:sz w:val="22"/>
          <w:szCs w:val="22"/>
          <w:color w:val="auto"/>
        </w:rPr>
      </w:pPr>
    </w:p>
    <w:p>
      <w:pPr>
        <w:ind w:left="1300" w:hanging="644"/>
        <w:spacing w:after="0"/>
        <w:tabs>
          <w:tab w:leader="none" w:pos="1300" w:val="left"/>
        </w:tabs>
        <w:numPr>
          <w:ilvl w:val="0"/>
          <w:numId w:val="43"/>
        </w:numPr>
        <w:rPr>
          <w:rFonts w:ascii="Arial" w:cs="Arial" w:eastAsia="Arial" w:hAnsi="Arial"/>
          <w:sz w:val="19"/>
          <w:szCs w:val="19"/>
          <w:color w:val="auto"/>
        </w:rPr>
      </w:pPr>
      <w:r>
        <w:rPr>
          <w:rFonts w:ascii="Arial" w:cs="Arial" w:eastAsia="Arial" w:hAnsi="Arial"/>
          <w:sz w:val="19"/>
          <w:szCs w:val="19"/>
          <w:b w:val="1"/>
          <w:bCs w:val="1"/>
          <w:color w:val="auto"/>
        </w:rPr>
        <w:t xml:space="preserve">Investment Representations. </w:t>
      </w:r>
      <w:r>
        <w:rPr>
          <w:rFonts w:ascii="Arial" w:cs="Arial" w:eastAsia="Arial" w:hAnsi="Arial"/>
          <w:sz w:val="19"/>
          <w:szCs w:val="19"/>
          <w:color w:val="auto"/>
        </w:rPr>
        <w:t>In relation to the Time-Based Option, you represent and warrant to the Company</w:t>
      </w:r>
    </w:p>
    <w:p>
      <w:pPr>
        <w:spacing w:after="0" w:line="61" w:lineRule="exact"/>
        <w:rPr>
          <w:rFonts w:ascii="Arial" w:cs="Arial" w:eastAsia="Arial" w:hAnsi="Arial"/>
          <w:sz w:val="19"/>
          <w:szCs w:val="19"/>
          <w:color w:val="auto"/>
        </w:rPr>
      </w:pPr>
    </w:p>
    <w:p>
      <w:pPr>
        <w:jc w:val="both"/>
        <w:spacing w:after="0" w:line="295" w:lineRule="auto"/>
        <w:rPr>
          <w:rFonts w:ascii="Arial" w:cs="Arial" w:eastAsia="Arial" w:hAnsi="Arial"/>
          <w:sz w:val="19"/>
          <w:szCs w:val="19"/>
          <w:color w:val="auto"/>
        </w:rPr>
      </w:pPr>
      <w:r>
        <w:rPr>
          <w:rFonts w:ascii="Arial" w:cs="Arial" w:eastAsia="Arial" w:hAnsi="Arial"/>
          <w:sz w:val="19"/>
          <w:szCs w:val="19"/>
          <w:color w:val="auto"/>
        </w:rPr>
        <w:t>that: (i) by reason of your business and financial experience, you have the capacity to protect your own interests with respect to the grant, (ii) you are acquiring the Time-Based Option for your own account and not with a view to or for sale in connection with any distribution of the Time-Based Option or underlying shares and (iii) you are an “accredited investor” (as defined in Rule 501(a) of Regulation D promulgated under the Securities Act of 1933, as amended) for one more of the following reasons:</w:t>
      </w:r>
    </w:p>
    <w:p>
      <w:pPr>
        <w:spacing w:after="0" w:line="149" w:lineRule="exact"/>
        <w:rPr>
          <w:rFonts w:ascii="Arial" w:cs="Arial" w:eastAsia="Arial" w:hAnsi="Arial"/>
          <w:sz w:val="19"/>
          <w:szCs w:val="19"/>
          <w:color w:val="auto"/>
        </w:rPr>
      </w:pPr>
    </w:p>
    <w:p>
      <w:pPr>
        <w:jc w:val="both"/>
        <w:ind w:firstLine="1304"/>
        <w:spacing w:after="0" w:line="250" w:lineRule="auto"/>
        <w:tabs>
          <w:tab w:leader="none" w:pos="1941" w:val="left"/>
        </w:tabs>
        <w:numPr>
          <w:ilvl w:val="1"/>
          <w:numId w:val="43"/>
        </w:numPr>
        <w:rPr>
          <w:rFonts w:ascii="Arial" w:cs="Arial" w:eastAsia="Arial" w:hAnsi="Arial"/>
          <w:sz w:val="22"/>
          <w:szCs w:val="22"/>
          <w:color w:val="auto"/>
        </w:rPr>
      </w:pPr>
      <w:r>
        <w:rPr>
          <w:rFonts w:ascii="Arial" w:cs="Arial" w:eastAsia="Arial" w:hAnsi="Arial"/>
          <w:sz w:val="22"/>
          <w:szCs w:val="22"/>
          <w:color w:val="auto"/>
        </w:rPr>
        <w:t>you have an individual net worth, or a joint net worth with your spouse, in excess of $1,000,000, excluding the value of the primary residence of such person (for purposes of this provision, “net worth” means the excess of total assets at fair market value (including personal and real property, but excluding the estimated fair market value of a person’s primary home) over total liabilities) OR</w:t>
      </w:r>
    </w:p>
    <w:p>
      <w:pPr>
        <w:spacing w:after="0" w:line="187" w:lineRule="exact"/>
        <w:rPr>
          <w:rFonts w:ascii="Arial" w:cs="Arial" w:eastAsia="Arial" w:hAnsi="Arial"/>
          <w:sz w:val="22"/>
          <w:szCs w:val="22"/>
          <w:color w:val="auto"/>
        </w:rPr>
      </w:pPr>
    </w:p>
    <w:p>
      <w:pPr>
        <w:jc w:val="both"/>
        <w:ind w:firstLine="1304"/>
        <w:spacing w:after="0" w:line="253" w:lineRule="auto"/>
        <w:tabs>
          <w:tab w:leader="none" w:pos="1939" w:val="left"/>
        </w:tabs>
        <w:numPr>
          <w:ilvl w:val="1"/>
          <w:numId w:val="43"/>
        </w:numPr>
        <w:rPr>
          <w:rFonts w:ascii="Arial" w:cs="Arial" w:eastAsia="Arial" w:hAnsi="Arial"/>
          <w:sz w:val="22"/>
          <w:szCs w:val="22"/>
          <w:color w:val="auto"/>
        </w:rPr>
      </w:pPr>
      <w:r>
        <w:rPr>
          <w:rFonts w:ascii="Arial" w:cs="Arial" w:eastAsia="Arial" w:hAnsi="Arial"/>
          <w:sz w:val="22"/>
          <w:szCs w:val="22"/>
          <w:color w:val="auto"/>
        </w:rPr>
        <w:t>you had an individual income in excess of $200,000 in each of the two most recent years, or a joint income with your spouse in excess of $300,000 in each of those years, and have a reasonable expectation of reaching the same income level in the current year.</w:t>
      </w:r>
    </w:p>
    <w:p>
      <w:pPr>
        <w:spacing w:after="0" w:line="179" w:lineRule="exact"/>
        <w:rPr>
          <w:rFonts w:ascii="Arial" w:cs="Arial" w:eastAsia="Arial" w:hAnsi="Arial"/>
          <w:sz w:val="22"/>
          <w:szCs w:val="22"/>
          <w:color w:val="auto"/>
        </w:rPr>
      </w:pPr>
    </w:p>
    <w:p>
      <w:pPr>
        <w:jc w:val="both"/>
        <w:ind w:firstLine="656"/>
        <w:spacing w:after="0" w:line="291" w:lineRule="auto"/>
        <w:tabs>
          <w:tab w:leader="none" w:pos="1288" w:val="left"/>
        </w:tabs>
        <w:numPr>
          <w:ilvl w:val="0"/>
          <w:numId w:val="43"/>
        </w:numPr>
        <w:rPr>
          <w:rFonts w:ascii="Arial" w:cs="Arial" w:eastAsia="Arial" w:hAnsi="Arial"/>
          <w:sz w:val="19"/>
          <w:szCs w:val="19"/>
          <w:color w:val="auto"/>
        </w:rPr>
      </w:pPr>
      <w:r>
        <w:rPr>
          <w:rFonts w:ascii="Arial" w:cs="Arial" w:eastAsia="Arial" w:hAnsi="Arial"/>
          <w:sz w:val="19"/>
          <w:szCs w:val="19"/>
          <w:b w:val="1"/>
          <w:bCs w:val="1"/>
          <w:color w:val="auto"/>
        </w:rPr>
        <w:t xml:space="preserve">Interpretation, Amendment and Enforcement. </w:t>
      </w:r>
      <w:r>
        <w:rPr>
          <w:rFonts w:ascii="Arial" w:cs="Arial" w:eastAsia="Arial" w:hAnsi="Arial"/>
          <w:sz w:val="19"/>
          <w:szCs w:val="19"/>
          <w:color w:val="auto"/>
        </w:rPr>
        <w:t>This Agreement, together with the documents referenced herein,</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constitutes the complete agreement between you and the Company, contains all of the terms of your Consulting Engagement and any subsequent FT Employment with the Company and supersedes any prior agreements, representations or understandings (whether written oral or implied) between you and the Company. The terms of this Agreement and the resolution of any disputes as to the meaning, effect, performance or validity of this letter agreement, your employment with the Company or any other relationship between you and the Company (the “Disputes”) will be governed by New York law, excluding laws relating to conflicts or choice of law. You and the Company submit to the exclusive personal jurisdiction of the federal and state courts located in New York in connection with any Dispute or any claim related to any dispute.</w:t>
      </w:r>
    </w:p>
    <w:p>
      <w:pPr>
        <w:spacing w:after="0" w:line="148" w:lineRule="exact"/>
        <w:rPr>
          <w:rFonts w:ascii="Arial" w:cs="Arial" w:eastAsia="Arial" w:hAnsi="Arial"/>
          <w:sz w:val="19"/>
          <w:szCs w:val="19"/>
          <w:color w:val="auto"/>
        </w:rPr>
      </w:pPr>
    </w:p>
    <w:p>
      <w:pPr>
        <w:ind w:left="5240"/>
        <w:spacing w:after="0"/>
        <w:rPr>
          <w:rFonts w:ascii="Arial" w:cs="Arial" w:eastAsia="Arial" w:hAnsi="Arial"/>
          <w:sz w:val="19"/>
          <w:szCs w:val="19"/>
          <w:color w:val="auto"/>
        </w:rPr>
      </w:pPr>
      <w:r>
        <w:rPr>
          <w:rFonts w:ascii="Arial" w:cs="Arial" w:eastAsia="Arial" w:hAnsi="Arial"/>
          <w:sz w:val="22"/>
          <w:szCs w:val="22"/>
          <w:b w:val="1"/>
          <w:bCs w:val="1"/>
          <w:color w:val="auto"/>
        </w:rPr>
        <w:t>* * * * *</w:t>
      </w:r>
    </w:p>
    <w:p>
      <w:pPr>
        <w:spacing w:after="0" w:line="22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If you are in agreement with the foregoing, please sign where indicated below. You must return an executed copy of this Agreement within five days of the date first set forth above. If you fail to do so, this Agreement may be rendered null and void in Company’s discretion.</w:t>
      </w:r>
    </w:p>
    <w:p>
      <w:pPr>
        <w:sectPr>
          <w:pgSz w:w="11900" w:h="16838" w:orient="portrait"/>
          <w:cols w:equalWidth="0" w:num="1">
            <w:col w:w="11240"/>
          </w:cols>
          <w:pgMar w:left="320" w:top="1428" w:right="339" w:bottom="1440" w:gutter="0" w:footer="0" w:header="0"/>
        </w:sectPr>
      </w:pPr>
    </w:p>
    <w:bookmarkStart w:id="76" w:name="page77"/>
    <w:bookmarkEnd w:id="76"/>
    <w:p>
      <w:pPr>
        <w:ind w:left="4220"/>
        <w:spacing w:after="0"/>
        <w:rPr>
          <w:sz w:val="20"/>
          <w:szCs w:val="20"/>
          <w:color w:val="auto"/>
        </w:rPr>
      </w:pPr>
      <w:r>
        <w:rPr>
          <w:rFonts w:ascii="Arial" w:cs="Arial" w:eastAsia="Arial" w:hAnsi="Arial"/>
          <w:sz w:val="22"/>
          <w:szCs w:val="22"/>
          <w:color w:val="auto"/>
        </w:rPr>
        <w:t>Very truly yours,</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Datadog,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-17780</wp:posOffset>
            </wp:positionV>
            <wp:extent cx="11430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0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Olivier Pomel</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 acknowledge receipt of, and agree to the terms of, this Agreement (including salary and pay rate and day information with respect to FT Employment). I advised Datadog that my primary language is English, and was given this letter in English because it is my primary language.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1660" w:val="left"/>
          <w:tab w:leader="none" w:pos="2400" w:val="left"/>
        </w:tabs>
        <w:rPr>
          <w:sz w:val="20"/>
          <w:szCs w:val="20"/>
          <w:color w:val="auto"/>
        </w:rPr>
      </w:pPr>
      <w:r>
        <w:rPr>
          <w:rFonts w:ascii="Arial" w:cs="Arial" w:eastAsia="Arial" w:hAnsi="Arial"/>
          <w:sz w:val="22"/>
          <w:szCs w:val="22"/>
          <w:i w:val="1"/>
          <w:iCs w:val="1"/>
          <w:u w:val="single" w:color="auto"/>
          <w:color w:val="auto"/>
        </w:rPr>
        <w:t>/s/ Dan Fougere</w:t>
      </w:r>
      <w:r>
        <w:rPr>
          <w:sz w:val="20"/>
          <w:szCs w:val="20"/>
          <w:color w:val="auto"/>
        </w:rPr>
        <w:tab/>
      </w: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12.18.2016 5:37 PM 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1401445</wp:posOffset>
            </wp:positionH>
            <wp:positionV relativeFrom="paragraph">
              <wp:posOffset>-17780</wp:posOffset>
            </wp:positionV>
            <wp:extent cx="18148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181483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Dan Fougere</w:t>
      </w:r>
    </w:p>
    <w:p>
      <w:pPr>
        <w:sectPr>
          <w:pgSz w:w="11900" w:h="16838" w:orient="portrait"/>
          <w:cols w:equalWidth="0" w:num="1">
            <w:col w:w="11240"/>
          </w:cols>
          <w:pgMar w:left="320" w:top="1428"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Certification by the Chief Executive Officer pursuant to</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Olivier Pomel, certify that:</w:t>
      </w:r>
    </w:p>
    <w:p>
      <w:pPr>
        <w:spacing w:after="0" w:line="225" w:lineRule="exact"/>
        <w:rPr>
          <w:sz w:val="20"/>
          <w:szCs w:val="20"/>
          <w:color w:val="auto"/>
        </w:rPr>
      </w:pPr>
    </w:p>
    <w:p>
      <w:pPr>
        <w:ind w:left="580" w:hanging="572"/>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Datadog, Inc. (the “registrant”) for the fiscal quarter ended March 31, 2021;</w:t>
      </w:r>
    </w:p>
    <w:p>
      <w:pPr>
        <w:spacing w:after="0" w:line="225" w:lineRule="exact"/>
        <w:rPr>
          <w:rFonts w:ascii="Arial" w:cs="Arial" w:eastAsia="Arial" w:hAnsi="Arial"/>
          <w:sz w:val="18"/>
          <w:szCs w:val="18"/>
          <w:color w:val="auto"/>
        </w:rPr>
      </w:pPr>
    </w:p>
    <w:p>
      <w:pPr>
        <w:jc w:val="both"/>
        <w:ind w:left="580" w:right="200" w:hanging="572"/>
        <w:spacing w:after="0" w:line="263"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60" w:hanging="572"/>
        <w:spacing w:after="0" w:line="308" w:lineRule="auto"/>
        <w:tabs>
          <w:tab w:leader="none" w:pos="5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20" w:hanging="572"/>
        <w:spacing w:after="0" w:line="277"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40" w:right="80" w:hanging="565"/>
        <w:spacing w:after="0" w:line="263" w:lineRule="auto"/>
        <w:tabs>
          <w:tab w:leader="none" w:pos="1131"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40" w:right="200" w:hanging="565"/>
        <w:spacing w:after="0" w:line="263" w:lineRule="auto"/>
        <w:tabs>
          <w:tab w:leader="none" w:pos="112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40" w:right="380" w:hanging="565"/>
        <w:spacing w:after="0" w:line="342" w:lineRule="auto"/>
        <w:tabs>
          <w:tab w:leader="none" w:pos="1131"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100" w:hanging="565"/>
        <w:spacing w:after="0" w:line="263" w:lineRule="auto"/>
        <w:tabs>
          <w:tab w:leader="none" w:pos="112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80" w:hanging="572"/>
        <w:spacing w:after="0" w:line="342" w:lineRule="auto"/>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40" w:right="620" w:hanging="565"/>
        <w:spacing w:after="0" w:line="342" w:lineRule="auto"/>
        <w:tabs>
          <w:tab w:leader="none" w:pos="1131"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340" w:hanging="565"/>
        <w:spacing w:after="0" w:line="277" w:lineRule="auto"/>
        <w:tabs>
          <w:tab w:leader="none" w:pos="112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5840" w:val="left"/>
          <w:tab w:leader="none" w:pos="7100" w:val="left"/>
        </w:tabs>
        <w:rPr>
          <w:sz w:val="20"/>
          <w:szCs w:val="20"/>
          <w:color w:val="auto"/>
        </w:rPr>
      </w:pPr>
      <w:r>
        <w:rPr>
          <w:rFonts w:ascii="Arial" w:cs="Arial" w:eastAsia="Arial" w:hAnsi="Arial"/>
          <w:sz w:val="18"/>
          <w:szCs w:val="18"/>
          <w:color w:val="auto"/>
        </w:rPr>
        <w:t>Date: May 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31750</wp:posOffset>
            </wp:positionV>
            <wp:extent cx="31032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53" w:lineRule="exact"/>
        <w:rPr>
          <w:sz w:val="20"/>
          <w:szCs w:val="20"/>
          <w:color w:val="auto"/>
        </w:rPr>
      </w:pPr>
    </w:p>
    <w:p>
      <w:pPr>
        <w:ind w:left="6340"/>
        <w:spacing w:after="0"/>
        <w:tabs>
          <w:tab w:leader="none" w:pos="710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color w:val="auto"/>
        </w:rPr>
        <w:t>Olivier Pomel</w:t>
      </w:r>
    </w:p>
    <w:p>
      <w:pPr>
        <w:spacing w:after="0" w:line="63" w:lineRule="exact"/>
        <w:rPr>
          <w:sz w:val="20"/>
          <w:szCs w:val="20"/>
          <w:color w:val="auto"/>
        </w:rPr>
      </w:pPr>
    </w:p>
    <w:p>
      <w:pPr>
        <w:ind w:left="6340"/>
        <w:spacing w:after="0"/>
        <w:tabs>
          <w:tab w:leader="none" w:pos="710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Chief Executive Officer and Director</w:t>
      </w:r>
    </w:p>
    <w:p>
      <w:pPr>
        <w:spacing w:after="0" w:line="6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240"/>
          </w:cols>
          <w:pgMar w:left="320" w:top="89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Certification by the Chief Financial Officer pursuant to</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Obstler, certify that:</w:t>
      </w:r>
    </w:p>
    <w:p>
      <w:pPr>
        <w:spacing w:after="0" w:line="225" w:lineRule="exact"/>
        <w:rPr>
          <w:sz w:val="20"/>
          <w:szCs w:val="20"/>
          <w:color w:val="auto"/>
        </w:rPr>
      </w:pPr>
    </w:p>
    <w:p>
      <w:pPr>
        <w:ind w:left="580" w:hanging="572"/>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Datadog, Inc. (the “registrant”) for the fiscal quarter ended March 31, 2021;</w:t>
      </w:r>
    </w:p>
    <w:p>
      <w:pPr>
        <w:spacing w:after="0" w:line="225" w:lineRule="exact"/>
        <w:rPr>
          <w:rFonts w:ascii="Arial" w:cs="Arial" w:eastAsia="Arial" w:hAnsi="Arial"/>
          <w:sz w:val="18"/>
          <w:szCs w:val="18"/>
          <w:color w:val="auto"/>
        </w:rPr>
      </w:pPr>
    </w:p>
    <w:p>
      <w:pPr>
        <w:jc w:val="both"/>
        <w:ind w:left="580" w:right="200" w:hanging="572"/>
        <w:spacing w:after="0" w:line="263"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60" w:hanging="572"/>
        <w:spacing w:after="0" w:line="308" w:lineRule="auto"/>
        <w:tabs>
          <w:tab w:leader="none" w:pos="5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20" w:hanging="572"/>
        <w:spacing w:after="0" w:line="277"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40" w:right="80" w:hanging="565"/>
        <w:spacing w:after="0" w:line="263" w:lineRule="auto"/>
        <w:tabs>
          <w:tab w:leader="none" w:pos="1131"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40" w:right="200" w:hanging="565"/>
        <w:spacing w:after="0" w:line="263" w:lineRule="auto"/>
        <w:tabs>
          <w:tab w:leader="none" w:pos="112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40" w:right="380" w:hanging="565"/>
        <w:spacing w:after="0" w:line="342" w:lineRule="auto"/>
        <w:tabs>
          <w:tab w:leader="none" w:pos="1131"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100" w:hanging="565"/>
        <w:spacing w:after="0" w:line="263" w:lineRule="auto"/>
        <w:tabs>
          <w:tab w:leader="none" w:pos="112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80" w:hanging="572"/>
        <w:spacing w:after="0" w:line="342" w:lineRule="auto"/>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40" w:right="620" w:hanging="565"/>
        <w:spacing w:after="0" w:line="342" w:lineRule="auto"/>
        <w:tabs>
          <w:tab w:leader="none" w:pos="1131"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340" w:hanging="565"/>
        <w:spacing w:after="0" w:line="277" w:lineRule="auto"/>
        <w:tabs>
          <w:tab w:leader="none" w:pos="112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7, 2021</w:t>
            </w:r>
          </w:p>
        </w:tc>
        <w:tc>
          <w:tcPr>
            <w:tcW w:w="3360" w:type="dxa"/>
            <w:vAlign w:val="bottom"/>
            <w:gridSpan w:val="2"/>
          </w:tcPr>
          <w:p>
            <w:pPr>
              <w:ind w:left="2240"/>
              <w:spacing w:after="0"/>
              <w:rPr>
                <w:sz w:val="20"/>
                <w:szCs w:val="20"/>
                <w:color w:val="auto"/>
              </w:rPr>
            </w:pPr>
            <w:r>
              <w:rPr>
                <w:rFonts w:ascii="Arial" w:cs="Arial" w:eastAsia="Arial" w:hAnsi="Arial"/>
                <w:sz w:val="18"/>
                <w:szCs w:val="18"/>
                <w:color w:val="auto"/>
              </w:rPr>
              <w:t>By:</w:t>
            </w:r>
          </w:p>
        </w:tc>
        <w:tc>
          <w:tcPr>
            <w:tcW w:w="4240" w:type="dxa"/>
            <w:vAlign w:val="bottom"/>
          </w:tcPr>
          <w:p>
            <w:pPr>
              <w:ind w:left="140"/>
              <w:spacing w:after="0"/>
              <w:rPr>
                <w:sz w:val="20"/>
                <w:szCs w:val="20"/>
                <w:color w:val="auto"/>
              </w:rPr>
            </w:pPr>
            <w:r>
              <w:rPr>
                <w:rFonts w:ascii="Arial" w:cs="Arial" w:eastAsia="Arial" w:hAnsi="Arial"/>
                <w:sz w:val="18"/>
                <w:szCs w:val="18"/>
                <w:color w:val="auto"/>
              </w:rPr>
              <w:t>/s/ David Obstler</w:t>
            </w:r>
          </w:p>
        </w:tc>
      </w:tr>
      <w:tr>
        <w:trPr>
          <w:trHeight w:val="218"/>
        </w:trPr>
        <w:tc>
          <w:tcPr>
            <w:tcW w:w="36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David Obstler</w:t>
            </w:r>
          </w:p>
        </w:tc>
      </w:tr>
      <w:tr>
        <w:trPr>
          <w:trHeight w:val="234"/>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424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230"/>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bl>
    <w:p>
      <w:pPr>
        <w:sectPr>
          <w:pgSz w:w="11900" w:h="16838" w:orient="portrait"/>
          <w:cols w:equalWidth="0" w:num="1">
            <w:col w:w="11240"/>
          </w:cols>
          <w:pgMar w:left="320" w:top="89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 Olivier Pomel, certify, pursuant to 18 U.S.C. Section 1350, as adopted pursuant to Section 906 of the Sarbanes-Oxley Act of 2002, that the Quarterly Report on Form 10-Q of Datadog, Inc. for the fiscal quarter ended March 31, 2021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7, 2021</w:t>
            </w:r>
          </w:p>
        </w:tc>
        <w:tc>
          <w:tcPr>
            <w:tcW w:w="3360" w:type="dxa"/>
            <w:vAlign w:val="bottom"/>
            <w:gridSpan w:val="2"/>
          </w:tcPr>
          <w:p>
            <w:pPr>
              <w:ind w:left="2240"/>
              <w:spacing w:after="0"/>
              <w:rPr>
                <w:sz w:val="20"/>
                <w:szCs w:val="20"/>
                <w:color w:val="auto"/>
              </w:rPr>
            </w:pPr>
            <w:r>
              <w:rPr>
                <w:rFonts w:ascii="Arial" w:cs="Arial" w:eastAsia="Arial" w:hAnsi="Arial"/>
                <w:sz w:val="18"/>
                <w:szCs w:val="18"/>
                <w:color w:val="auto"/>
              </w:rPr>
              <w:t>By:</w:t>
            </w:r>
          </w:p>
        </w:tc>
        <w:tc>
          <w:tcPr>
            <w:tcW w:w="4240" w:type="dxa"/>
            <w:vAlign w:val="bottom"/>
          </w:tcPr>
          <w:p>
            <w:pPr>
              <w:ind w:left="140"/>
              <w:spacing w:after="0"/>
              <w:rPr>
                <w:sz w:val="20"/>
                <w:szCs w:val="20"/>
                <w:color w:val="auto"/>
              </w:rPr>
            </w:pPr>
            <w:r>
              <w:rPr>
                <w:rFonts w:ascii="Arial" w:cs="Arial" w:eastAsia="Arial" w:hAnsi="Arial"/>
                <w:sz w:val="18"/>
                <w:szCs w:val="18"/>
                <w:color w:val="auto"/>
              </w:rPr>
              <w:t>/s/ Olivier Pomel</w:t>
            </w:r>
          </w:p>
        </w:tc>
      </w:tr>
      <w:tr>
        <w:trPr>
          <w:trHeight w:val="218"/>
        </w:trPr>
        <w:tc>
          <w:tcPr>
            <w:tcW w:w="36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Olivier Pomel</w:t>
            </w:r>
          </w:p>
        </w:tc>
      </w:tr>
      <w:tr>
        <w:trPr>
          <w:trHeight w:val="234"/>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4240" w:type="dxa"/>
            <w:vAlign w:val="bottom"/>
          </w:tcPr>
          <w:p>
            <w:pPr>
              <w:ind w:left="140"/>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31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89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 David Obstler, certify, pursuant to 18 U.S.C. Section 1350, as adopted pursuant to Section 906 of the Sarbanes-Oxley Act of 2002, that the Quarterly Report on Form 10-Q of Datadog, Inc. for the fiscal quarter ended March 31, 2021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7, 2021</w:t>
            </w:r>
          </w:p>
        </w:tc>
        <w:tc>
          <w:tcPr>
            <w:tcW w:w="3360" w:type="dxa"/>
            <w:vAlign w:val="bottom"/>
            <w:gridSpan w:val="2"/>
          </w:tcPr>
          <w:p>
            <w:pPr>
              <w:ind w:left="2240"/>
              <w:spacing w:after="0"/>
              <w:rPr>
                <w:sz w:val="20"/>
                <w:szCs w:val="20"/>
                <w:color w:val="auto"/>
              </w:rPr>
            </w:pPr>
            <w:r>
              <w:rPr>
                <w:rFonts w:ascii="Arial" w:cs="Arial" w:eastAsia="Arial" w:hAnsi="Arial"/>
                <w:sz w:val="18"/>
                <w:szCs w:val="18"/>
                <w:color w:val="auto"/>
              </w:rPr>
              <w:t>By:</w:t>
            </w:r>
          </w:p>
        </w:tc>
        <w:tc>
          <w:tcPr>
            <w:tcW w:w="4240" w:type="dxa"/>
            <w:vAlign w:val="bottom"/>
          </w:tcPr>
          <w:p>
            <w:pPr>
              <w:ind w:left="140"/>
              <w:spacing w:after="0"/>
              <w:rPr>
                <w:sz w:val="20"/>
                <w:szCs w:val="20"/>
                <w:color w:val="auto"/>
              </w:rPr>
            </w:pPr>
            <w:r>
              <w:rPr>
                <w:rFonts w:ascii="Arial" w:cs="Arial" w:eastAsia="Arial" w:hAnsi="Arial"/>
                <w:sz w:val="18"/>
                <w:szCs w:val="18"/>
                <w:color w:val="auto"/>
              </w:rPr>
              <w:t>/s/ David Obstler</w:t>
            </w:r>
          </w:p>
        </w:tc>
      </w:tr>
      <w:tr>
        <w:trPr>
          <w:trHeight w:val="218"/>
        </w:trPr>
        <w:tc>
          <w:tcPr>
            <w:tcW w:w="36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David Obstler</w:t>
            </w:r>
          </w:p>
        </w:tc>
      </w:tr>
      <w:tr>
        <w:trPr>
          <w:trHeight w:val="234"/>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424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230"/>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bl>
    <w:p>
      <w:pPr>
        <w:spacing w:after="0" w:line="28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1)"/>
      <w:numFmt w:val="decimal"/>
      <w:start w:val="125"/>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2"/>
    </w:lvl>
  </w:abstractNum>
  <w:abstractNum w:abstractNumId="10">
    <w:nsid w:val="2CA88611"/>
    <w:multiLevelType w:val="hybridMultilevel"/>
    <w:lvl w:ilvl="0">
      <w:lvlJc w:val="left"/>
      <w:lvlText w:val="(%1)"/>
      <w:numFmt w:val="decimal"/>
      <w:start w:val="3"/>
    </w:lvl>
  </w:abstractNum>
  <w:abstractNum w:abstractNumId="11">
    <w:nsid w:val="836C40E"/>
    <w:multiLevelType w:val="hybridMultilevel"/>
    <w:lvl w:ilvl="0">
      <w:lvlJc w:val="left"/>
      <w:lvlText w:val="(%1)"/>
      <w:numFmt w:val="decimal"/>
      <w:start w:val="4"/>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1)"/>
      <w:numFmt w:val="lowerLetter"/>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6"/>
    </w:lvl>
    <w:lvl w:ilvl="1">
      <w:lvlJc w:val="left"/>
      <w:lvlText w:val="(%2)"/>
      <w:numFmt w:val="lowerLetter"/>
      <w:start w:val="1"/>
    </w:lvl>
  </w:abstractNum>
  <w:abstractNum w:abstractNumId="33">
    <w:nsid w:val="51EAD36B"/>
    <w:multiLevelType w:val="hybridMultilevel"/>
    <w:lvl w:ilvl="0">
      <w:lvlJc w:val="left"/>
      <w:lvlText w:val="%1."/>
      <w:numFmt w:val="decimal"/>
      <w:start w:val="1"/>
    </w:lvl>
    <w:lvl w:ilvl="1">
      <w:lvlJc w:val="left"/>
      <w:lvlText w:val="•"/>
      <w:numFmt w:val="bullet"/>
      <w:start w:val="1"/>
    </w:lvl>
  </w:abstractNum>
  <w:abstractNum w:abstractNumId="34">
    <w:nsid w:val="2D517796"/>
    <w:multiLevelType w:val="hybridMultilevel"/>
    <w:lvl w:ilvl="0">
      <w:lvlJc w:val="left"/>
      <w:lvlText w:val="•"/>
      <w:numFmt w:val="bullet"/>
      <w:start w:val="1"/>
    </w:lvl>
    <w:lvl w:ilvl="1">
      <w:lvlJc w:val="left"/>
      <w:lvlText w:val="(%2)"/>
      <w:numFmt w:val="lowerRoman"/>
      <w:start w:val="2"/>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1."/>
      <w:numFmt w:val="decimal"/>
      <w:start w:val="5"/>
    </w:lvl>
    <w:lvl w:ilvl="1">
      <w:lvlJc w:val="left"/>
      <w:lvlText w:val="(%2)"/>
      <w:numFmt w:val="lowerLetter"/>
      <w:start w:val="1"/>
    </w:lvl>
  </w:abstractNum>
  <w:abstractNum w:abstractNumId="37">
    <w:nsid w:val="3855585C"/>
    <w:multiLevelType w:val="hybridMultilevel"/>
    <w:lvl w:ilvl="0">
      <w:lvlJc w:val="left"/>
      <w:lvlText w:val="%1."/>
      <w:numFmt w:val="decimal"/>
      <w:start w:val="1"/>
    </w:lvl>
    <w:lvl w:ilvl="1">
      <w:lvlJc w:val="left"/>
      <w:lvlText w:val="%2."/>
      <w:numFmt w:val="lowerLetter"/>
      <w:start w:val="1"/>
    </w:lvl>
  </w:abstractNum>
  <w:abstractNum w:abstractNumId="38">
    <w:nsid w:val="70A64E2A"/>
    <w:multiLevelType w:val="hybridMultilevel"/>
    <w:lvl w:ilvl="0">
      <w:lvlJc w:val="left"/>
      <w:lvlText w:val="%1"/>
      <w:numFmt w:val="decimal"/>
      <w:start w:val="1"/>
    </w:lvl>
    <w:lvl w:ilvl="1">
      <w:lvlJc w:val="left"/>
      <w:lvlText w:val="%2."/>
      <w:numFmt w:val="lowerLetter"/>
      <w:start w:val="3"/>
    </w:lvl>
  </w:abstractNum>
  <w:abstractNum w:abstractNumId="39">
    <w:nsid w:val="6A2342EC"/>
    <w:multiLevelType w:val="hybridMultilevel"/>
    <w:lvl w:ilvl="0">
      <w:lvlJc w:val="left"/>
      <w:lvlText w:val="%1."/>
      <w:numFmt w:val="decimal"/>
      <w:start w:val="2"/>
    </w:lvl>
    <w:lvl w:ilvl="1">
      <w:lvlJc w:val="left"/>
      <w:lvlText w:val="%2"/>
      <w:numFmt w:val="lowerLetter"/>
      <w:start w:val="1"/>
    </w:lvl>
  </w:abstractNum>
  <w:abstractNum w:abstractNumId="40">
    <w:nsid w:val="2A487CB0"/>
    <w:multiLevelType w:val="hybridMultilevel"/>
    <w:lvl w:ilvl="0">
      <w:lvlJc w:val="left"/>
      <w:lvlText w:val="%1."/>
      <w:numFmt w:val="decimal"/>
      <w:start w:val="5"/>
    </w:lvl>
    <w:lvl w:ilvl="1">
      <w:lvlJc w:val="left"/>
      <w:lvlText w:val="(%2)"/>
      <w:numFmt w:val="lowerLetter"/>
      <w:start w:val="1"/>
    </w:lvl>
  </w:abstractNum>
  <w:abstractNum w:abstractNumId="41">
    <w:nsid w:val="1D4ED43B"/>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42">
    <w:nsid w:val="725A06FB"/>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jpe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jpe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04" Type="http://schemas.openxmlformats.org/officeDocument/2006/relationships/hyperlink" Target="https://www.sec.gov/Archives/edgar/data/0001561550/000119312519252279/d803834dex31.htm" TargetMode="External"/><Relationship Id="rId105" Type="http://schemas.openxmlformats.org/officeDocument/2006/relationships/hyperlink" Target="https://www.sec.gov/Archives/edgar/data/0001561550/000119312519227783/d745413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2021-05-07T15:32:00Z</dcterms:created>
  <dcterms:modified xsi:type="dcterms:W3CDTF">2021-05-07T15:32:00Z</dcterms:modified>
</cp:coreProperties>
</file>