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0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Commission File Number: 001-39051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Datadog,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4344" w:type="dxa"/>
        <w:jc w:val="left"/>
        <w:tblInd w:w="0" w:type="dxa"/>
        <w:tblLayout w:type="fixed"/>
        <w:tblCellMar>
          <w:top w:w="28" w:type="dxa"/>
          <w:left w:w="28" w:type="dxa"/>
          <w:bottom w:w="28" w:type="dxa"/>
          <w:right w:w="28" w:type="dxa"/>
        </w:tblCellMar>
      </w:tblPr>
      <w:tblGrid>
        <w:gridCol w:w="452"/>
        <w:gridCol w:w="398"/>
        <w:gridCol w:w="398"/>
        <w:gridCol w:w="398"/>
        <w:gridCol w:w="398"/>
        <w:gridCol w:w="418"/>
        <w:gridCol w:w="113"/>
        <w:gridCol w:w="113"/>
        <w:gridCol w:w="113"/>
        <w:gridCol w:w="450"/>
        <w:gridCol w:w="450"/>
        <w:gridCol w:w="643"/>
      </w:tblGrid>
      <w:tr>
        <w:trPr/>
        <w:tc>
          <w:tcPr>
            <w:tcW w:w="4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46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27-2825503</w:t>
            </w:r>
          </w:p>
        </w:tc>
      </w:tr>
      <w:tr>
        <w:trPr/>
        <w:tc>
          <w:tcPr>
            <w:tcW w:w="24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344"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620 8th Avenue, 45th Floor</w:t>
            </w:r>
          </w:p>
        </w:tc>
      </w:tr>
      <w:tr>
        <w:trPr/>
        <w:tc>
          <w:tcPr>
            <w:tcW w:w="4344"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10018</w:t>
            </w:r>
          </w:p>
        </w:tc>
      </w:tr>
      <w:tr>
        <w:trPr/>
        <w:tc>
          <w:tcPr>
            <w:tcW w:w="4344"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(866) 329-4466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74" w:type="dxa"/>
        <w:jc w:val="left"/>
        <w:tblInd w:w="0" w:type="dxa"/>
        <w:tblLayout w:type="fixed"/>
        <w:tblCellMar>
          <w:top w:w="28" w:type="dxa"/>
          <w:left w:w="28" w:type="dxa"/>
          <w:bottom w:w="28" w:type="dxa"/>
          <w:right w:w="28" w:type="dxa"/>
        </w:tblCellMar>
      </w:tblPr>
      <w:tblGrid>
        <w:gridCol w:w="1386"/>
        <w:gridCol w:w="1211"/>
        <w:gridCol w:w="1228"/>
        <w:gridCol w:w="474"/>
        <w:gridCol w:w="474"/>
        <w:gridCol w:w="476"/>
        <w:gridCol w:w="945"/>
        <w:gridCol w:w="945"/>
        <w:gridCol w:w="1335"/>
      </w:tblGrid>
      <w:tr>
        <w:trPr/>
        <w:tc>
          <w:tcPr>
            <w:tcW w:w="138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825"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24"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DDOG</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2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42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322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1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19"/>
        <w:gridCol w:w="719"/>
        <w:gridCol w:w="72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0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there were 334,904,614 shares of the registrant’s Class A common stock and 24,170,410 shares of the registrant’s Class B common stock, each with a par value of $0.00001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9"/>
        <w:gridCol w:w="262"/>
        <w:gridCol w:w="264"/>
        <w:gridCol w:w="2953"/>
        <w:gridCol w:w="2953"/>
        <w:gridCol w:w="2960"/>
        <w:gridCol w:w="149"/>
        <w:gridCol w:w="149"/>
        <w:gridCol w:w="216"/>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
              <w:r>
                <w:rPr>
                  <w:rStyle w:val="InternetLink"/>
                  <w:rFonts w:ascii="Times New Roman;serif" w:hAnsi="Times New Roman;serif"/>
                  <w:b/>
                  <w:strike w:val="false"/>
                  <w:dstrike w:val="false"/>
                  <w:color w:val="000000"/>
                  <w:sz w:val="20"/>
                  <w:u w:val="none"/>
                  <w:effect w:val="none"/>
                </w:rPr>
                <w:t>PART I.</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
              <w:r>
                <w:rPr>
                  <w:rStyle w:val="InternetLink"/>
                  <w:rFonts w:ascii="Times New Roman;serif" w:hAnsi="Times New Roman;serif"/>
                  <w:b w:val="false"/>
                  <w:color w:val="0000FF"/>
                  <w:sz w:val="20"/>
                  <w:u w:val="single"/>
                </w:rPr>
                <w:t>FINANCIAL INFORMATION</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d210a01a4c1a4bd6b2d0f7bacecebd48_13">
              <w:r>
                <w:rPr>
                  <w:rStyle w:val="InternetLink"/>
                  <w:rFonts w:ascii="Times New Roman;serif" w:hAnsi="Times New Roman;serif"/>
                  <w:b w:val="false"/>
                  <w:strike w:val="false"/>
                  <w:dstrike w:val="false"/>
                  <w:color w:val="000000"/>
                  <w:sz w:val="20"/>
                  <w:u w:val="none"/>
                  <w:effect w:val="non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6">
              <w:r>
                <w:rPr>
                  <w:rStyle w:val="InternetLink"/>
                  <w:rFonts w:ascii="Times New Roman;serif" w:hAnsi="Times New Roman;serif"/>
                  <w:b w:val="false"/>
                  <w:strike w:val="false"/>
                  <w:dstrike w:val="false"/>
                  <w:color w:val="000000"/>
                  <w:sz w:val="20"/>
                  <w:u w:val="none"/>
                  <w:effect w:val="none"/>
                </w:rPr>
                <w:t>Item 1.</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6">
              <w:r>
                <w:rPr>
                  <w:rStyle w:val="InternetLink"/>
                  <w:rFonts w:ascii="Times New Roman;serif" w:hAnsi="Times New Roman;serif"/>
                  <w:b w:val="false"/>
                  <w:strike w:val="false"/>
                  <w:dstrike w:val="false"/>
                  <w:color w:val="000000"/>
                  <w:sz w:val="20"/>
                  <w:u w:val="none"/>
                  <w:effect w:val="none"/>
                </w:rPr>
                <w:t>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9">
              <w:r>
                <w:rPr>
                  <w:rStyle w:val="InternetLink"/>
                  <w:rFonts w:ascii="Times New Roman;serif" w:hAnsi="Times New Roman;serif"/>
                  <w:b w:val="false"/>
                  <w:color w:val="000080"/>
                  <w:sz w:val="20"/>
                  <w:u w:val="single"/>
                </w:rPr>
                <w:t xml:space="preserve">Condensed Consolidated Balance Sheets as of </w:t>
              </w:r>
            </w:hyperlink>
            <w:hyperlink w:anchor="id210a01a4c1a4bd6b2d0f7bacecebd48_19">
              <w:r>
                <w:rPr>
                  <w:rStyle w:val="InternetLink"/>
                  <w:rFonts w:ascii="Times New Roman;serif" w:hAnsi="Times New Roman;serif"/>
                  <w:b w:val="false"/>
                  <w:color w:val="000080"/>
                  <w:sz w:val="20"/>
                  <w:u w:val="single"/>
                </w:rPr>
                <w:t xml:space="preserve">June </w:t>
              </w:r>
            </w:hyperlink>
            <w:hyperlink w:anchor="id210a01a4c1a4bd6b2d0f7bacecebd48_19">
              <w:r>
                <w:rPr>
                  <w:rStyle w:val="InternetLink"/>
                  <w:rFonts w:ascii="Times New Roman;serif" w:hAnsi="Times New Roman;serif"/>
                  <w:b w:val="false"/>
                  <w:color w:val="000080"/>
                  <w:sz w:val="20"/>
                  <w:u w:val="single"/>
                </w:rPr>
                <w:t>30</w:t>
              </w:r>
            </w:hyperlink>
            <w:hyperlink w:anchor="id210a01a4c1a4bd6b2d0f7bacecebd48_19">
              <w:r>
                <w:rPr>
                  <w:rStyle w:val="InternetLink"/>
                  <w:rFonts w:ascii="Times New Roman;serif" w:hAnsi="Times New Roman;serif"/>
                  <w:b w:val="false"/>
                  <w:color w:val="000080"/>
                  <w:sz w:val="20"/>
                  <w:u w:val="single"/>
                </w:rPr>
                <w:t>, 2026 and December 31,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9">
              <w:r>
                <w:rPr>
                  <w:rStyle w:val="InternetLink"/>
                  <w:rFonts w:ascii="Times New Roman;serif" w:hAnsi="Times New Roman;serif"/>
                  <w:b w:val="false"/>
                  <w:strike w:val="false"/>
                  <w:dstrike w:val="false"/>
                  <w:color w:val="000000"/>
                  <w:sz w:val="20"/>
                  <w:u w:val="none"/>
                  <w:effect w:val="none"/>
                </w:rPr>
                <w:t>3</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22">
              <w:r>
                <w:rPr>
                  <w:rStyle w:val="InternetLink"/>
                  <w:rFonts w:ascii="Times New Roman;serif" w:hAnsi="Times New Roman;serif"/>
                  <w:b w:val="false"/>
                  <w:color w:val="0000FF"/>
                  <w:sz w:val="20"/>
                  <w:u w:val="single"/>
                </w:rPr>
                <w:t>Condensed Consolidated Statements of Operations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22">
              <w:r>
                <w:rPr>
                  <w:rStyle w:val="InternetLink"/>
                  <w:rFonts w:ascii="Times New Roman;serif" w:hAnsi="Times New Roman;serif"/>
                  <w:b w:val="false"/>
                  <w:strike w:val="false"/>
                  <w:dstrike w:val="false"/>
                  <w:color w:val="000000"/>
                  <w:sz w:val="20"/>
                  <w:u w:val="none"/>
                  <w:effect w:val="none"/>
                </w:rPr>
                <w:t>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10a01a4c1a4bd6b2d0f7bacecebd48_25">
              <w:r>
                <w:rPr>
                  <w:rStyle w:val="InternetLink"/>
                  <w:rFonts w:ascii="Times New Roman;serif" w:hAnsi="Times New Roman;serif"/>
                  <w:b w:val="false"/>
                  <w:color w:val="0000FF"/>
                  <w:sz w:val="20"/>
                  <w:u w:val="single"/>
                </w:rPr>
                <w:t>Condensed Consolidated Statements of Comprehensive Income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25">
              <w:r>
                <w:rPr>
                  <w:rStyle w:val="InternetLink"/>
                  <w:rFonts w:ascii="Times New Roman;serif" w:hAnsi="Times New Roman;serif"/>
                  <w:b w:val="false"/>
                  <w:strike w:val="false"/>
                  <w:dstrike w:val="false"/>
                  <w:color w:val="000000"/>
                  <w:sz w:val="20"/>
                  <w:u w:val="none"/>
                  <w:effect w:val="none"/>
                </w:rPr>
                <w:t>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28">
              <w:r>
                <w:rPr>
                  <w:rStyle w:val="InternetLink"/>
                  <w:rFonts w:ascii="Times New Roman;serif" w:hAnsi="Times New Roman;serif"/>
                  <w:b w:val="false"/>
                  <w:color w:val="0000FF"/>
                  <w:sz w:val="20"/>
                  <w:u w:val="single"/>
                </w:rPr>
                <w:t>Condensed Consolidated Statements of Stockholders’ Equity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28">
              <w:r>
                <w:rPr>
                  <w:rStyle w:val="InternetLink"/>
                  <w:rFonts w:ascii="Times New Roman;serif" w:hAnsi="Times New Roman;serif"/>
                  <w:b w:val="false"/>
                  <w:strike w:val="false"/>
                  <w:dstrike w:val="false"/>
                  <w:color w:val="000000"/>
                  <w:sz w:val="20"/>
                  <w:u w:val="none"/>
                  <w:effect w:val="none"/>
                </w:rPr>
                <w:t>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34">
              <w:r>
                <w:rPr>
                  <w:rStyle w:val="InternetLink"/>
                  <w:rFonts w:ascii="Times New Roman;serif" w:hAnsi="Times New Roman;serif"/>
                  <w:b w:val="false"/>
                  <w:color w:val="0000FF"/>
                  <w:sz w:val="20"/>
                  <w:u w:val="single"/>
                </w:rPr>
                <w:t>Condensed Consolidated Statements of Cash Flows for the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34">
              <w:r>
                <w:rPr>
                  <w:rStyle w:val="InternetLink"/>
                  <w:rFonts w:ascii="Times New Roman;serif" w:hAnsi="Times New Roman;serif"/>
                  <w:b w:val="false"/>
                  <w:strike w:val="false"/>
                  <w:dstrike w:val="false"/>
                  <w:color w:val="000000"/>
                  <w:sz w:val="20"/>
                  <w:u w:val="none"/>
                  <w:effect w:val="none"/>
                </w:rPr>
                <w:t>8</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37">
              <w:r>
                <w:rPr>
                  <w:rStyle w:val="InternetLink"/>
                  <w:rFonts w:ascii="Times New Roman;serif" w:hAnsi="Times New Roman;serif"/>
                  <w:b w:val="false"/>
                  <w:color w:val="0000FF"/>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37">
              <w:r>
                <w:rPr>
                  <w:rStyle w:val="InternetLink"/>
                  <w:rFonts w:ascii="Times New Roman;serif" w:hAnsi="Times New Roman;serif"/>
                  <w:b w:val="false"/>
                  <w:strike w:val="false"/>
                  <w:dstrike w:val="false"/>
                  <w:color w:val="000000"/>
                  <w:sz w:val="20"/>
                  <w:u w:val="none"/>
                  <w:effect w:val="none"/>
                </w:rPr>
                <w:t>9</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94">
              <w:r>
                <w:rPr>
                  <w:rStyle w:val="InternetLink"/>
                  <w:rFonts w:ascii="Times New Roman;serif" w:hAnsi="Times New Roman;serif"/>
                  <w:b w:val="false"/>
                  <w:strike w:val="false"/>
                  <w:dstrike w:val="false"/>
                  <w:color w:val="000000"/>
                  <w:sz w:val="20"/>
                  <w:u w:val="none"/>
                  <w:effect w:val="none"/>
                </w:rPr>
                <w:t>Item 2.</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94">
              <w:r>
                <w:rPr>
                  <w:rStyle w:val="InternetLink"/>
                  <w:rFonts w:ascii="Times New Roman;serif" w:hAnsi="Times New Roman;serif"/>
                  <w:b w:val="false"/>
                  <w:strike w:val="false"/>
                  <w:dstrike w:val="false"/>
                  <w:color w:val="000000"/>
                  <w:sz w:val="20"/>
                  <w:u w:val="none"/>
                  <w:effect w:val="none"/>
                </w:rPr>
                <w:t>26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27">
              <w:r>
                <w:rPr>
                  <w:rStyle w:val="InternetLink"/>
                  <w:rFonts w:ascii="Times New Roman;serif" w:hAnsi="Times New Roman;serif"/>
                  <w:b w:val="false"/>
                  <w:strike w:val="false"/>
                  <w:dstrike w:val="false"/>
                  <w:color w:val="000000"/>
                  <w:sz w:val="20"/>
                  <w:u w:val="none"/>
                  <w:effect w:val="none"/>
                </w:rPr>
                <w:t>Item 3.</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27">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27">
              <w:r>
                <w:rPr>
                  <w:rStyle w:val="InternetLink"/>
                  <w:rFonts w:ascii="Times New Roman;serif" w:hAnsi="Times New Roman;serif"/>
                  <w:b w:val="false"/>
                  <w:strike w:val="false"/>
                  <w:dstrike w:val="false"/>
                  <w:color w:val="000000"/>
                  <w:sz w:val="20"/>
                  <w:u w:val="none"/>
                  <w:effect w:val="none"/>
                </w:rPr>
                <w:t>36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0">
              <w:r>
                <w:rPr>
                  <w:rStyle w:val="InternetLink"/>
                  <w:rFonts w:ascii="Times New Roman;serif" w:hAnsi="Times New Roman;serif"/>
                  <w:b w:val="false"/>
                  <w:strike w:val="false"/>
                  <w:dstrike w:val="false"/>
                  <w:color w:val="000000"/>
                  <w:sz w:val="20"/>
                  <w:u w:val="none"/>
                  <w:effect w:val="none"/>
                </w:rPr>
                <w:t>Item 4.</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0">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30">
              <w:r>
                <w:rPr>
                  <w:rStyle w:val="InternetLink"/>
                  <w:rFonts w:ascii="Times New Roman;serif" w:hAnsi="Times New Roman;serif"/>
                  <w:b w:val="false"/>
                  <w:strike w:val="false"/>
                  <w:dstrike w:val="false"/>
                  <w:color w:val="000000"/>
                  <w:sz w:val="20"/>
                  <w:u w:val="none"/>
                  <w:effect w:val="none"/>
                </w:rPr>
                <w:t>37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3">
              <w:r>
                <w:rPr>
                  <w:rStyle w:val="InternetLink"/>
                  <w:rFonts w:ascii="Times New Roman;serif" w:hAnsi="Times New Roman;serif"/>
                  <w:b/>
                  <w:strike w:val="false"/>
                  <w:dstrike w:val="false"/>
                  <w:color w:val="000000"/>
                  <w:sz w:val="20"/>
                  <w:u w:val="none"/>
                  <w:effect w:val="none"/>
                </w:rPr>
                <w:t>PART II.</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3">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33">
              <w:r>
                <w:rPr>
                  <w:rStyle w:val="InternetLink"/>
                  <w:rFonts w:ascii="Times New Roman;serif" w:hAnsi="Times New Roman;serif"/>
                  <w:b w:val="false"/>
                  <w:strike w:val="false"/>
                  <w:dstrike w:val="false"/>
                  <w:color w:val="000000"/>
                  <w:sz w:val="20"/>
                  <w:u w:val="none"/>
                  <w:effect w:val="none"/>
                </w:rPr>
                <w:t>38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6">
              <w:r>
                <w:rPr>
                  <w:rStyle w:val="InternetLink"/>
                  <w:rFonts w:ascii="Times New Roman;serif" w:hAnsi="Times New Roman;serif"/>
                  <w:b w:val="false"/>
                  <w:strike w:val="false"/>
                  <w:dstrike w:val="false"/>
                  <w:color w:val="000000"/>
                  <w:sz w:val="20"/>
                  <w:u w:val="none"/>
                  <w:effect w:val="none"/>
                </w:rPr>
                <w:t>Item 1.</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6">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36">
              <w:r>
                <w:rPr>
                  <w:rStyle w:val="InternetLink"/>
                  <w:rFonts w:ascii="Times New Roman;serif" w:hAnsi="Times New Roman;serif"/>
                  <w:b w:val="false"/>
                  <w:strike w:val="false"/>
                  <w:dstrike w:val="false"/>
                  <w:color w:val="000000"/>
                  <w:sz w:val="20"/>
                  <w:u w:val="none"/>
                  <w:effect w:val="none"/>
                </w:rPr>
                <w:t>38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9">
              <w:r>
                <w:rPr>
                  <w:rStyle w:val="InternetLink"/>
                  <w:rFonts w:ascii="Times New Roman;serif" w:hAnsi="Times New Roman;serif"/>
                  <w:b w:val="false"/>
                  <w:strike w:val="false"/>
                  <w:dstrike w:val="false"/>
                  <w:color w:val="000000"/>
                  <w:sz w:val="20"/>
                  <w:u w:val="none"/>
                  <w:effect w:val="none"/>
                </w:rPr>
                <w:t>Item 1A.</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39">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39">
              <w:r>
                <w:rPr>
                  <w:rStyle w:val="InternetLink"/>
                  <w:rFonts w:ascii="Times New Roman;serif" w:hAnsi="Times New Roman;serif"/>
                  <w:b w:val="false"/>
                  <w:strike w:val="false"/>
                  <w:dstrike w:val="false"/>
                  <w:color w:val="000000"/>
                  <w:sz w:val="20"/>
                  <w:u w:val="none"/>
                  <w:effect w:val="none"/>
                </w:rPr>
                <w:t>38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42">
              <w:r>
                <w:rPr>
                  <w:rStyle w:val="InternetLink"/>
                  <w:rFonts w:ascii="Times New Roman;serif" w:hAnsi="Times New Roman;serif"/>
                  <w:b w:val="false"/>
                  <w:strike w:val="false"/>
                  <w:dstrike w:val="false"/>
                  <w:color w:val="000000"/>
                  <w:sz w:val="20"/>
                  <w:u w:val="none"/>
                  <w:effect w:val="none"/>
                </w:rPr>
                <w:t>Item 2.</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42">
              <w:r>
                <w:rPr>
                  <w:rStyle w:val="InternetLink"/>
                  <w:rFonts w:ascii="Times New Roman;serif" w:hAnsi="Times New Roman;serif"/>
                  <w:b w:val="false"/>
                  <w:color w:val="0000FF"/>
                  <w:sz w:val="20"/>
                  <w:u w:val="single"/>
                </w:rPr>
                <w:t>Unregistered Sales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42">
              <w:r>
                <w:rPr>
                  <w:rStyle w:val="InternetLink"/>
                  <w:rFonts w:ascii="Times New Roman;serif" w:hAnsi="Times New Roman;serif"/>
                  <w:b w:val="false"/>
                  <w:strike w:val="false"/>
                  <w:dstrike w:val="false"/>
                  <w:color w:val="000000"/>
                  <w:sz w:val="20"/>
                  <w:u w:val="none"/>
                  <w:effect w:val="none"/>
                </w:rPr>
                <w:t>65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45">
              <w:r>
                <w:rPr>
                  <w:rStyle w:val="InternetLink"/>
                  <w:rFonts w:ascii="Times New Roman;serif" w:hAnsi="Times New Roman;serif"/>
                  <w:b w:val="false"/>
                  <w:strike w:val="false"/>
                  <w:dstrike w:val="false"/>
                  <w:color w:val="000000"/>
                  <w:sz w:val="20"/>
                  <w:u w:val="none"/>
                  <w:effect w:val="none"/>
                </w:rPr>
                <w:t>Item 3.</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45">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45">
              <w:r>
                <w:rPr>
                  <w:rStyle w:val="InternetLink"/>
                  <w:rFonts w:ascii="Times New Roman;serif" w:hAnsi="Times New Roman;serif"/>
                  <w:b w:val="false"/>
                  <w:strike w:val="false"/>
                  <w:dstrike w:val="false"/>
                  <w:color w:val="000000"/>
                  <w:sz w:val="20"/>
                  <w:u w:val="none"/>
                  <w:effect w:val="none"/>
                </w:rPr>
                <w:t>66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48">
              <w:r>
                <w:rPr>
                  <w:rStyle w:val="InternetLink"/>
                  <w:rFonts w:ascii="Times New Roman;serif" w:hAnsi="Times New Roman;serif"/>
                  <w:b w:val="false"/>
                  <w:strike w:val="false"/>
                  <w:dstrike w:val="false"/>
                  <w:color w:val="000000"/>
                  <w:sz w:val="20"/>
                  <w:u w:val="none"/>
                  <w:effect w:val="none"/>
                </w:rPr>
                <w:t>Item 4.</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48">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48">
              <w:r>
                <w:rPr>
                  <w:rStyle w:val="InternetLink"/>
                  <w:rFonts w:ascii="Times New Roman;serif" w:hAnsi="Times New Roman;serif"/>
                  <w:b w:val="false"/>
                  <w:strike w:val="false"/>
                  <w:dstrike w:val="false"/>
                  <w:color w:val="000000"/>
                  <w:sz w:val="20"/>
                  <w:u w:val="none"/>
                  <w:effect w:val="none"/>
                </w:rPr>
                <w:t>66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51">
              <w:r>
                <w:rPr>
                  <w:rStyle w:val="InternetLink"/>
                  <w:rFonts w:ascii="Times New Roman;serif" w:hAnsi="Times New Roman;serif"/>
                  <w:b w:val="false"/>
                  <w:strike w:val="false"/>
                  <w:dstrike w:val="false"/>
                  <w:color w:val="000000"/>
                  <w:sz w:val="20"/>
                  <w:u w:val="none"/>
                  <w:effect w:val="none"/>
                </w:rPr>
                <w:t>Item 5.</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51">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51">
              <w:r>
                <w:rPr>
                  <w:rStyle w:val="InternetLink"/>
                  <w:rFonts w:ascii="Times New Roman;serif" w:hAnsi="Times New Roman;serif"/>
                  <w:b w:val="false"/>
                  <w:strike w:val="false"/>
                  <w:dstrike w:val="false"/>
                  <w:color w:val="000000"/>
                  <w:sz w:val="20"/>
                  <w:u w:val="none"/>
                  <w:effect w:val="none"/>
                </w:rPr>
                <w:t>66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57">
              <w:r>
                <w:rPr>
                  <w:rStyle w:val="InternetLink"/>
                  <w:rFonts w:ascii="Times New Roman;serif" w:hAnsi="Times New Roman;serif"/>
                  <w:b w:val="false"/>
                  <w:strike w:val="false"/>
                  <w:dstrike w:val="false"/>
                  <w:color w:val="000000"/>
                  <w:sz w:val="20"/>
                  <w:u w:val="none"/>
                  <w:effect w:val="none"/>
                </w:rPr>
                <w:t>Item 6.</w:t>
              </w:r>
            </w:hyperlink>
          </w:p>
        </w:tc>
        <w:tc>
          <w:tcPr>
            <w:tcW w:w="8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57">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57">
              <w:r>
                <w:rPr>
                  <w:rStyle w:val="InternetLink"/>
                  <w:rFonts w:ascii="Times New Roman;serif" w:hAnsi="Times New Roman;serif"/>
                  <w:b w:val="false"/>
                  <w:strike w:val="false"/>
                  <w:dstrike w:val="false"/>
                  <w:color w:val="000000"/>
                  <w:sz w:val="20"/>
                  <w:u w:val="none"/>
                  <w:effect w:val="none"/>
                </w:rPr>
                <w:t>67</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210a01a4c1a4bd6b2d0f7bacecebd48_160">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10a01a4c1a4bd6b2d0f7bacecebd48_160">
              <w:r>
                <w:rPr>
                  <w:rStyle w:val="InternetLink"/>
                  <w:rFonts w:ascii="Times New Roman;serif" w:hAnsi="Times New Roman;serif"/>
                  <w:b w:val="false"/>
                  <w:strike w:val="false"/>
                  <w:dstrike w:val="false"/>
                  <w:color w:val="000000"/>
                  <w:sz w:val="20"/>
                  <w:u w:val="none"/>
                  <w:effect w:val="none"/>
                </w:rPr>
                <w:t>68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expectations regarding our revenue, expenses and other operating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acquire new customers and successfully retain existing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increase usage of our platform and upsell and cross sell additional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sustain our profitability;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investments in our business, our anticipated capital expenditures and our estimates regarding our capital requirements;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and success of our sales and marketing efforts, and our ability to promote our brand;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reliance on key personnel and our ability to identify, recruit and retain skilled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effectively manage our growth, including any international expansion;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protect our intellectual property rights and any costs associated therewith;</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compete effectively with existing competitors and new market entrants;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growth rates of the markets in which we compete;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potential impact of general market, political, economic, and business conditions in our industry, or reductions in information technology spending,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DATADOG,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58"/>
        <w:gridCol w:w="2135"/>
        <w:gridCol w:w="2147"/>
        <w:gridCol w:w="211"/>
        <w:gridCol w:w="976"/>
        <w:gridCol w:w="109"/>
        <w:gridCol w:w="109"/>
        <w:gridCol w:w="109"/>
        <w:gridCol w:w="109"/>
        <w:gridCol w:w="211"/>
        <w:gridCol w:w="976"/>
        <w:gridCol w:w="155"/>
      </w:tblGrid>
      <w:tr>
        <w:trPr/>
        <w:tc>
          <w:tcPr>
            <w:tcW w:w="2958"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4,073,531 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$24,021 and $19,292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5,382,280 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7,547,675 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6,643,844 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1,591,401 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2,911,638 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$0.00001 par value per share; 2,000,000,000 shares authorized as of June 30, 2026 and December 31, 2025; 334,438,127 and 328,117,781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$0.00001 par value per share; 310,000,000 shares authorized as of June 30, 2026 and December 31, 2025; 24,518,658 and 24,408,190 shares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3,732,206 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7,547,675 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6,643,844 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DATADOG,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79"/>
        <w:gridCol w:w="1228"/>
        <w:gridCol w:w="1227"/>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56"/>
      </w:tblGrid>
      <w:tr>
        <w:trPr/>
        <w:tc>
          <w:tcPr>
            <w:tcW w:w="157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calculating basic net income per share:</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calculating diluted net income per share:</w:t>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DATADOG,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60"/>
        <w:gridCol w:w="1621"/>
        <w:gridCol w:w="1638"/>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86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cash flow hedges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DATADOG,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03"/>
        <w:gridCol w:w="595"/>
        <w:gridCol w:w="597"/>
        <w:gridCol w:w="525"/>
        <w:gridCol w:w="526"/>
        <w:gridCol w:w="171"/>
        <w:gridCol w:w="110"/>
        <w:gridCol w:w="110"/>
        <w:gridCol w:w="110"/>
        <w:gridCol w:w="210"/>
        <w:gridCol w:w="253"/>
        <w:gridCol w:w="110"/>
        <w:gridCol w:w="109"/>
        <w:gridCol w:w="109"/>
        <w:gridCol w:w="109"/>
        <w:gridCol w:w="196"/>
        <w:gridCol w:w="871"/>
        <w:gridCol w:w="109"/>
        <w:gridCol w:w="109"/>
        <w:gridCol w:w="109"/>
        <w:gridCol w:w="109"/>
        <w:gridCol w:w="290"/>
        <w:gridCol w:w="846"/>
        <w:gridCol w:w="162"/>
        <w:gridCol w:w="109"/>
        <w:gridCol w:w="109"/>
        <w:gridCol w:w="109"/>
        <w:gridCol w:w="202"/>
        <w:gridCol w:w="759"/>
        <w:gridCol w:w="112"/>
        <w:gridCol w:w="109"/>
        <w:gridCol w:w="109"/>
        <w:gridCol w:w="109"/>
        <w:gridCol w:w="212"/>
        <w:gridCol w:w="944"/>
        <w:gridCol w:w="174"/>
      </w:tblGrid>
      <w:tr>
        <w:trPr/>
        <w:tc>
          <w:tcPr>
            <w:tcW w:w="7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8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895"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355,845,568 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190,363 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3,988,222 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and performance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1,669,516 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of common stock from acquisitions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227,133 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358,956,785 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(6,764)</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4,367,160 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tbl>
      <w:tblPr>
        <w:tblW w:w="10205" w:type="dxa"/>
        <w:jc w:val="left"/>
        <w:tblInd w:w="0" w:type="dxa"/>
        <w:tblLayout w:type="fixed"/>
        <w:tblCellMar>
          <w:top w:w="28" w:type="dxa"/>
          <w:left w:w="28" w:type="dxa"/>
          <w:bottom w:w="28" w:type="dxa"/>
          <w:right w:w="28" w:type="dxa"/>
        </w:tblCellMar>
      </w:tblPr>
      <w:tblGrid>
        <w:gridCol w:w="737"/>
        <w:gridCol w:w="625"/>
        <w:gridCol w:w="627"/>
        <w:gridCol w:w="525"/>
        <w:gridCol w:w="526"/>
        <w:gridCol w:w="171"/>
        <w:gridCol w:w="110"/>
        <w:gridCol w:w="110"/>
        <w:gridCol w:w="110"/>
        <w:gridCol w:w="210"/>
        <w:gridCol w:w="253"/>
        <w:gridCol w:w="110"/>
        <w:gridCol w:w="109"/>
        <w:gridCol w:w="109"/>
        <w:gridCol w:w="109"/>
        <w:gridCol w:w="196"/>
        <w:gridCol w:w="871"/>
        <w:gridCol w:w="109"/>
        <w:gridCol w:w="109"/>
        <w:gridCol w:w="109"/>
        <w:gridCol w:w="109"/>
        <w:gridCol w:w="294"/>
        <w:gridCol w:w="835"/>
        <w:gridCol w:w="164"/>
        <w:gridCol w:w="109"/>
        <w:gridCol w:w="109"/>
        <w:gridCol w:w="109"/>
        <w:gridCol w:w="205"/>
        <w:gridCol w:w="676"/>
        <w:gridCol w:w="114"/>
        <w:gridCol w:w="109"/>
        <w:gridCol w:w="109"/>
        <w:gridCol w:w="109"/>
        <w:gridCol w:w="210"/>
        <w:gridCol w:w="936"/>
        <w:gridCol w:w="173"/>
      </w:tblGrid>
      <w:tr>
        <w:trPr/>
        <w:tc>
          <w:tcPr>
            <w:tcW w:w="7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9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344,910,809 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2,916,674 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1,395,407 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and performance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1,250,165 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of common stock from acquisitions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186,419 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common stock in connection with the 2025 Convertible Senior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348,608,581 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3,130,130 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57,337 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3,195,757 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pStyle w:val="TextBody"/>
        <w:bidi w:val="0"/>
        <w:spacing w:before="140" w:after="283"/>
        <w:jc w:val="left"/>
        <w:rPr/>
      </w:pPr>
      <w:r>
        <w:rPr/>
      </w:r>
    </w:p>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81"/>
        <w:gridCol w:w="576"/>
        <w:gridCol w:w="578"/>
        <w:gridCol w:w="525"/>
        <w:gridCol w:w="526"/>
        <w:gridCol w:w="171"/>
        <w:gridCol w:w="110"/>
        <w:gridCol w:w="110"/>
        <w:gridCol w:w="110"/>
        <w:gridCol w:w="210"/>
        <w:gridCol w:w="253"/>
        <w:gridCol w:w="110"/>
        <w:gridCol w:w="109"/>
        <w:gridCol w:w="109"/>
        <w:gridCol w:w="109"/>
        <w:gridCol w:w="196"/>
        <w:gridCol w:w="871"/>
        <w:gridCol w:w="109"/>
        <w:gridCol w:w="109"/>
        <w:gridCol w:w="109"/>
        <w:gridCol w:w="109"/>
        <w:gridCol w:w="282"/>
        <w:gridCol w:w="931"/>
        <w:gridCol w:w="158"/>
        <w:gridCol w:w="109"/>
        <w:gridCol w:w="109"/>
        <w:gridCol w:w="109"/>
        <w:gridCol w:w="201"/>
        <w:gridCol w:w="757"/>
        <w:gridCol w:w="112"/>
        <w:gridCol w:w="109"/>
        <w:gridCol w:w="109"/>
        <w:gridCol w:w="109"/>
        <w:gridCol w:w="211"/>
        <w:gridCol w:w="938"/>
        <w:gridCol w:w="171"/>
      </w:tblGrid>
      <w:tr>
        <w:trPr/>
        <w:tc>
          <w:tcPr>
            <w:tcW w:w="6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Class A and 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352,525,971 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3,732,206 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1,864,259 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and performance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3,560,961 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of common stock for acquisitions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75,327 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39,067 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433,164 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358,956,785 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234,921 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4,367,160 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tbl>
      <w:tblPr>
        <w:tblW w:w="10205" w:type="dxa"/>
        <w:jc w:val="left"/>
        <w:tblInd w:w="0" w:type="dxa"/>
        <w:tblLayout w:type="fixed"/>
        <w:tblCellMar>
          <w:top w:w="28" w:type="dxa"/>
          <w:left w:w="28" w:type="dxa"/>
          <w:bottom w:w="28" w:type="dxa"/>
          <w:right w:w="28" w:type="dxa"/>
        </w:tblCellMar>
      </w:tblPr>
      <w:tblGrid>
        <w:gridCol w:w="649"/>
        <w:gridCol w:w="547"/>
        <w:gridCol w:w="548"/>
        <w:gridCol w:w="109"/>
        <w:gridCol w:w="109"/>
        <w:gridCol w:w="109"/>
        <w:gridCol w:w="525"/>
        <w:gridCol w:w="526"/>
        <w:gridCol w:w="171"/>
        <w:gridCol w:w="109"/>
        <w:gridCol w:w="109"/>
        <w:gridCol w:w="109"/>
        <w:gridCol w:w="210"/>
        <w:gridCol w:w="252"/>
        <w:gridCol w:w="109"/>
        <w:gridCol w:w="109"/>
        <w:gridCol w:w="109"/>
        <w:gridCol w:w="109"/>
        <w:gridCol w:w="196"/>
        <w:gridCol w:w="871"/>
        <w:gridCol w:w="109"/>
        <w:gridCol w:w="109"/>
        <w:gridCol w:w="109"/>
        <w:gridCol w:w="109"/>
        <w:gridCol w:w="280"/>
        <w:gridCol w:w="819"/>
        <w:gridCol w:w="157"/>
        <w:gridCol w:w="109"/>
        <w:gridCol w:w="109"/>
        <w:gridCol w:w="109"/>
        <w:gridCol w:w="202"/>
        <w:gridCol w:w="666"/>
        <w:gridCol w:w="112"/>
        <w:gridCol w:w="109"/>
        <w:gridCol w:w="109"/>
        <w:gridCol w:w="109"/>
        <w:gridCol w:w="206"/>
        <w:gridCol w:w="916"/>
        <w:gridCol w:w="172"/>
      </w:tblGrid>
      <w:tr>
        <w:trPr/>
        <w:tc>
          <w:tcPr>
            <w:tcW w:w="64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4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17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342,118,782 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2,714,363 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and performance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2,726,059 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356,346 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common stock in connection with the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348,608,581 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3,130,130 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57,337 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3,195,757 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DATADOG,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30" w:type="dxa"/>
        <w:jc w:val="left"/>
        <w:tblInd w:w="0" w:type="dxa"/>
        <w:tblLayout w:type="fixed"/>
        <w:tblCellMar>
          <w:top w:w="28" w:type="dxa"/>
          <w:left w:w="28" w:type="dxa"/>
          <w:bottom w:w="28" w:type="dxa"/>
          <w:right w:w="28" w:type="dxa"/>
        </w:tblCellMar>
      </w:tblPr>
      <w:tblGrid>
        <w:gridCol w:w="2614"/>
        <w:gridCol w:w="2294"/>
        <w:gridCol w:w="2306"/>
        <w:gridCol w:w="198"/>
        <w:gridCol w:w="747"/>
        <w:gridCol w:w="109"/>
        <w:gridCol w:w="109"/>
        <w:gridCol w:w="109"/>
        <w:gridCol w:w="109"/>
        <w:gridCol w:w="198"/>
        <w:gridCol w:w="747"/>
        <w:gridCol w:w="109"/>
        <w:gridCol w:w="109"/>
        <w:gridCol w:w="109"/>
        <w:gridCol w:w="109"/>
        <w:gridCol w:w="154"/>
      </w:tblGrid>
      <w:tr>
        <w:trPr/>
        <w:tc>
          <w:tcPr>
            <w:tcW w:w="261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discounts on marketable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issuance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 of amounts capitalized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accounts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(2,437,460)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marketable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 of businesses; net of cash acquired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the employee stock purchase plan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2029 Convertible Senior Notes, net of issuance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2025 Convertible Senior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(635,547)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EQUIVALENTS—Beginning of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EQUIVALENTS—End of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property and equipment purchases</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shares of common stock for the acquisition of businesses</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holdback</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DATADOG,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Datadog, Inc. (“Datadog” or the “Company”) was incorporated in the State of Delaware on June 4, 2010. On April 21, 2026, the Company completed its conversion from a corporation organized under the laws of the State of Delaware to a corporation organized under the laws of the State of Nevada.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Company is the AI-powered observability and security platform for cloud applications. </w:t>
      </w:r>
      <w:r>
        <w:rPr>
          <w:rFonts w:ascii="Times New Roman;serif" w:hAnsi="Times New Roman;serif"/>
          <w:b w:val="false"/>
          <w:color w:val="231F20"/>
          <w:sz w:val="20"/>
        </w:rPr>
        <w:t>The Company’s SaaS platform integrates and automates infrastructure monitoring, application performance monitoring, log management, user experience monitoring, cloud security, service management, and many other capabilities to provide unified, real-time observability and security of its customers’ entire technology stack.</w:t>
      </w:r>
      <w:r>
        <w:rPr>
          <w:color w:val="000000"/>
        </w:rPr>
        <w:t xml:space="preserve"> </w:t>
      </w:r>
      <w:r>
        <w:rPr>
          <w:rFonts w:ascii="Times New Roman;serif" w:hAnsi="Times New Roman;serif"/>
          <w:b w:val="false"/>
          <w:color w:val="000000"/>
          <w:sz w:val="20"/>
        </w:rPr>
        <w:t>The Company is headquartered in New York City and has various other global office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Unaudited Interim Condensed Consolidated Financial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2026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2025, as filed with the SEC on February 18, 2026 (the “Annual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accounting principles generally accepted in the United States of America ("GAAP").</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Datadog, Inc. and its wholly-owned subsidiaries. All intercompany transactions and balances have been eliminated in consolidation.</w:t>
      </w:r>
    </w:p>
    <w:p>
      <w:pPr>
        <w:pStyle w:val="TextBody"/>
        <w:bidi w:val="0"/>
        <w:spacing w:lineRule="auto" w:line="261"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utilizes foreign currency forward contracts to reduce the volatility in cash flows associated with forecasted operating expenses denominated in currencies other than the U.S. dollar. These foreign currency forward contracts are designated as cash flow hedges. The Company does not enter into derivative instruments for trading or speculative purposes. Changes in the fair value of these instruments are recorded in accumulated other comprehensive income (loss) and are subsequently reclassified into earnings in the same period in which the underlying hedged transactions affect earnings, generally within operating expenses. In the event the underlying forecasted transactions do not occur, or it becomes probable that they will not occur within the designated hedge period, the related gains or losses are reclassified into earnings. The Company formally designates and documents hedging relationships at inception and assesses hedge effectiveness at inception and on a quarterly basis thereafter. Cash flows at settlement of such foreign currency forward contracts are classified in the same category as the cash flows from the underlying hedged forecasted transactions.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Accounting Pronouncements Recently Adopted</w:t>
      </w:r>
    </w:p>
    <w:p>
      <w:pPr>
        <w:pStyle w:val="TextBody"/>
        <w:bidi w:val="0"/>
        <w:spacing w:lineRule="auto" w:line="288" w:before="240" w:after="283"/>
        <w:ind w:left="0" w:right="0" w:firstLine="720"/>
        <w:jc w:val="both"/>
        <w:rPr/>
      </w:pPr>
      <w:r>
        <w:rPr>
          <w:rFonts w:ascii="Times New Roman;serif" w:hAnsi="Times New Roman;serif"/>
          <w:b w:val="false"/>
          <w:color w:val="231F20"/>
          <w:sz w:val="20"/>
        </w:rPr>
        <w:t xml:space="preserve">In July 2025, the FASB issued ASU No. 2025-05, </w:t>
      </w:r>
      <w:r>
        <w:rPr>
          <w:rFonts w:ascii="Times New Roman;serif" w:hAnsi="Times New Roman;serif"/>
          <w:b w:val="false"/>
          <w:i/>
          <w:color w:val="231F20"/>
          <w:sz w:val="20"/>
        </w:rPr>
        <w:t>Financial Instruments-Credit Losses (Topic 326): Measurement of Credit Losses for Accounts Receivable and Contract Assets (</w:t>
      </w:r>
      <w:r>
        <w:rPr>
          <w:rFonts w:ascii="Times New Roman;serif" w:hAnsi="Times New Roman;serif"/>
          <w:b w:val="false"/>
          <w:color w:val="231F20"/>
          <w:sz w:val="20"/>
        </w:rPr>
        <w:t>"ASU No. 2025-05"</w:t>
      </w:r>
      <w:r>
        <w:rPr>
          <w:rFonts w:ascii="Times New Roman;serif" w:hAnsi="Times New Roman;serif"/>
          <w:b w:val="false"/>
          <w:i/>
          <w:color w:val="231F20"/>
          <w:sz w:val="20"/>
        </w:rPr>
        <w:t>)</w:t>
      </w:r>
      <w:r>
        <w:rPr>
          <w:rFonts w:ascii="Times New Roman;serif" w:hAnsi="Times New Roman;serif"/>
          <w:b w:val="false"/>
          <w:color w:val="231F20"/>
          <w:sz w:val="20"/>
        </w:rPr>
        <w:t>, which provides a practical expedient related to the estimation of expected credit losses for current accounts receivable and current contract assets that arise from transactions accounted for under ASC 606. The practical expedient permits an entity to assume that current conditions as of the balance sheet date do not change for the remaining life of the asset. This guidance is effective for annual periods, including interim reporting periods, beginning after December 15, 2025, on a prospective basis, with early adoption permitted. The Company adopted this standard on a prospective basis for interim and annual periods beginning January 1, 2026. The adoption of this guidance did not have a material impact on the consolidated financial statements.</w:t>
      </w:r>
    </w:p>
    <w:p>
      <w:pPr>
        <w:pStyle w:val="TextBody"/>
        <w:bidi w:val="0"/>
        <w:spacing w:lineRule="auto" w:line="288" w:before="240" w:after="283"/>
        <w:jc w:val="both"/>
        <w:rPr>
          <w:rFonts w:ascii="Times New Roman;serif" w:hAnsi="Times New Roman;serif"/>
          <w:b/>
          <w:i/>
          <w:color w:val="231F20"/>
          <w:sz w:val="20"/>
        </w:rPr>
      </w:pPr>
      <w:r>
        <w:rPr>
          <w:rFonts w:ascii="Times New Roman;serif" w:hAnsi="Times New Roman;serif"/>
          <w:b/>
          <w:i/>
          <w:color w:val="231F20"/>
          <w:sz w:val="20"/>
        </w:rPr>
        <w:t>Accounting Pronouncements Not Yet Adopted</w:t>
      </w:r>
    </w:p>
    <w:p>
      <w:pPr>
        <w:pStyle w:val="TextBody"/>
        <w:bidi w:val="0"/>
        <w:spacing w:lineRule="auto" w:line="288" w:before="240" w:after="283"/>
        <w:ind w:left="0" w:right="0" w:firstLine="720"/>
        <w:jc w:val="both"/>
        <w:rPr/>
      </w:pPr>
      <w:r>
        <w:rPr>
          <w:rFonts w:ascii="Times New Roman;serif" w:hAnsi="Times New Roman;serif"/>
          <w:b w:val="false"/>
          <w:color w:val="231F20"/>
          <w:sz w:val="20"/>
        </w:rPr>
        <w:t xml:space="preserve">In November 2024, the FASB issued ASU No. 2024-03, </w:t>
      </w:r>
      <w:r>
        <w:rPr>
          <w:rFonts w:ascii="Times New Roman;serif" w:hAnsi="Times New Roman;serif"/>
          <w:b w:val="false"/>
          <w:i/>
          <w:color w:val="231F20"/>
          <w:sz w:val="20"/>
        </w:rPr>
        <w:t>Income Statement-Reporting Comprehensive Income-Expense Disaggregation Disclosures (Subtopic 220-40)</w:t>
      </w:r>
      <w:r>
        <w:rPr>
          <w:color w:val="231F20"/>
        </w:rPr>
        <w:t xml:space="preserve"> </w:t>
      </w:r>
      <w:r>
        <w:rPr>
          <w:rFonts w:ascii="Times New Roman;serif" w:hAnsi="Times New Roman;serif"/>
          <w:b w:val="false"/>
          <w:color w:val="231F20"/>
          <w:sz w:val="20"/>
        </w:rPr>
        <w:t>("ASU No. 2024-03"),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pStyle w:val="TextBody"/>
        <w:bidi w:val="0"/>
        <w:spacing w:lineRule="auto" w:line="288" w:before="240" w:after="283"/>
        <w:ind w:left="0" w:right="0" w:firstLine="720"/>
        <w:jc w:val="both"/>
        <w:rPr/>
      </w:pPr>
      <w:r>
        <w:rPr>
          <w:rFonts w:ascii="Times New Roman;serif" w:hAnsi="Times New Roman;serif"/>
          <w:b w:val="false"/>
          <w:color w:val="231F20"/>
          <w:sz w:val="20"/>
        </w:rPr>
        <w:t xml:space="preserve">In September 2025, the FASB issued ASU 2025-06, </w:t>
      </w:r>
      <w:r>
        <w:rPr>
          <w:rFonts w:ascii="Times New Roman;serif" w:hAnsi="Times New Roman;serif"/>
          <w:b w:val="false"/>
          <w:i/>
          <w:color w:val="231F20"/>
          <w:sz w:val="20"/>
        </w:rPr>
        <w:t>Intangibles—Goodwill and Other—Internal-Use Software (Subtopic 350-40): Targeted Improvements to the Accounting for Internal-Use Software</w:t>
      </w:r>
      <w:r>
        <w:rPr>
          <w:color w:val="231F20"/>
        </w:rPr>
        <w:t xml:space="preserve"> </w:t>
      </w:r>
      <w:r>
        <w:rPr>
          <w:rFonts w:ascii="Times New Roman;serif" w:hAnsi="Times New Roman;serif"/>
          <w:b w:val="false"/>
          <w:color w:val="231F20"/>
          <w:sz w:val="20"/>
        </w:rPr>
        <w:t xml:space="preserve">("ASU No. 2025-06"), to modernize the accounting for software costs that are accounted for under Subtopic 350-40. The ASU removes all references to software development stages and allows software development costs to be capitalized once management commits to funding the project and it is probable that the project will be completed and used as intended. The ASU also introduces the concept of "significant development uncertainty," which, if present, prevents capitalization. The guidance is effective for annual reporting periods, including interim reporting periods, beginning after December 15, 2027. The guidance may be applied prospectively, retrospectively, or via a modified prospective transition method. The Company is currently evaluating the impact of the adoption of this standard on its consolidated financial statements. </w:t>
      </w:r>
    </w:p>
    <w:p>
      <w:pPr>
        <w:pStyle w:val="TextBody"/>
        <w:bidi w:val="0"/>
        <w:spacing w:lineRule="auto" w:line="288" w:before="240" w:after="283"/>
        <w:ind w:left="0" w:right="0" w:firstLine="720"/>
        <w:jc w:val="both"/>
        <w:rPr/>
      </w:pPr>
      <w:r>
        <w:rPr>
          <w:rFonts w:ascii="Times New Roman;serif" w:hAnsi="Times New Roman;serif"/>
          <w:b w:val="false"/>
          <w:color w:val="231F20"/>
          <w:sz w:val="20"/>
        </w:rPr>
        <w:t>In December 2025, the FASB issued ASU 2025-11,</w:t>
      </w:r>
      <w:r>
        <w:rPr>
          <w:color w:val="231F20"/>
        </w:rPr>
        <w:t xml:space="preserve"> </w:t>
      </w:r>
      <w:r>
        <w:rPr>
          <w:rFonts w:ascii="Times New Roman;serif" w:hAnsi="Times New Roman;serif"/>
          <w:b w:val="false"/>
          <w:i/>
          <w:color w:val="231F20"/>
          <w:sz w:val="20"/>
        </w:rPr>
        <w:t xml:space="preserve">Interim Reporting (Topics 270): Narrow-Scope Improvements </w:t>
      </w:r>
      <w:r>
        <w:rPr>
          <w:rFonts w:ascii="Times New Roman;serif" w:hAnsi="Times New Roman;serif"/>
          <w:b w:val="false"/>
          <w:color w:val="231F20"/>
          <w:sz w:val="20"/>
        </w:rPr>
        <w:t>("ASU No. 2025-11"), which amends guidance related to interim financial reporting. The guidance is effective for interim reporting periods within annual reporting periods beginning after December 15, 2027, with early adoption permitted. The Company is currently evaluating the impact of the adoption of this standard on its consolidated financial statements.</w:t>
      </w:r>
    </w:p>
    <w:p>
      <w:pPr>
        <w:pStyle w:val="TextBody"/>
        <w:bidi w:val="0"/>
        <w:spacing w:lineRule="auto" w:line="288" w:before="240" w:after="283"/>
        <w:ind w:left="0" w:right="0" w:firstLine="720"/>
        <w:jc w:val="both"/>
        <w:rPr/>
      </w:pPr>
      <w:r>
        <w:rPr>
          <w:rFonts w:ascii="Times New Roman;serif" w:hAnsi="Times New Roman;serif"/>
          <w:b w:val="false"/>
          <w:color w:val="231F20"/>
          <w:sz w:val="20"/>
        </w:rPr>
        <w:t xml:space="preserve">In May 2026, the FASB issued ASU 2026-02, </w:t>
      </w:r>
      <w:r>
        <w:rPr>
          <w:rFonts w:ascii="Times New Roman;serif" w:hAnsi="Times New Roman;serif"/>
          <w:b w:val="false"/>
          <w:i/>
          <w:color w:val="231F20"/>
          <w:sz w:val="20"/>
        </w:rPr>
        <w:t>Environmental Credits and Environmental Credit Obligations (Topic 818)</w:t>
      </w:r>
      <w:r>
        <w:rPr>
          <w:color w:val="231F20"/>
        </w:rPr>
        <w:t xml:space="preserve"> </w:t>
      </w:r>
      <w:r>
        <w:rPr>
          <w:rFonts w:ascii="Times New Roman;serif" w:hAnsi="Times New Roman;serif"/>
          <w:b w:val="false"/>
          <w:color w:val="231F20"/>
          <w:sz w:val="20"/>
        </w:rPr>
        <w:t>("ASU No. 2026-02"), to establish accounting guidance for environmental credits and environmental credit obligations, including their recognition, measurement, presentation, and disclosure. The guidance is effective for annual reporting periods, including interim reporting periods, beginning after December 15, 2027, with early adoption permitted. The guidance should be applied on a retrospective basis through a cumulative-effect adjustment to the opening balance of retained earnings as of the beginning of the annual reporting period of adoption. The Company is currently evaluating the impact of the adoption of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available-for-sale marketable securities, excluding those securities classified within cash and cash equivalents on the condensed consolidated balance sheets as of June 30, 2026 and December 31, 2025 (in thousands):</w:t>
      </w:r>
    </w:p>
    <w:tbl>
      <w:tblPr>
        <w:tblW w:w="8485" w:type="dxa"/>
        <w:jc w:val="left"/>
        <w:tblInd w:w="0" w:type="dxa"/>
        <w:tblLayout w:type="fixed"/>
        <w:tblCellMar>
          <w:top w:w="28" w:type="dxa"/>
          <w:left w:w="28" w:type="dxa"/>
          <w:bottom w:w="28" w:type="dxa"/>
          <w:right w:w="28" w:type="dxa"/>
        </w:tblCellMar>
      </w:tblPr>
      <w:tblGrid>
        <w:gridCol w:w="1075"/>
        <w:gridCol w:w="945"/>
        <w:gridCol w:w="950"/>
        <w:gridCol w:w="211"/>
        <w:gridCol w:w="976"/>
        <w:gridCol w:w="109"/>
        <w:gridCol w:w="109"/>
        <w:gridCol w:w="109"/>
        <w:gridCol w:w="109"/>
        <w:gridCol w:w="237"/>
        <w:gridCol w:w="525"/>
        <w:gridCol w:w="124"/>
        <w:gridCol w:w="109"/>
        <w:gridCol w:w="109"/>
        <w:gridCol w:w="109"/>
        <w:gridCol w:w="211"/>
        <w:gridCol w:w="691"/>
        <w:gridCol w:w="109"/>
        <w:gridCol w:w="109"/>
        <w:gridCol w:w="109"/>
        <w:gridCol w:w="109"/>
        <w:gridCol w:w="211"/>
        <w:gridCol w:w="97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treasury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8419" w:type="dxa"/>
        <w:jc w:val="left"/>
        <w:tblInd w:w="0" w:type="dxa"/>
        <w:tblLayout w:type="fixed"/>
        <w:tblCellMar>
          <w:top w:w="28" w:type="dxa"/>
          <w:left w:w="28" w:type="dxa"/>
          <w:bottom w:w="28" w:type="dxa"/>
          <w:right w:w="28" w:type="dxa"/>
        </w:tblCellMar>
      </w:tblPr>
      <w:tblGrid>
        <w:gridCol w:w="1075"/>
        <w:gridCol w:w="945"/>
        <w:gridCol w:w="950"/>
        <w:gridCol w:w="211"/>
        <w:gridCol w:w="976"/>
        <w:gridCol w:w="109"/>
        <w:gridCol w:w="109"/>
        <w:gridCol w:w="109"/>
        <w:gridCol w:w="109"/>
        <w:gridCol w:w="211"/>
        <w:gridCol w:w="616"/>
        <w:gridCol w:w="109"/>
        <w:gridCol w:w="109"/>
        <w:gridCol w:w="109"/>
        <w:gridCol w:w="109"/>
        <w:gridCol w:w="233"/>
        <w:gridCol w:w="541"/>
        <w:gridCol w:w="121"/>
        <w:gridCol w:w="109"/>
        <w:gridCol w:w="109"/>
        <w:gridCol w:w="109"/>
        <w:gridCol w:w="211"/>
        <w:gridCol w:w="97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4,065,166 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4,073,531 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values of available-for-sale marketable securities, by remaining contractual maturity, were as follows (in thousands):</w:t>
      </w:r>
    </w:p>
    <w:tbl>
      <w:tblPr>
        <w:tblW w:w="4250" w:type="dxa"/>
        <w:jc w:val="center"/>
        <w:tblInd w:w="0" w:type="dxa"/>
        <w:tblLayout w:type="fixed"/>
        <w:tblCellMar>
          <w:top w:w="28" w:type="dxa"/>
          <w:left w:w="28" w:type="dxa"/>
          <w:bottom w:w="28" w:type="dxa"/>
          <w:right w:w="28" w:type="dxa"/>
        </w:tblCellMar>
      </w:tblPr>
      <w:tblGrid>
        <w:gridCol w:w="1054"/>
        <w:gridCol w:w="923"/>
        <w:gridCol w:w="932"/>
        <w:gridCol w:w="211"/>
        <w:gridCol w:w="97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and liabilities that have been measured at fair value on a recurring basis as of June 30, 2026 and December 31, 2025, and indicate the fair value hierarchy of the valuation inputs utilized to determine such fair value (in thousands):</w:t>
      </w:r>
    </w:p>
    <w:tbl>
      <w:tblPr>
        <w:tblW w:w="10205" w:type="dxa"/>
        <w:jc w:val="left"/>
        <w:tblInd w:w="0" w:type="dxa"/>
        <w:tblLayout w:type="fixed"/>
        <w:tblCellMar>
          <w:top w:w="28" w:type="dxa"/>
          <w:left w:w="28" w:type="dxa"/>
          <w:bottom w:w="28" w:type="dxa"/>
          <w:right w:w="28" w:type="dxa"/>
        </w:tblCellMar>
      </w:tblPr>
      <w:tblGrid>
        <w:gridCol w:w="1752"/>
        <w:gridCol w:w="1475"/>
        <w:gridCol w:w="1487"/>
        <w:gridCol w:w="211"/>
        <w:gridCol w:w="826"/>
        <w:gridCol w:w="109"/>
        <w:gridCol w:w="109"/>
        <w:gridCol w:w="109"/>
        <w:gridCol w:w="109"/>
        <w:gridCol w:w="211"/>
        <w:gridCol w:w="976"/>
        <w:gridCol w:w="109"/>
        <w:gridCol w:w="109"/>
        <w:gridCol w:w="109"/>
        <w:gridCol w:w="109"/>
        <w:gridCol w:w="211"/>
        <w:gridCol w:w="406"/>
        <w:gridCol w:w="109"/>
        <w:gridCol w:w="109"/>
        <w:gridCol w:w="109"/>
        <w:gridCol w:w="109"/>
        <w:gridCol w:w="211"/>
        <w:gridCol w:w="976"/>
        <w:gridCol w:w="155"/>
      </w:tblGrid>
      <w:tr>
        <w:trPr/>
        <w:tc>
          <w:tcPr>
            <w:tcW w:w="175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as of June 30, 2026</w:t>
            </w:r>
          </w:p>
        </w:tc>
      </w:tr>
      <w:tr>
        <w:trPr/>
        <w:tc>
          <w:tcPr>
            <w:tcW w:w="4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Derivative assets—included in prepaid expenses and other 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4,887,176 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Derivative liabilities—included in accrued expenses and other 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9" w:type="dxa"/>
        <w:jc w:val="left"/>
        <w:tblInd w:w="0" w:type="dxa"/>
        <w:tblLayout w:type="fixed"/>
        <w:tblCellMar>
          <w:top w:w="28" w:type="dxa"/>
          <w:left w:w="28" w:type="dxa"/>
          <w:bottom w:w="28" w:type="dxa"/>
          <w:right w:w="28" w:type="dxa"/>
        </w:tblCellMar>
      </w:tblPr>
      <w:tblGrid>
        <w:gridCol w:w="1076"/>
        <w:gridCol w:w="943"/>
        <w:gridCol w:w="950"/>
        <w:gridCol w:w="211"/>
        <w:gridCol w:w="826"/>
        <w:gridCol w:w="109"/>
        <w:gridCol w:w="109"/>
        <w:gridCol w:w="109"/>
        <w:gridCol w:w="109"/>
        <w:gridCol w:w="211"/>
        <w:gridCol w:w="976"/>
        <w:gridCol w:w="109"/>
        <w:gridCol w:w="109"/>
        <w:gridCol w:w="109"/>
        <w:gridCol w:w="109"/>
        <w:gridCol w:w="211"/>
        <w:gridCol w:w="406"/>
        <w:gridCol w:w="109"/>
        <w:gridCol w:w="109"/>
        <w:gridCol w:w="109"/>
        <w:gridCol w:w="109"/>
        <w:gridCol w:w="211"/>
        <w:gridCol w:w="97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as of December 31,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4,416,040 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treasury securities, Non-U.S. government securities, and cash flow hedges within Level 2 because they are valued using inputs other than quoted prices that are directly or indirectly observable in the market, including readily available pricing sources for the identical underlying security which may not be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Times New Roman;serif" w:hAnsi="Times New Roman;serif"/>
          <w:b w:val="false"/>
          <w:i/>
          <w:color w:val="000000"/>
          <w:sz w:val="20"/>
        </w:rPr>
        <w:t>Convertible Senior Notes</w:t>
      </w:r>
      <w:r>
        <w:rPr>
          <w:rFonts w:ascii="Times New Roman;serif" w:hAnsi="Times New Roman;serif"/>
          <w:b w:val="false"/>
          <w:color w:val="000000"/>
          <w:sz w:val="20"/>
        </w:rPr>
        <w:t>, to the condensed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774" w:type="dxa"/>
        <w:jc w:val="left"/>
        <w:tblInd w:w="0" w:type="dxa"/>
        <w:tblLayout w:type="fixed"/>
        <w:tblCellMar>
          <w:top w:w="28" w:type="dxa"/>
          <w:left w:w="28" w:type="dxa"/>
          <w:bottom w:w="28" w:type="dxa"/>
          <w:right w:w="28" w:type="dxa"/>
        </w:tblCellMar>
      </w:tblPr>
      <w:tblGrid>
        <w:gridCol w:w="1487"/>
        <w:gridCol w:w="1307"/>
        <w:gridCol w:w="1316"/>
        <w:gridCol w:w="211"/>
        <w:gridCol w:w="826"/>
        <w:gridCol w:w="109"/>
        <w:gridCol w:w="109"/>
        <w:gridCol w:w="109"/>
        <w:gridCol w:w="109"/>
        <w:gridCol w:w="211"/>
        <w:gridCol w:w="82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capitalizes costs related to the development of computer software for internal use and is included in capitalized software development costs within property and equipment,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approximately $17.8 million and $34.1 million for the three and six months ended June 30, 2026, respectively. Depreciation and amortization expense was approximately $11.1 million and $21.3 million for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Acquisitions, Intangible Assets and Goodwill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During the six months ended June 30, 2026, the Company entered into three purchase agreements for acquisitions of businesses, each of which was accounted for as a business combination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Company does not consider the acquisitions to be material, individually or in aggregate. The total aggregate purchase price of $191.5 million consisted of $98.5 million in cash payments, net of cash acquired, $14.3 million of deferred acquisition holdback payments and the issuance of 796,509 restricted shares of Class A common stock. The total purchase price was allocated to intangible assets in the amount of $11.5 million and goodwill in the amount of $178.7 million based on the respective estimated fair values. The purchase price allocations are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The resulting goodwill from each of the agreements is not deductible for income tax purposes. Pro forma results of operations from these acquisitions have not been presented because they were not material to the consolidated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During the year ended December 31, 2025, the Company entered into three purchase agreements for acquisitions of businesses, each of which was accounted for as a business combination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Company does not consider the acquisitions to be material, individually or in aggregate. The total purchase price in aggregate of $178.4 million consisted of $109.3 million in cash payments, net of cash acquired, $16.1 million of deferred acquisition holdback payments and the issuance of 770,044 restricted shares of Class A common stock. The total purchase price was allocated to intangible assets in the amount of $17.6 million and goodwill in the amount of $163.1 million based on the respective estimated fair values. The resulting goodwill from the agreements is not deductible for income tax purposes. Pro forma results of operations from the acquisitions have not been presented because they were not material to the consolidated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2024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During the year ended December 31, 2024, the Company entered into one purchase agreement for an acquisition of a business, which was accounted for as a business combination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(in thousands):</w:t>
      </w:r>
    </w:p>
    <w:tbl>
      <w:tblPr>
        <w:tblW w:w="7265" w:type="dxa"/>
        <w:jc w:val="left"/>
        <w:tblInd w:w="0" w:type="dxa"/>
        <w:tblLayout w:type="fixed"/>
        <w:tblCellMar>
          <w:top w:w="28" w:type="dxa"/>
          <w:left w:w="28" w:type="dxa"/>
          <w:bottom w:w="28" w:type="dxa"/>
          <w:right w:w="28" w:type="dxa"/>
        </w:tblCellMar>
      </w:tblPr>
      <w:tblGrid>
        <w:gridCol w:w="723"/>
        <w:gridCol w:w="634"/>
        <w:gridCol w:w="638"/>
        <w:gridCol w:w="211"/>
        <w:gridCol w:w="721"/>
        <w:gridCol w:w="109"/>
        <w:gridCol w:w="109"/>
        <w:gridCol w:w="109"/>
        <w:gridCol w:w="109"/>
        <w:gridCol w:w="239"/>
        <w:gridCol w:w="717"/>
        <w:gridCol w:w="125"/>
        <w:gridCol w:w="109"/>
        <w:gridCol w:w="109"/>
        <w:gridCol w:w="109"/>
        <w:gridCol w:w="211"/>
        <w:gridCol w:w="721"/>
        <w:gridCol w:w="109"/>
        <w:gridCol w:w="109"/>
        <w:gridCol w:w="109"/>
        <w:gridCol w:w="109"/>
        <w:gridCol w:w="329"/>
        <w:gridCol w:w="329"/>
        <w:gridCol w:w="46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Period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65" w:type="dxa"/>
        <w:jc w:val="left"/>
        <w:tblInd w:w="0" w:type="dxa"/>
        <w:tblLayout w:type="fixed"/>
        <w:tblCellMar>
          <w:top w:w="28" w:type="dxa"/>
          <w:left w:w="28" w:type="dxa"/>
          <w:bottom w:w="28" w:type="dxa"/>
          <w:right w:w="28" w:type="dxa"/>
        </w:tblCellMar>
      </w:tblPr>
      <w:tblGrid>
        <w:gridCol w:w="723"/>
        <w:gridCol w:w="634"/>
        <w:gridCol w:w="638"/>
        <w:gridCol w:w="211"/>
        <w:gridCol w:w="721"/>
        <w:gridCol w:w="109"/>
        <w:gridCol w:w="109"/>
        <w:gridCol w:w="109"/>
        <w:gridCol w:w="109"/>
        <w:gridCol w:w="239"/>
        <w:gridCol w:w="717"/>
        <w:gridCol w:w="125"/>
        <w:gridCol w:w="109"/>
        <w:gridCol w:w="109"/>
        <w:gridCol w:w="109"/>
        <w:gridCol w:w="211"/>
        <w:gridCol w:w="721"/>
        <w:gridCol w:w="109"/>
        <w:gridCol w:w="109"/>
        <w:gridCol w:w="109"/>
        <w:gridCol w:w="109"/>
        <w:gridCol w:w="329"/>
        <w:gridCol w:w="329"/>
        <w:gridCol w:w="46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Period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amortization expense was approximately $1.7 million for each of the three months ended June 30, 2026 and 2025, and $3.3 million and $2.8 million for the six months ended June 30, 2026 and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future amortization expense by year is expected to be as follows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were as follows (in thousands):</w:t>
      </w:r>
    </w:p>
    <w:tbl>
      <w:tblPr>
        <w:tblW w:w="5435" w:type="dxa"/>
        <w:jc w:val="left"/>
        <w:tblInd w:w="0" w:type="dxa"/>
        <w:tblLayout w:type="fixed"/>
        <w:tblCellMar>
          <w:top w:w="28" w:type="dxa"/>
          <w:left w:w="28" w:type="dxa"/>
          <w:bottom w:w="28" w:type="dxa"/>
          <w:right w:w="28" w:type="dxa"/>
        </w:tblCellMar>
      </w:tblPr>
      <w:tblGrid>
        <w:gridCol w:w="1537"/>
        <w:gridCol w:w="1349"/>
        <w:gridCol w:w="1358"/>
        <w:gridCol w:w="211"/>
        <w:gridCol w:w="82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Accrued Expenses and Other Current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924" w:type="dxa"/>
        <w:jc w:val="left"/>
        <w:tblInd w:w="0" w:type="dxa"/>
        <w:tblLayout w:type="fixed"/>
        <w:tblCellMar>
          <w:top w:w="28" w:type="dxa"/>
          <w:left w:w="28" w:type="dxa"/>
          <w:bottom w:w="28" w:type="dxa"/>
          <w:right w:w="28" w:type="dxa"/>
        </w:tblCellMar>
      </w:tblPr>
      <w:tblGrid>
        <w:gridCol w:w="1544"/>
        <w:gridCol w:w="1354"/>
        <w:gridCol w:w="1362"/>
        <w:gridCol w:w="211"/>
        <w:gridCol w:w="826"/>
        <w:gridCol w:w="109"/>
        <w:gridCol w:w="109"/>
        <w:gridCol w:w="109"/>
        <w:gridCol w:w="109"/>
        <w:gridCol w:w="211"/>
        <w:gridCol w:w="826"/>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liability and sales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D</w:t>
      </w:r>
      <w:r>
        <w:rPr>
          <w:rFonts w:ascii="Times New Roman;serif" w:hAnsi="Times New Roman;serif"/>
          <w:b w:val="false"/>
          <w:color w:val="000000"/>
          <w:sz w:val="20"/>
        </w:rPr>
        <w:t>ue to the timing of when invoices are received, payables for cloud hosting and infrastructure expenses are included within accounts payable on the condensed consolidated balance sheets, amounting to $191.5 million and $122.7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Convertible Senior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2025 Convertible Senior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2, 2020, the Company issued $747.5 million aggregate principal amount of the “2025 Notes.” The 2025 Notes bore interest at a rate of 0.125% per year. The total net proceeds from the sale of the 2025 Notes, after deducting the initial purchasers’ discounts and debt issuance costs, were approximately $730.2 million. The 2025 Notes matured on June 15, 2025. The remaining $634.1 million aggregate principal amount of the 2025 Notes were converted prior to maturity and in connection with such conversions, the Company delivered $634.1 million in cash and issued 1,354,569 shares of the Company's Class A common stock to converting note holders.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2029 Convertible Senior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12, 2024, the Company issued $1.0 billion aggregate principal amount of 0.00% Convertible Senior Notes due 2029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Holders may convert their 2029 Notes at their option at any time prior to the close of business on the business day immediately preceding September 1, 2029 only under the following circumstances: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(3)if the Company calls such 2029 Notes for redemption, at any time prior to the close of business on the scheduled trading day immediately preceding the redemption date; or</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(4)upon the occurrence of specified corporate events, as set forth in the indenture governing the 2029 Notes (the “2029 Indenture”).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 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conditional conversion features of the 2029 Notes were not triggered. Therefore the 2029 Notes are not convertible, in whole or in part, at the option of the holders between July 1, 2026 through September 30, 2026. As of June 30, 2026, the 2029 Notes were classified as non-current liabilities on the Company's condensed consolidated balance sheet.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special interest, if any, to, but excluding, the redemption date.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2029 Notes was as follows (in thousands):</w:t>
      </w:r>
    </w:p>
    <w:tbl>
      <w:tblPr>
        <w:tblW w:w="5723" w:type="dxa"/>
        <w:jc w:val="left"/>
        <w:tblInd w:w="0" w:type="dxa"/>
        <w:tblLayout w:type="fixed"/>
        <w:tblCellMar>
          <w:top w:w="28" w:type="dxa"/>
          <w:left w:w="28" w:type="dxa"/>
          <w:bottom w:w="28" w:type="dxa"/>
          <w:right w:w="28" w:type="dxa"/>
        </w:tblCellMar>
      </w:tblPr>
      <w:tblGrid>
        <w:gridCol w:w="1000"/>
        <w:gridCol w:w="878"/>
        <w:gridCol w:w="881"/>
        <w:gridCol w:w="211"/>
        <w:gridCol w:w="976"/>
        <w:gridCol w:w="109"/>
        <w:gridCol w:w="109"/>
        <w:gridCol w:w="109"/>
        <w:gridCol w:w="109"/>
        <w:gridCol w:w="211"/>
        <w:gridCol w:w="97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estimated fair value of the 2029 Notes was approximately $1,419.7 million. The fair value was determined based on the closing trading price or quoted market price per $100 of the 2029 Notes as of the last day of trading for the period. The fair value of the 2029 Notes is primarily affected by the trading price of the Company’s Class A common stock and market interest rates and has been classified as level 2 in the fair value hierarchy.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Issuance costs were being amortized to interest expense over the contractual terms of the 2025 Notes at an effective interest rate of 0.59%. Issuance costs are being amortized to interest expense over the contractual terms of the 2029 Notes at an effective interest rate of 0.43%.</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interest expense related to the 2025 and 2029 Notes for the three and six months ended June 30, 2026 and 2025 (in thousands):</w:t>
      </w:r>
    </w:p>
    <w:tbl>
      <w:tblPr>
        <w:tblW w:w="7365" w:type="dxa"/>
        <w:jc w:val="left"/>
        <w:tblInd w:w="0" w:type="dxa"/>
        <w:tblLayout w:type="fixed"/>
        <w:tblCellMar>
          <w:top w:w="28" w:type="dxa"/>
          <w:left w:w="28" w:type="dxa"/>
          <w:bottom w:w="28" w:type="dxa"/>
          <w:right w:w="28" w:type="dxa"/>
        </w:tblCellMar>
      </w:tblPr>
      <w:tblGrid>
        <w:gridCol w:w="939"/>
        <w:gridCol w:w="825"/>
        <w:gridCol w:w="83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2029 Notes, the Company entered into privately negotiated capped call transactions with certain option counterparties (the “Capped Calls”). The initial strike price of each of the Capped Calls corresponds to the initial conversion price of the 2029 Notes. The Capped Calls are expected to partially offset the potential dilution to the Company’s Class A common stock upon any conversion of the 2029 Notes, with such offset subject to a cap based on the cap price. For accounting purposes, the Capped Calls are separate transactions, and not part of the 2029 Notes. As these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meet certain accounting criteria, the Capped Calls are recorded in stockholders’ equity and are not accounted for as derivatives. The cost incurred to purchase the Capped Calls was recorded as a reduction to additional paid-in capital and will not be remeasured.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key terms and costs incurred for the Capped Calls related to the 2029 Notes (in millions, except per share amounts):</w:t>
      </w:r>
    </w:p>
    <w:tbl>
      <w:tblPr>
        <w:tblW w:w="6110" w:type="dxa"/>
        <w:jc w:val="left"/>
        <w:tblInd w:w="0" w:type="dxa"/>
        <w:tblLayout w:type="fixed"/>
        <w:tblCellMar>
          <w:top w:w="28" w:type="dxa"/>
          <w:left w:w="28" w:type="dxa"/>
          <w:bottom w:w="28" w:type="dxa"/>
          <w:right w:w="28" w:type="dxa"/>
        </w:tblCellMar>
      </w:tblPr>
      <w:tblGrid>
        <w:gridCol w:w="1820"/>
        <w:gridCol w:w="1600"/>
        <w:gridCol w:w="1604"/>
        <w:gridCol w:w="211"/>
        <w:gridCol w:w="721"/>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Notes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strike price per share, subject to certain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cap price per share, subject to certain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cost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covered, subject to anti-dilution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maturity of the 2025 Notes, the Company issued 1,354,569 shares to holders of the 2025 Notes that converted prior to maturity and received 1,360,738 shares from the relevant option counterparties upon settlement of the Capped Calls relating to the 2025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40" w:after="283"/>
        <w:ind w:left="0" w:right="0" w:firstLine="540"/>
        <w:jc w:val="both"/>
        <w:rPr/>
      </w:pPr>
      <w:r>
        <w:rPr>
          <w:rFonts w:ascii="Times New Roman;serif" w:hAnsi="Times New Roman;serif"/>
          <w:b/>
          <w:i/>
          <w:color w:val="000000"/>
          <w:sz w:val="20"/>
        </w:rPr>
        <w:t>Non-cancelable Material Commitments—</w:t>
      </w:r>
      <w:r>
        <w:rPr>
          <w:rFonts w:ascii="Times New Roman;serif" w:hAnsi="Times New Roman;serif"/>
          <w:b w:val="false"/>
          <w:color w:val="000000"/>
          <w:sz w:val="20"/>
        </w:rPr>
        <w:t xml:space="preserve">During the six months ended June 30, 2026, other than certain non-cancelable operating leases described in Note 10, </w:t>
      </w:r>
      <w:r>
        <w:rPr>
          <w:rFonts w:ascii="Times New Roman;serif" w:hAnsi="Times New Roman;serif"/>
          <w:b w:val="false"/>
          <w:i/>
          <w:color w:val="000000"/>
          <w:sz w:val="20"/>
        </w:rPr>
        <w:t>Leases</w:t>
      </w:r>
      <w:r>
        <w:rPr>
          <w:rFonts w:ascii="Times New Roman;serif" w:hAnsi="Times New Roman;serif"/>
          <w:b w:val="false"/>
          <w:color w:val="000000"/>
          <w:sz w:val="20"/>
        </w:rPr>
        <w:t>, there have been no other material changes outside the ordinary course of business to the Company’s contractual obligations and commitments from those disclosed in the Annual Report.</w:t>
      </w:r>
    </w:p>
    <w:p>
      <w:pPr>
        <w:pStyle w:val="TextBody"/>
        <w:bidi w:val="0"/>
        <w:spacing w:lineRule="auto" w:line="288" w:before="240" w:after="283"/>
        <w:ind w:left="0" w:right="0" w:firstLine="540"/>
        <w:jc w:val="both"/>
        <w:rPr/>
      </w:pPr>
      <w:r>
        <w:rPr>
          <w:rFonts w:ascii="Times New Roman;serif" w:hAnsi="Times New Roman;serif"/>
          <w:b/>
          <w:i/>
          <w:color w:val="000000"/>
          <w:sz w:val="20"/>
        </w:rPr>
        <w:t>401(k) Plan</w:t>
      </w:r>
      <w:r>
        <w:rPr>
          <w:color w:val="000000"/>
        </w:rPr>
        <w:t>—</w:t>
      </w:r>
      <w:r>
        <w:rPr>
          <w:rFonts w:ascii="Times New Roman;serif" w:hAnsi="Times New Roman;serif"/>
          <w:b w:val="false"/>
          <w:color w:val="000000"/>
          <w:sz w:val="20"/>
        </w:rPr>
        <w:t>The Company sponsors a 401(k) defined contribution plan covering all eligible U.S. employees. The Company is responsible for administrative costs of the 401(k) plan and makes matching contributions to the 401(k) plan. For the three and six months ended June 30, 2026, the Company incurred expense of $2.7 million and $5.1 million, respectively, for matching contributions. For the three and six months ended June 30, 2025, the Company incurred expense of $2.5 million and $4.6 million, respectively, for matching contributions.</w:t>
      </w:r>
    </w:p>
    <w:p>
      <w:pPr>
        <w:pStyle w:val="TextBody"/>
        <w:bidi w:val="0"/>
        <w:spacing w:lineRule="auto" w:line="288" w:before="240" w:after="283"/>
        <w:ind w:left="0" w:right="0" w:firstLine="540"/>
        <w:jc w:val="both"/>
        <w:rPr/>
      </w:pPr>
      <w:r>
        <w:rPr>
          <w:rFonts w:ascii="Times New Roman;serif" w:hAnsi="Times New Roman;serif"/>
          <w:b/>
          <w:i/>
          <w:color w:val="000000"/>
          <w:sz w:val="20"/>
        </w:rPr>
        <w:t>Legal Matters</w:t>
      </w:r>
      <w:r>
        <w:rPr>
          <w:color w:val="000000"/>
        </w:rPr>
        <w:t>—</w:t>
      </w:r>
      <w:r>
        <w:rPr>
          <w:rFonts w:ascii="Times New Roman;serif" w:hAnsi="Times New Roman;serif"/>
          <w:b w:val="false"/>
          <w:color w:val="000000"/>
          <w:sz w:val="20"/>
        </w:rPr>
        <w:t>The Company is involved from time to time in various claims and legal actions arising in the ordinary course of business. While it is not feasible to predict or determine the ultimate outcome of these matters, the Company believes that none of its current legal proceedings will have a material adverse effect on its financial position or results of operations.</w:t>
      </w:r>
    </w:p>
    <w:p>
      <w:pPr>
        <w:pStyle w:val="TextBody"/>
        <w:bidi w:val="0"/>
        <w:spacing w:lineRule="auto" w:line="288" w:before="240" w:after="283"/>
        <w:ind w:left="0" w:right="0" w:firstLine="540"/>
        <w:jc w:val="both"/>
        <w:rPr/>
      </w:pPr>
      <w:r>
        <w:rPr>
          <w:rFonts w:ascii="Times New Roman;serif" w:hAnsi="Times New Roman;serif"/>
          <w:b/>
          <w:i/>
          <w:color w:val="000000"/>
          <w:sz w:val="20"/>
        </w:rPr>
        <w:t>Indemnification</w:t>
      </w:r>
      <w:r>
        <w:rPr>
          <w:color w:val="000000"/>
        </w:rPr>
        <w:t>—</w:t>
      </w:r>
      <w:r>
        <w:rPr>
          <w:rFonts w:ascii="Times New Roman;serif" w:hAnsi="Times New Roman;serif"/>
          <w:b w:val="false"/>
          <w:color w:val="000000"/>
          <w:sz w:val="20"/>
        </w:rPr>
        <w:t>The Company enters into indemnification provisions under some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non-cancelable operating leases for its facilities expiring between 2026 and 2036.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Lease expense for these leases is recognized on a straight-line basis over the lease term, with variable lease payments recognized in the period those payments are incurred.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 recognized within the Company’s condensed consolidated statements of operations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bl>
      <w:tblPr>
        <w:tblW w:w="7140" w:type="dxa"/>
        <w:jc w:val="left"/>
        <w:tblInd w:w="0" w:type="dxa"/>
        <w:tblLayout w:type="fixed"/>
        <w:tblCellMar>
          <w:top w:w="28" w:type="dxa"/>
          <w:left w:w="28" w:type="dxa"/>
          <w:bottom w:w="28" w:type="dxa"/>
          <w:right w:w="28" w:type="dxa"/>
        </w:tblCellMar>
      </w:tblPr>
      <w:tblGrid>
        <w:gridCol w:w="706"/>
        <w:gridCol w:w="620"/>
        <w:gridCol w:w="6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non-cash lease expense of $9.5 million and $9.0 million for the three months ended June 30, 2026 and 2025, respectively, and $18.6 million and $17.4 million for the six months ended June 30, 2026 and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and non-cash activity related to the Company’s operating leases are as follows (in thousands):</w:t>
      </w:r>
    </w:p>
    <w:tbl>
      <w:tblPr>
        <w:tblW w:w="8063" w:type="dxa"/>
        <w:jc w:val="left"/>
        <w:tblInd w:w="0" w:type="dxa"/>
        <w:tblLayout w:type="fixed"/>
        <w:tblCellMar>
          <w:top w:w="28" w:type="dxa"/>
          <w:left w:w="28" w:type="dxa"/>
          <w:bottom w:w="28" w:type="dxa"/>
          <w:right w:w="28" w:type="dxa"/>
        </w:tblCellMar>
      </w:tblPr>
      <w:tblGrid>
        <w:gridCol w:w="2034"/>
        <w:gridCol w:w="1783"/>
        <w:gridCol w:w="1792"/>
        <w:gridCol w:w="211"/>
        <w:gridCol w:w="721"/>
        <w:gridCol w:w="109"/>
        <w:gridCol w:w="109"/>
        <w:gridCol w:w="109"/>
        <w:gridCol w:w="109"/>
        <w:gridCol w:w="211"/>
        <w:gridCol w:w="721"/>
        <w:gridCol w:w="154"/>
      </w:tblGrid>
      <w:tr>
        <w:trPr/>
        <w:tc>
          <w:tcPr>
            <w:tcW w:w="203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new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by fiscal year for the Company’s operating leases are as follows (in thousands):</w:t>
      </w:r>
    </w:p>
    <w:tbl>
      <w:tblPr>
        <w:tblW w:w="3875" w:type="dxa"/>
        <w:jc w:val="left"/>
        <w:tblInd w:w="0" w:type="dxa"/>
        <w:tblLayout w:type="fixed"/>
        <w:tblCellMar>
          <w:top w:w="28" w:type="dxa"/>
          <w:left w:w="28" w:type="dxa"/>
          <w:bottom w:w="28" w:type="dxa"/>
          <w:right w:w="28" w:type="dxa"/>
        </w:tblCellMar>
      </w:tblPr>
      <w:tblGrid>
        <w:gridCol w:w="971"/>
        <w:gridCol w:w="853"/>
        <w:gridCol w:w="860"/>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various operating leases that had not yet commenced, which are excluded from the table above. The operating leases will commence between fiscal years 2026 and 2027 with total undiscounted future payments of $220.9 million and a weighted-average lease term of 9.0 years.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Weighted average remaining lease term and discount rate for the Company’s operating leases are as follows:</w:t>
      </w:r>
    </w:p>
    <w:tbl>
      <w:tblPr>
        <w:tblW w:w="5088" w:type="dxa"/>
        <w:jc w:val="left"/>
        <w:tblInd w:w="0" w:type="dxa"/>
        <w:tblLayout w:type="fixed"/>
        <w:tblCellMar>
          <w:top w:w="28" w:type="dxa"/>
          <w:left w:w="28" w:type="dxa"/>
          <w:bottom w:w="28" w:type="dxa"/>
          <w:right w:w="28" w:type="dxa"/>
        </w:tblCellMar>
      </w:tblPr>
      <w:tblGrid>
        <w:gridCol w:w="1419"/>
        <w:gridCol w:w="1246"/>
        <w:gridCol w:w="1250"/>
        <w:gridCol w:w="255"/>
        <w:gridCol w:w="256"/>
        <w:gridCol w:w="399"/>
        <w:gridCol w:w="109"/>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Geographical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by location is determined by the billing address of the customer. The following table sets forth revenue by geographic area (in thousands):</w:t>
      </w:r>
    </w:p>
    <w:tbl>
      <w:tblPr>
        <w:tblW w:w="7574" w:type="dxa"/>
        <w:jc w:val="left"/>
        <w:tblInd w:w="0" w:type="dxa"/>
        <w:tblLayout w:type="fixed"/>
        <w:tblCellMar>
          <w:top w:w="28" w:type="dxa"/>
          <w:left w:w="28" w:type="dxa"/>
          <w:bottom w:w="28" w:type="dxa"/>
          <w:right w:w="28" w:type="dxa"/>
        </w:tblCellMar>
      </w:tblPr>
      <w:tblGrid>
        <w:gridCol w:w="548"/>
        <w:gridCol w:w="481"/>
        <w:gridCol w:w="48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1,588,313 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revenue from the United States of $790.1 million and $559.6 million for the three months ended June 30, 2026 and 2025, respectively, and $1,482.8 million and $1,068.1 million for the six months ended June 30, 2026 and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Deferred Revenue and Remaining Performance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three months ended June 30, 2026 and 2025, which was included in the deferred revenue balances at the beginning of each such period, was $617.3 million and $435.7 million, respectively. Revenue recognized during the six months ended June 30, 2026 and 2025, which was included in the deferred revenue balances at the beginning of each such period, was $907.8 million and $704.9 million,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2026 and December 31, 2025, the aggregate transaction price allocated to remaining performance obligations was $3,471.4 million and $3,461.2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deemed uncollectible are charged against the allowance for credit losses when identified. During the six months ended June 30, 2026 and 2025, the Company charged $10.6 million and $7.3 million, respectively, of accounts receivable deemed uncollectible against the allowance for credit losses.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June 30, 2026 and December 31, 2025, unbilled accounts receivable of approximately $148.2 million and $127.0 million, respectively, was included in accounts receivable on the Company’s condensed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Deferred Contract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Deferred contract costs on the Company’s condensed consolidated balance sheets were $232.4 million and $202.7 million as of June 30, 2026 and December 31, 2025, respectively. Amortization expense was $22.1 million and $15.9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respectively, and $42.4 million and $30.8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Class A and Class B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871,473 shares and 1,175,964 shares of Class B common stock were converted into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authorized 2,000,000,000 shares of Class A common stock and 310,000,000 shares of Class B common stock, each with a par value of $0.00001 per share, of which 334,438,127 shares of Class A common stock and 24,518,658 shares of Class B common stock were issued and outstanding.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June 30, 2026, there were 1,596,017 shares of Class A common stock issuable upon conversion of Class B common stock underlying options outstanding under the 2012 Plan. Under the 2019 Plan, the Board and any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June 30, 2026, there were 106,555,234 shares available for grant under the 2019 Plan.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and weighted-average exercise prices:</w:t>
      </w:r>
    </w:p>
    <w:tbl>
      <w:tblPr>
        <w:tblW w:w="8409" w:type="dxa"/>
        <w:jc w:val="left"/>
        <w:tblInd w:w="0" w:type="dxa"/>
        <w:tblLayout w:type="fixed"/>
        <w:tblCellMar>
          <w:top w:w="28" w:type="dxa"/>
          <w:left w:w="28" w:type="dxa"/>
          <w:bottom w:w="28" w:type="dxa"/>
          <w:right w:w="28" w:type="dxa"/>
        </w:tblCellMar>
      </w:tblPr>
      <w:tblGrid>
        <w:gridCol w:w="922"/>
        <w:gridCol w:w="812"/>
        <w:gridCol w:w="815"/>
        <w:gridCol w:w="524"/>
        <w:gridCol w:w="526"/>
        <w:gridCol w:w="336"/>
        <w:gridCol w:w="109"/>
        <w:gridCol w:w="109"/>
        <w:gridCol w:w="109"/>
        <w:gridCol w:w="285"/>
        <w:gridCol w:w="691"/>
        <w:gridCol w:w="148"/>
        <w:gridCol w:w="109"/>
        <w:gridCol w:w="109"/>
        <w:gridCol w:w="109"/>
        <w:gridCol w:w="384"/>
        <w:gridCol w:w="384"/>
        <w:gridCol w:w="386"/>
        <w:gridCol w:w="109"/>
        <w:gridCol w:w="109"/>
        <w:gridCol w:w="109"/>
        <w:gridCol w:w="215"/>
        <w:gridCol w:w="843"/>
        <w:gridCol w:w="157"/>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3,474,619 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(1,864,259)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expired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1,610,360 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406,663 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Exercisable—June 30, 2026</w:t>
            </w:r>
          </w:p>
        </w:tc>
        <w:tc>
          <w:tcPr>
            <w:tcW w:w="10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1,610,360 </w:t>
            </w:r>
          </w:p>
        </w:tc>
        <w:tc>
          <w:tcPr>
            <w:tcW w:w="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14,343 shares of Class A common stock and 1,596,017 shares of Class B common stock issuable upon the exercise of options outstanding. As of December 31, 2025, there were 14,452 shares of Class A common stock and 3,460,167 shares of Class B common stock issuable upon the exercise of options outstanding.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options granted during the six months ended June 30, 2026 and 2025. The Company received approximately $12.5 million and $3.4 million in cash proceeds from options exercised during the six months ended June 30, 2026 and 2025, respectively. The intrinsic value of options exercised during the six months ended June 30, 2026 and 2025 was approximately $241.6 million and $317.7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 Restricted Stock and Performance Stock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the Company’s unvested RSUs and PSUs:</w:t>
      </w:r>
    </w:p>
    <w:tbl>
      <w:tblPr>
        <w:tblW w:w="8218" w:type="dxa"/>
        <w:jc w:val="left"/>
        <w:tblInd w:w="0" w:type="dxa"/>
        <w:tblLayout w:type="fixed"/>
        <w:tblCellMar>
          <w:top w:w="28" w:type="dxa"/>
          <w:left w:w="28" w:type="dxa"/>
          <w:bottom w:w="28" w:type="dxa"/>
          <w:right w:w="28" w:type="dxa"/>
        </w:tblCellMar>
      </w:tblPr>
      <w:tblGrid>
        <w:gridCol w:w="1798"/>
        <w:gridCol w:w="1581"/>
        <w:gridCol w:w="1585"/>
        <w:gridCol w:w="540"/>
        <w:gridCol w:w="541"/>
        <w:gridCol w:w="196"/>
        <w:gridCol w:w="109"/>
        <w:gridCol w:w="109"/>
        <w:gridCol w:w="109"/>
        <w:gridCol w:w="320"/>
        <w:gridCol w:w="1096"/>
        <w:gridCol w:w="23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 Date</w:t>
              <w:br/>
              <w:t>Fair Value</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balance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16,700,043 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4,803,875 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(3,560,961)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129.31</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balance as of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17,099,356 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130.40</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granted 750,624 restricted shares of Class A common stock in connection with acquisitions during the six months ended June 30,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compensation cost related to unvested RSUs and restricted shares of common stock not yet recognized was approximately $1,939.9 million and $1,717.2 million as of June 30, 2026 and December 31, 2025, respectively. The weighted-average period over which this compensation cost related to unvested RSUs and restricted shares of common stock will be recognized is 2.8 years and 2.8 years as of June 30, 2026 and December 31,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compensation cost related to unvested PSUs not yet recognized was approximately $138.4 million and $82.8 million as of June 30, 2026 and December 31, 2025, respectively. The weighted-average period over which this compensation cost related to unvested PSUs will be recognized is 1.5 years and 1.3 years as of June 30, 2026 and December 31,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2019, the Board adopted and approved the 2019 Employee Stock Purchase Plan (the “ESPP”).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recognized $7.2 million and $14.4 million of stock-based compensation expense related to the ESPP during the three and six months ended June 30, 2026. As of June 30, 2026, $12.6 million has been withheld on behalf of employees for a future purchase under the ESPP due to the timing of payroll deductions. During the three months ended June 30, 2026, the Company issued 254,970 shares of Class A common stock under the ESPP. As of June 30, 2026, 26,464,738 shares of Class A common stock remain available for grant under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included in the condensed consolidated statement of operations as follows (in thousands):</w:t>
      </w:r>
    </w:p>
    <w:tbl>
      <w:tblPr>
        <w:tblW w:w="10139" w:type="dxa"/>
        <w:jc w:val="left"/>
        <w:tblInd w:w="0" w:type="dxa"/>
        <w:tblLayout w:type="fixed"/>
        <w:tblCellMar>
          <w:top w:w="28" w:type="dxa"/>
          <w:left w:w="28" w:type="dxa"/>
          <w:bottom w:w="28" w:type="dxa"/>
          <w:right w:w="28" w:type="dxa"/>
        </w:tblCellMar>
      </w:tblPr>
      <w:tblGrid>
        <w:gridCol w:w="1637"/>
        <w:gridCol w:w="1443"/>
        <w:gridCol w:w="144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amounts capitalized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356,346 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Interest Income and Other Income,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net consist of the following (in thousands):</w:t>
      </w:r>
    </w:p>
    <w:tbl>
      <w:tblPr>
        <w:tblW w:w="8564" w:type="dxa"/>
        <w:jc w:val="left"/>
        <w:tblInd w:w="0" w:type="dxa"/>
        <w:tblLayout w:type="fixed"/>
        <w:tblCellMar>
          <w:top w:w="28" w:type="dxa"/>
          <w:left w:w="28" w:type="dxa"/>
          <w:bottom w:w="28" w:type="dxa"/>
          <w:right w:w="28" w:type="dxa"/>
        </w:tblCellMar>
      </w:tblPr>
      <w:tblGrid>
        <w:gridCol w:w="1147"/>
        <w:gridCol w:w="1004"/>
        <w:gridCol w:w="101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104,255 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91,842 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shd w:fill="FFFFFF" w:val="clear"/>
        </w:rPr>
        <w:t>14. Income Ta</w:t>
      </w:r>
      <w:r>
        <w:rPr>
          <w:rFonts w:ascii="Times New Roman;serif" w:hAnsi="Times New Roman;serif"/>
          <w:b/>
          <w:color w:val="000000"/>
          <w:sz w:val="20"/>
        </w:rPr>
        <w:t>xes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Compa</w:t>
      </w:r>
      <w:r>
        <w:rPr>
          <w:rFonts w:ascii="Times New Roman;serif" w:hAnsi="Times New Roman;serif"/>
          <w:b w:val="false"/>
          <w:color w:val="000000"/>
          <w:sz w:val="20"/>
          <w:shd w:fill="FFFFFF" w:val="clear"/>
        </w:rPr>
        <w:t xml:space="preserve">ny recorded a provision for income taxes of $7.2 million and $3.4 million 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respectively, and a provision for income taxes of $13.5 million and $10.6 million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The Company has generated U.S. operating income and has minimal profits in its foreign jurisdictions during the quarter.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12.23% and 27.97% for the six months ended June 30, 2026 and 2025, respectively. The effective tax rate differs from the U.S. federal statutory rate primarily due to the impact of a full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allowance on U.S. deferred tax assets, the favorable effects of the One Big Beautiful Bill Act (“OBBBA”), and withholding taxes in certain foreign jurisdictions.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Company has applied ASC 740,</w:t>
      </w:r>
      <w:r>
        <w:rPr>
          <w:color w:val="000000"/>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rPr>
        <w:t>, and has determined that it has uncertain positions that would result in a tax reserve for each of the six months ended June 30, 2026 and 2025. There were no material changes to the Company's unrecognized tax benefits during the six months ended June 30, 2026. The Company’s policy is to recognize interest and penalties related to uncertain income tax positions in income tax expense. The Company is subject to U.S. federal tax authority, U.S. state tax authority and foreign tax authority examinations.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On July 4, 2025, the One Big Beautiful Bill Act (“OBBBA”) was enacted in the United States. The OBBBA permanently extends certain provisions of the Tax Cuts and Jobs Act, including 100% bonus depreciation for certain qualified property, and reverses the requirement to capitalize and amortize domestic research and experimentation (“R&amp;E”) expenses. As a result, for tax years beginning after December 31, 2024, taxpayers may deduct such expenses in the year incurred. The legislation also introduced an election to accelerate any unamortized domestic R&amp;E expenditures over a one- or two-year period beginning with the 2025 tax year and includes modifications to the international tax framework. Future guidance from the Internal Revenue Service and other tax authorities with respect to such legislation may affect us, and certain aspects thereof could be repealed or modified in future legislation. In accordance with ASC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the Company has reflected the effects of the OBBBA in its financial statements for the quarter ended June 30, 2026. The enactment of the OBBBA reduced the Company’s forecasted U.S. income tax expense for 2026. The legislation did not impact the Company’s U.S. net deferred tax assets or liabilities, as a full valuation allowance continues to be maintained against those balances.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Net Income Per Share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common share is presented in conformity with the two-class method required for participating securities. 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income per share (in thousands, except per share data):</w:t>
      </w:r>
    </w:p>
    <w:tbl>
      <w:tblPr>
        <w:tblW w:w="10798" w:type="dxa"/>
        <w:jc w:val="left"/>
        <w:tblInd w:w="0" w:type="dxa"/>
        <w:tblLayout w:type="fixed"/>
        <w:tblCellMar>
          <w:top w:w="28" w:type="dxa"/>
          <w:left w:w="28" w:type="dxa"/>
          <w:bottom w:w="28" w:type="dxa"/>
          <w:right w:w="28" w:type="dxa"/>
        </w:tblCellMar>
      </w:tblPr>
      <w:tblGrid>
        <w:gridCol w:w="742"/>
        <w:gridCol w:w="452"/>
        <w:gridCol w:w="202"/>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 net income per share, 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distributed income, net of interest expense and related tax</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undistributed net income as a result of conversion of Class B to Class A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Allocation of undistributed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basic calculation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diluted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to Class A common shares outstanding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and performance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in connection with acquisition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Shares issuable upon conversion of the 2025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Shares issuable upon conversion of the 2029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diluted calculation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that were not included in the diluted per share calculations because they would be anti-dilutive were as follows (in thousands):</w:t>
      </w:r>
    </w:p>
    <w:tbl>
      <w:tblPr>
        <w:tblW w:w="6820" w:type="dxa"/>
        <w:jc w:val="left"/>
        <w:tblInd w:w="0" w:type="dxa"/>
        <w:tblLayout w:type="fixed"/>
        <w:tblCellMar>
          <w:top w:w="28" w:type="dxa"/>
          <w:left w:w="28" w:type="dxa"/>
          <w:bottom w:w="28" w:type="dxa"/>
          <w:right w:w="28" w:type="dxa"/>
        </w:tblCellMar>
      </w:tblPr>
      <w:tblGrid>
        <w:gridCol w:w="1809"/>
        <w:gridCol w:w="1590"/>
        <w:gridCol w:w="1595"/>
        <w:gridCol w:w="233"/>
        <w:gridCol w:w="233"/>
        <w:gridCol w:w="156"/>
        <w:gridCol w:w="125"/>
        <w:gridCol w:w="125"/>
        <w:gridCol w:w="125"/>
        <w:gridCol w:w="308"/>
        <w:gridCol w:w="308"/>
        <w:gridCol w:w="213"/>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stock options, RSUs and PSUs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the employee stock purchase plan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the if-converted method for calculating any potential dilutive effect of the conversion options embedded in the Notes on diluted net income per share.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entered into Capped Calls in connection with the issuance of the Notes. The effect of the Capped Calls was excluded from the calculation of diluted net income per share as the effect of the Capped Calls would have been anti-dilutive. The Capped Calls are expected to partially offset the potential dilution to the Company’s Class A common stock upon any conversion of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Derivative Financial Instruments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consist of foreign currency forward contracts used to manage exposure to fluctuations in foreign currency exchange rates, which all have maturities of 12 months or less.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foreign currency forward contracts designated as cash flow hedges with total notional amounts of approximately $191.4 million. The notional amounts of derivative instruments represent the amount of foreign currency to be exchanged under the contracts and do not represent the Company’s exposure to credit or market risk.</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As of June 30, 2026, an estimated ($3.3) million of net gains (losses) included in accumulated other comprehensive income (loss) is expected to be reclassified into earnings within the next 12 months. Cash flows from the settlement of these contracts are classified in the same category as the underlying hedged transactions. Refer to Note 2,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and Note 4,</w:t>
      </w:r>
      <w:r>
        <w:rPr>
          <w:color w:val="000000"/>
        </w:rPr>
        <w:t xml:space="preserve">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2025,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Datadog is the AI-powered observability and security platform for cloud applications.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SaaS platform integrates and automates infrastructure monitoring, application performance monitoring, log management, user experience monitoring, cloud security, service management,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we had $435.0 million in cash and cash equivalents and $4.6 billion in marketable securities. We generated revenue of $1.1 billion and $826.8 million in the three months ended June 30, 2026 and 2025, respectively, representing year-over-year growth of 36%. For the six months ended June 30, 2026 and 2025, our revenue was $2.1 billion and $1.6 billion, respectively, representing year-over-year growth of 34%. Substantially all of our revenue is from subscription software sales. While we have continued to make significant expenditures and investments, including in personnel-related costs, sales and marketing, infrastructure and operations, we generated net income of $44.6 million and $2.6 million for the three months ended June 30, 2026 and 2025, respectively, and $97.1 million and $27.3 million for the six months ended June 30, 2026 and 2025, respectively. Our operating cash flow was $650.5 million and $471.6 million for the six months ended June 30, 2026 and 2025, respectively. Our free cash flow was $567.8 million and $409.7 million for the six months ended June 30, 2026 and 2025, respectively. See the section titled “—Liquidity and Capital Resources—Non-GAAP Free Cash Flow” below.</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and the conflicts in Ukraine and the Middle East have led to economic uncertainty. Historically, during periods of economic uncertainty and downturns, businesses may slow spending on information technology, which may impact our business and our customers’ businesses.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Acquiring New Customers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2026, we had approximately 33,400 customers spanning organizations of a broad range of sizes and industries, compared to approximately 31,400 as of June 30, 2025. Our ability to attract new customers will depend on a number of factors, including the effectiveness and pricing of our products, offerings of our competitors and the effectiveness of our marketing efforts.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Expanding Within Our Existing Customer Base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base of customers represents a significant opportunity for further sales expansion. As of June 30, 2026, we had approximately 4,720 customers with annual run-rate revenue, or ARR, of $100,000 or more, representing 91% of our ARR, up from 3,850 customers as of June 30, 2025, representing 89%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further indication of the propensity of our customer relationships to expand over time is our dollar-based net retention rate, which compares our ARR from the same set of customers in one period, relative to the year-ago period. As of June 30, 2026, our trailing 12-month dollar-based net retention rate was in the low-120%'s. As of June 30, 2025, our trailing 12-month dollar-based net retention rate was about 120%. The increase in our trailing 12-month dollar-based net retention rate was attributable to increased usage growth from existing customers. However, we saw a reduction in usage from our largest customer starting in the third quarter of 2026.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Sustaining Innovation and Technology Leadership</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85% of our customers were using two or more products as of June 30, 2026, up from approximately 83% a year earlier. Additionally, as of June 30, 2026, approximately 58% of our customers were using four or more products, up from approximately 52% a year earlier, approximately 37% of our customers were using six or more products, up from 29% a year earlier, approximately 22% of our customers were using eight or more products, up from 14% a year earlier; and approximately 13% of our customers were using ten or more products, up from 7% a year earlier. We believe these metrics indicate strong expansion of product adoption across our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Expanding Internationally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there is a significant opportunity to expand usage of our platform outside of North America. Revenue, as determined based on the billing address of our customers, from regions outside of North America was approximately 27% and 29% of our total revenue for the six months ended June 30, 2026 and 2025,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 Usage is measured on a per-unit basis, with the unit of measure differing for each product, based on the unit that, in working with customers and design partners, best indicates the value we deliver.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ease of implementation of our products, professional services generally are not required and revenue from such services has been immaterial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with the exception of certain software development costs which are eligible for capitalization. We expect that our research and development expense will increase in absolute dollars as our business grows, particularly as we incur additional costs related to continued investments in our platform.</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Income, (Loss),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(loss), net consists of interest income, primarily due to income earned on money market funds included in cash and cash equivalents and on marketable securities, partially offset by interest expense on the Notes and amortization of premiums on our marketable securities.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for the periods indicated:</w:t>
      </w:r>
    </w:p>
    <w:tbl>
      <w:tblPr>
        <w:tblW w:w="9787" w:type="dxa"/>
        <w:jc w:val="left"/>
        <w:tblInd w:w="0" w:type="dxa"/>
        <w:tblLayout w:type="fixed"/>
        <w:tblCellMar>
          <w:top w:w="28" w:type="dxa"/>
          <w:left w:w="28" w:type="dxa"/>
          <w:bottom w:w="28" w:type="dxa"/>
          <w:right w:w="28" w:type="dxa"/>
        </w:tblCellMar>
      </w:tblPr>
      <w:tblGrid>
        <w:gridCol w:w="1258"/>
        <w:gridCol w:w="1109"/>
        <w:gridCol w:w="1113"/>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401"/>
      </w:tblGrid>
      <w:tr>
        <w:trPr/>
        <w:tc>
          <w:tcPr>
            <w:tcW w:w="125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1,588,313 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2"/>
              </w:rPr>
              <w:t>(1)(2)(3)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323,606 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1,264,707 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2"/>
              </w:rPr>
              <w:t>(1)(3)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728,543 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2"/>
              </w:rPr>
              <w:t>(1)(2)(3)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453,317 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2"/>
              </w:rPr>
              <w:t>(1)(3)(4)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130,767 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1,312,627 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(47,920)</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2"/>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37,884 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27,289 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7920" w:type="dxa"/>
        <w:jc w:val="left"/>
        <w:tblInd w:w="0" w:type="dxa"/>
        <w:tblLayout w:type="fixed"/>
        <w:tblCellMar>
          <w:top w:w="28" w:type="dxa"/>
          <w:left w:w="28" w:type="dxa"/>
          <w:bottom w:w="28" w:type="dxa"/>
          <w:right w:w="28" w:type="dxa"/>
        </w:tblCellMar>
      </w:tblPr>
      <w:tblGrid>
        <w:gridCol w:w="835"/>
        <w:gridCol w:w="736"/>
        <w:gridCol w:w="7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417,093 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344,727 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amortization of acquired intangibles expense as follows:</w:t>
      </w:r>
    </w:p>
    <w:tbl>
      <w:tblPr>
        <w:tblW w:w="6524" w:type="dxa"/>
        <w:jc w:val="left"/>
        <w:tblInd w:w="0" w:type="dxa"/>
        <w:tblLayout w:type="fixed"/>
        <w:tblCellMar>
          <w:top w:w="28" w:type="dxa"/>
          <w:left w:w="28" w:type="dxa"/>
          <w:bottom w:w="28" w:type="dxa"/>
          <w:right w:w="28" w:type="dxa"/>
        </w:tblCellMar>
      </w:tblPr>
      <w:tblGrid>
        <w:gridCol w:w="634"/>
        <w:gridCol w:w="559"/>
        <w:gridCol w:w="56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employer payroll taxes on employee stock transactions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bl>
      <w:tblPr>
        <w:tblW w:w="7500"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29,630 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Includes M&amp;A transaction costs as follows:</w:t>
      </w:r>
    </w:p>
    <w:tbl>
      <w:tblPr>
        <w:tblW w:w="7079"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Includes amortization of issuance costs as follows:</w:t>
      </w:r>
    </w:p>
    <w:tbl>
      <w:tblPr>
        <w:tblW w:w="6194" w:type="dxa"/>
        <w:jc w:val="left"/>
        <w:tblInd w:w="0" w:type="dxa"/>
        <w:tblLayout w:type="fixed"/>
        <w:tblCellMar>
          <w:top w:w="28" w:type="dxa"/>
          <w:left w:w="28" w:type="dxa"/>
          <w:bottom w:w="28" w:type="dxa"/>
          <w:right w:w="28" w:type="dxa"/>
        </w:tblCellMar>
      </w:tblPr>
      <w:tblGrid>
        <w:gridCol w:w="516"/>
        <w:gridCol w:w="452"/>
        <w:gridCol w:w="45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expressed as a percentage of revenue for the periods indicated:</w:t>
      </w:r>
    </w:p>
    <w:tbl>
      <w:tblPr>
        <w:tblW w:w="7721" w:type="dxa"/>
        <w:jc w:val="left"/>
        <w:tblInd w:w="0" w:type="dxa"/>
        <w:tblLayout w:type="fixed"/>
        <w:tblCellMar>
          <w:top w:w="28" w:type="dxa"/>
          <w:left w:w="28" w:type="dxa"/>
          <w:bottom w:w="28" w:type="dxa"/>
          <w:right w:w="28" w:type="dxa"/>
        </w:tblCellMar>
      </w:tblPr>
      <w:tblGrid>
        <w:gridCol w:w="1258"/>
        <w:gridCol w:w="1107"/>
        <w:gridCol w:w="1114"/>
        <w:gridCol w:w="233"/>
        <w:gridCol w:w="233"/>
        <w:gridCol w:w="333"/>
        <w:gridCol w:w="134"/>
        <w:gridCol w:w="134"/>
        <w:gridCol w:w="134"/>
        <w:gridCol w:w="233"/>
        <w:gridCol w:w="233"/>
        <w:gridCol w:w="333"/>
        <w:gridCol w:w="109"/>
        <w:gridCol w:w="109"/>
        <w:gridCol w:w="109"/>
        <w:gridCol w:w="233"/>
        <w:gridCol w:w="233"/>
        <w:gridCol w:w="292"/>
        <w:gridCol w:w="117"/>
        <w:gridCol w:w="117"/>
        <w:gridCol w:w="117"/>
        <w:gridCol w:w="233"/>
        <w:gridCol w:w="233"/>
        <w:gridCol w:w="340"/>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(as a percentage of total revenue</w:t>
            </w:r>
            <w:r>
              <w:rPr>
                <w:rFonts w:ascii="Times New Roman;serif" w:hAnsi="Times New Roman;serif"/>
                <w:b/>
                <w:color w:val="000000"/>
                <w:sz w:val="12"/>
              </w:rPr>
              <w:t>(1)</w:t>
            </w:r>
            <w:r>
              <w:rPr>
                <w:rFonts w:ascii="Times New Roman;serif" w:hAnsi="Times New Roman;serif"/>
                <w:b/>
                <w:color w:val="000000"/>
                <w:sz w:val="16"/>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(1)Certain items may not total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bl>
      <w:tblPr>
        <w:tblW w:w="6326"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86"/>
        <w:gridCol w:w="186"/>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Revenue increased by $294.7 million, or 36%, for the </w:t>
      </w:r>
      <w:r>
        <w:rPr>
          <w:rFonts w:ascii="Times New Roman;serif" w:hAnsi="Times New Roman;serif"/>
          <w:b w:val="false"/>
          <w:color w:val="000000"/>
          <w:sz w:val="20"/>
          <w:shd w:fill="FFFFFF" w:val="clear"/>
        </w:rPr>
        <w:t>three months ended June 30, 2026</w:t>
      </w:r>
      <w:r>
        <w:rPr>
          <w:color w:val="000000"/>
        </w:rPr>
        <w:t xml:space="preserve"> </w:t>
      </w:r>
      <w:r>
        <w:rPr>
          <w:rFonts w:ascii="Times New Roman;serif" w:hAnsi="Times New Roman;serif"/>
          <w:b w:val="false"/>
          <w:color w:val="000000"/>
          <w:sz w:val="20"/>
        </w:rPr>
        <w:t xml:space="preserve">compared to the </w:t>
      </w:r>
      <w:r>
        <w:rPr>
          <w:rFonts w:ascii="Times New Roman;serif" w:hAnsi="Times New Roman;serif"/>
          <w:b w:val="false"/>
          <w:color w:val="000000"/>
          <w:sz w:val="20"/>
          <w:shd w:fill="FFFFFF" w:val="clear"/>
        </w:rPr>
        <w:t>three months ended June 30, 2025</w:t>
      </w:r>
      <w:r>
        <w:rPr>
          <w:rFonts w:ascii="Times New Roman;serif" w:hAnsi="Times New Roman;serif"/>
          <w:b w:val="false"/>
          <w:color w:val="000000"/>
          <w:sz w:val="20"/>
        </w:rPr>
        <w:t>. Approximately 70% of the increase in revenue was attributable to growth from existing customers, and the remaining 30% was attributable to growth from new customers. We saw a reduction in usage from our largest customer starting in the third quarter of 2026, which may cause a deceleration in revenue growth.</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Cost of Revenue and Gross Margin</w:t>
      </w:r>
    </w:p>
    <w:tbl>
      <w:tblPr>
        <w:tblW w:w="6948"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6"/>
        <w:gridCol w:w="186"/>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Cost of revenue increased by $74.1 million, or 45%, for the </w:t>
      </w:r>
      <w:r>
        <w:rPr>
          <w:rFonts w:ascii="Times New Roman;serif" w:hAnsi="Times New Roman;serif"/>
          <w:b w:val="false"/>
          <w:color w:val="000000"/>
          <w:sz w:val="20"/>
          <w:shd w:fill="FFFFFF" w:val="clear"/>
        </w:rPr>
        <w:t xml:space="preserve">three months ended June 30, 2026 </w:t>
      </w:r>
      <w:r>
        <w:rPr>
          <w:rFonts w:ascii="Times New Roman;serif" w:hAnsi="Times New Roman;serif"/>
          <w:b w:val="false"/>
          <w:color w:val="000000"/>
          <w:sz w:val="20"/>
        </w:rPr>
        <w:t>compared to the</w:t>
      </w:r>
      <w:r>
        <w:rPr>
          <w:color w:val="000000"/>
          <w:shd w:fill="FFFFFF" w:val="clear"/>
        </w:rPr>
        <w:t xml:space="preserve"> </w:t>
      </w:r>
      <w:r>
        <w:rPr>
          <w:rFonts w:ascii="Times New Roman;serif" w:hAnsi="Times New Roman;serif"/>
          <w:b w:val="false"/>
          <w:color w:val="000000"/>
          <w:sz w:val="20"/>
          <w:shd w:fill="FFFFFF" w:val="clear"/>
        </w:rPr>
        <w:t xml:space="preserve">three months ended June 30, 2025. </w:t>
      </w:r>
      <w:r>
        <w:rPr>
          <w:rFonts w:ascii="Times New Roman;serif" w:hAnsi="Times New Roman;serif"/>
          <w:b w:val="false"/>
          <w:color w:val="000000"/>
          <w:sz w:val="20"/>
        </w:rPr>
        <w:t>This increase was primarily due to an increase of $64.1 million in third-party cloud infrastructure hosting and software costs and an increase of $5.2 million in personnel costs including allocated overhead costs as a result of increased headcount.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gross margin decreased for the three months ended June 30, 2026 compared to the three months ended June 30, 2025, primarily as a result of increased spend with our third-party cloud infrastructure provider costs.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7306" w:type="dxa"/>
        <w:jc w:val="left"/>
        <w:tblInd w:w="0" w:type="dxa"/>
        <w:tblLayout w:type="fixed"/>
        <w:tblCellMar>
          <w:top w:w="28" w:type="dxa"/>
          <w:left w:w="28" w:type="dxa"/>
          <w:bottom w:w="28" w:type="dxa"/>
          <w:right w:w="28" w:type="dxa"/>
        </w:tblCellMar>
      </w:tblPr>
      <w:tblGrid>
        <w:gridCol w:w="837"/>
        <w:gridCol w:w="734"/>
        <w:gridCol w:w="738"/>
        <w:gridCol w:w="232"/>
        <w:gridCol w:w="224"/>
        <w:gridCol w:w="557"/>
        <w:gridCol w:w="120"/>
        <w:gridCol w:w="120"/>
        <w:gridCol w:w="120"/>
        <w:gridCol w:w="232"/>
        <w:gridCol w:w="224"/>
        <w:gridCol w:w="557"/>
        <w:gridCol w:w="109"/>
        <w:gridCol w:w="109"/>
        <w:gridCol w:w="109"/>
        <w:gridCol w:w="211"/>
        <w:gridCol w:w="721"/>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477,968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Research and development expense increased by $90.5 million, or 23%, for the </w:t>
      </w:r>
      <w:r>
        <w:rPr>
          <w:rFonts w:ascii="Times New Roman;serif" w:hAnsi="Times New Roman;serif"/>
          <w:b w:val="false"/>
          <w:color w:val="000000"/>
          <w:sz w:val="20"/>
          <w:shd w:fill="FFFFFF" w:val="clear"/>
        </w:rPr>
        <w:t>three months ended June 30, 2026</w:t>
      </w:r>
      <w:r>
        <w:rPr>
          <w:color w:val="000000"/>
        </w:rPr>
        <w:t xml:space="preserve"> </w:t>
      </w:r>
      <w:r>
        <w:rPr>
          <w:rFonts w:ascii="Times New Roman;serif" w:hAnsi="Times New Roman;serif"/>
          <w:b w:val="false"/>
          <w:color w:val="000000"/>
          <w:sz w:val="20"/>
        </w:rPr>
        <w:t>compared to the</w:t>
      </w:r>
      <w:r>
        <w:rPr>
          <w:color w:val="000000"/>
          <w:shd w:fill="FFFFFF" w:val="clear"/>
        </w:rPr>
        <w:t xml:space="preserve"> </w:t>
      </w:r>
      <w:r>
        <w:rPr>
          <w:rFonts w:ascii="Times New Roman;serif" w:hAnsi="Times New Roman;serif"/>
          <w:b w:val="false"/>
          <w:color w:val="000000"/>
          <w:sz w:val="20"/>
          <w:shd w:fill="FFFFFF" w:val="clear"/>
        </w:rPr>
        <w:t xml:space="preserve">three months ended June 30, 2025. </w:t>
      </w:r>
      <w:r>
        <w:rPr>
          <w:rFonts w:ascii="Times New Roman;serif" w:hAnsi="Times New Roman;serif"/>
          <w:b w:val="false"/>
          <w:color w:val="000000"/>
          <w:sz w:val="20"/>
        </w:rPr>
        <w:t>This increase was primarily due to an increase of $62.5 million in personnel costs including allocated overhead costs for our engineering, product and design teams as a result of increased headcount and an increase of $28.2 million in cloud infrastructure and software-related investments.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6901" w:type="dxa"/>
        <w:jc w:val="left"/>
        <w:tblInd w:w="0" w:type="dxa"/>
        <w:tblLayout w:type="fixed"/>
        <w:tblCellMar>
          <w:top w:w="28" w:type="dxa"/>
          <w:left w:w="28" w:type="dxa"/>
          <w:bottom w:w="28" w:type="dxa"/>
          <w:right w:w="28" w:type="dxa"/>
        </w:tblCellMar>
      </w:tblPr>
      <w:tblGrid>
        <w:gridCol w:w="688"/>
        <w:gridCol w:w="606"/>
        <w:gridCol w:w="610"/>
        <w:gridCol w:w="232"/>
        <w:gridCol w:w="224"/>
        <w:gridCol w:w="557"/>
        <w:gridCol w:w="120"/>
        <w:gridCol w:w="120"/>
        <w:gridCol w:w="120"/>
        <w:gridCol w:w="232"/>
        <w:gridCol w:w="224"/>
        <w:gridCol w:w="557"/>
        <w:gridCol w:w="109"/>
        <w:gridCol w:w="109"/>
        <w:gridCol w:w="109"/>
        <w:gridCol w:w="211"/>
        <w:gridCol w:w="721"/>
        <w:gridCol w:w="109"/>
        <w:gridCol w:w="109"/>
        <w:gridCol w:w="109"/>
        <w:gridCol w:w="109"/>
        <w:gridCol w:w="186"/>
        <w:gridCol w:w="186"/>
        <w:gridCol w:w="54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311,519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Sales and marketing expense increased by $72.5 million, or 30%, for the three months ended June 30, 2026 compared to the three months ended June 30, 2025. </w:t>
      </w:r>
      <w:r>
        <w:rPr>
          <w:rFonts w:ascii="Times New Roman;serif" w:hAnsi="Times New Roman;serif"/>
          <w:b w:val="false"/>
          <w:color w:val="000000"/>
          <w:sz w:val="20"/>
        </w:rPr>
        <w:t>This increase was primarily due to an increase of $56.6 million in personnel costs including allocated overhead costs for our sales and marketing organization as a result of increased headcount and increased variable compensation for our sales personnel and an increase of $12.0 million in advertising, sales, marketing and promotional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7096" w:type="dxa"/>
        <w:jc w:val="left"/>
        <w:tblInd w:w="0" w:type="dxa"/>
        <w:tblLayout w:type="fixed"/>
        <w:tblCellMar>
          <w:top w:w="28" w:type="dxa"/>
          <w:left w:w="28" w:type="dxa"/>
          <w:bottom w:w="28" w:type="dxa"/>
          <w:right w:w="28" w:type="dxa"/>
        </w:tblCellMar>
      </w:tblPr>
      <w:tblGrid>
        <w:gridCol w:w="837"/>
        <w:gridCol w:w="735"/>
        <w:gridCol w:w="737"/>
        <w:gridCol w:w="232"/>
        <w:gridCol w:w="193"/>
        <w:gridCol w:w="483"/>
        <w:gridCol w:w="120"/>
        <w:gridCol w:w="120"/>
        <w:gridCol w:w="120"/>
        <w:gridCol w:w="232"/>
        <w:gridCol w:w="193"/>
        <w:gridCol w:w="483"/>
        <w:gridCol w:w="109"/>
        <w:gridCol w:w="109"/>
        <w:gridCol w:w="109"/>
        <w:gridCol w:w="211"/>
        <w:gridCol w:w="721"/>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General and administrative expense increased by $16.6 million, or 24%, for the three months ended June 30, 2026 compared to the three months ended June 30, 2025.</w:t>
      </w:r>
      <w:r>
        <w:rPr>
          <w:color w:val="000000"/>
        </w:rPr>
        <w:t xml:space="preserve"> </w:t>
      </w:r>
      <w:r>
        <w:rPr>
          <w:rFonts w:ascii="Times New Roman;serif" w:hAnsi="Times New Roman;serif"/>
          <w:b w:val="false"/>
          <w:color w:val="000000"/>
          <w:sz w:val="20"/>
        </w:rPr>
        <w:t>This increase was primarily due to an increase of $12.9 million in personnel costs including allocated overhead costs as a result of increased headcount.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7144" w:type="dxa"/>
        <w:jc w:val="left"/>
        <w:tblInd w:w="0" w:type="dxa"/>
        <w:tblLayout w:type="fixed"/>
        <w:tblCellMar>
          <w:top w:w="28" w:type="dxa"/>
          <w:left w:w="28" w:type="dxa"/>
          <w:bottom w:w="28" w:type="dxa"/>
          <w:right w:w="28" w:type="dxa"/>
        </w:tblCellMar>
      </w:tblPr>
      <w:tblGrid>
        <w:gridCol w:w="689"/>
        <w:gridCol w:w="607"/>
        <w:gridCol w:w="6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Other income, net increased by $4.7 million, or 11%, for the </w:t>
      </w:r>
      <w:r>
        <w:rPr>
          <w:rFonts w:ascii="Times New Roman;serif" w:hAnsi="Times New Roman;serif"/>
          <w:b w:val="false"/>
          <w:color w:val="000000"/>
          <w:sz w:val="20"/>
          <w:shd w:fill="FFFFFF" w:val="clear"/>
        </w:rPr>
        <w:t>three months ended June 30, 2026</w:t>
      </w:r>
      <w:r>
        <w:rPr>
          <w:color w:val="000000"/>
        </w:rPr>
        <w:t xml:space="preserve"> </w:t>
      </w:r>
      <w:r>
        <w:rPr>
          <w:rFonts w:ascii="Times New Roman;serif" w:hAnsi="Times New Roman;serif"/>
          <w:b w:val="false"/>
          <w:color w:val="000000"/>
          <w:sz w:val="20"/>
        </w:rPr>
        <w:t>compared to the</w:t>
      </w:r>
      <w:r>
        <w:rPr>
          <w:color w:val="000000"/>
          <w:shd w:fill="FFFFFF" w:val="clear"/>
        </w:rPr>
        <w:t xml:space="preserve"> </w:t>
      </w:r>
      <w:r>
        <w:rPr>
          <w:rFonts w:ascii="Times New Roman;serif" w:hAnsi="Times New Roman;serif"/>
          <w:b w:val="false"/>
          <w:color w:val="000000"/>
          <w:sz w:val="20"/>
          <w:shd w:fill="FFFFFF" w:val="clear"/>
        </w:rPr>
        <w:t>three months ended June 30, 2025</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This increase was primarily driven by an increase of $3.4 million due to fluctuations related to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Comparison of the Six Months Ended June 30, 2026 and 2025</w:t>
      </w:r>
    </w:p>
    <w:p>
      <w:pPr>
        <w:pStyle w:val="TextBody"/>
        <w:bidi w:val="0"/>
        <w:spacing w:lineRule="auto" w:line="288" w:before="24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6476"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6"/>
        <w:gridCol w:w="186"/>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2,127,880 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1,588,313 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Revenue increased by $539.6 million, or 34%, in the six months ended June 30, 2026 compared to the six months ended June 30, 2025</w:t>
      </w:r>
      <w:r>
        <w:rPr>
          <w:rFonts w:ascii="Times New Roman;serif" w:hAnsi="Times New Roman;serif"/>
          <w:b w:val="false"/>
          <w:color w:val="000000"/>
          <w:sz w:val="20"/>
        </w:rPr>
        <w:t>. Approximately 75% of the increase in revenue was attributable to growth from existing customers, and the remaining 25% was attributable to growth from new customers. We saw a reduction in usage from our largest customer starting in the third quarter of 2026, which may cause a deceleration in revenue growth.</w:t>
      </w:r>
    </w:p>
    <w:p>
      <w:pPr>
        <w:pStyle w:val="TextBody"/>
        <w:bidi w:val="0"/>
        <w:spacing w:lineRule="auto" w:line="288" w:before="24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Revenue and Gross Margin</w:t>
      </w:r>
    </w:p>
    <w:tbl>
      <w:tblPr>
        <w:tblW w:w="6496" w:type="dxa"/>
        <w:jc w:val="left"/>
        <w:tblInd w:w="0" w:type="dxa"/>
        <w:tblLayout w:type="fixed"/>
        <w:tblCellMar>
          <w:top w:w="28" w:type="dxa"/>
          <w:left w:w="28" w:type="dxa"/>
          <w:bottom w:w="28" w:type="dxa"/>
          <w:right w:w="28" w:type="dxa"/>
        </w:tblCellMar>
      </w:tblPr>
      <w:tblGrid>
        <w:gridCol w:w="504"/>
        <w:gridCol w:w="444"/>
        <w:gridCol w:w="446"/>
        <w:gridCol w:w="232"/>
        <w:gridCol w:w="224"/>
        <w:gridCol w:w="557"/>
        <w:gridCol w:w="120"/>
        <w:gridCol w:w="120"/>
        <w:gridCol w:w="120"/>
        <w:gridCol w:w="232"/>
        <w:gridCol w:w="224"/>
        <w:gridCol w:w="557"/>
        <w:gridCol w:w="109"/>
        <w:gridCol w:w="109"/>
        <w:gridCol w:w="109"/>
        <w:gridCol w:w="211"/>
        <w:gridCol w:w="826"/>
        <w:gridCol w:w="109"/>
        <w:gridCol w:w="109"/>
        <w:gridCol w:w="109"/>
        <w:gridCol w:w="109"/>
        <w:gridCol w:w="186"/>
        <w:gridCol w:w="186"/>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449,341</w:t>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5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5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Cost of revenue increased by $125.7 million, or 39%, in the six months ended June 30, 2026 compared to the six months ended June 30, 2025</w:t>
      </w:r>
      <w:r>
        <w:rPr>
          <w:rFonts w:ascii="Times New Roman;serif" w:hAnsi="Times New Roman;serif"/>
          <w:b w:val="false"/>
          <w:color w:val="000000"/>
          <w:sz w:val="20"/>
        </w:rPr>
        <w:t xml:space="preserve">. This increase was primarily due to an increase of </w:t>
      </w:r>
      <w:r>
        <w:rPr>
          <w:rFonts w:ascii="Times New Roman;serif" w:hAnsi="Times New Roman;serif"/>
          <w:b w:val="false"/>
          <w:color w:val="000000"/>
          <w:sz w:val="20"/>
          <w:shd w:fill="FFFFFF" w:val="clear"/>
        </w:rPr>
        <w:t>$106.0 million</w:t>
      </w:r>
      <w:r>
        <w:rPr>
          <w:color w:val="000000"/>
        </w:rPr>
        <w:t xml:space="preserve"> </w:t>
      </w:r>
      <w:r>
        <w:rPr>
          <w:rFonts w:ascii="Times New Roman;serif" w:hAnsi="Times New Roman;serif"/>
          <w:b w:val="false"/>
          <w:color w:val="000000"/>
          <w:sz w:val="20"/>
        </w:rPr>
        <w:t xml:space="preserve">in third-party cloud infrastructure hosting and software costs and an increase of </w:t>
      </w:r>
      <w:r>
        <w:rPr>
          <w:rFonts w:ascii="Times New Roman;serif" w:hAnsi="Times New Roman;serif"/>
          <w:b w:val="false"/>
          <w:color w:val="000000"/>
          <w:sz w:val="20"/>
          <w:shd w:fill="FFFFFF" w:val="clear"/>
        </w:rPr>
        <w:t>$9.5 million</w:t>
      </w:r>
      <w:r>
        <w:rPr>
          <w:color w:val="000000"/>
        </w:rPr>
        <w:t xml:space="preserve"> </w:t>
      </w:r>
      <w:r>
        <w:rPr>
          <w:rFonts w:ascii="Times New Roman;serif" w:hAnsi="Times New Roman;serif"/>
          <w:b w:val="false"/>
          <w:color w:val="000000"/>
          <w:sz w:val="20"/>
        </w:rPr>
        <w:t>in personnel costs including allocated overhead costs as a result of increased headcount.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gross margin decreased for the six months ended June 30, 2026 compared to the six months ended June 30, 2025, primarily as a result of increased spend with our third-party cloud infrastructure provider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w:t>
      </w:r>
    </w:p>
    <w:tbl>
      <w:tblPr>
        <w:tblW w:w="7411" w:type="dxa"/>
        <w:jc w:val="left"/>
        <w:tblInd w:w="0" w:type="dxa"/>
        <w:tblLayout w:type="fixed"/>
        <w:tblCellMar>
          <w:top w:w="28" w:type="dxa"/>
          <w:left w:w="28" w:type="dxa"/>
          <w:bottom w:w="28" w:type="dxa"/>
          <w:right w:w="28" w:type="dxa"/>
        </w:tblCellMar>
      </w:tblPr>
      <w:tblGrid>
        <w:gridCol w:w="837"/>
        <w:gridCol w:w="734"/>
        <w:gridCol w:w="738"/>
        <w:gridCol w:w="232"/>
        <w:gridCol w:w="224"/>
        <w:gridCol w:w="557"/>
        <w:gridCol w:w="120"/>
        <w:gridCol w:w="120"/>
        <w:gridCol w:w="120"/>
        <w:gridCol w:w="232"/>
        <w:gridCol w:w="224"/>
        <w:gridCol w:w="557"/>
        <w:gridCol w:w="109"/>
        <w:gridCol w:w="109"/>
        <w:gridCol w:w="109"/>
        <w:gridCol w:w="211"/>
        <w:gridCol w:w="82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913,266</w:t>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Research and development expense increased by $184.7 million, or 25%, in the six months ended June 30, 2026 compared to the six months ended June 30, 2025. </w:t>
      </w:r>
      <w:r>
        <w:rPr>
          <w:rFonts w:ascii="Times New Roman;serif" w:hAnsi="Times New Roman;serif"/>
          <w:b w:val="false"/>
          <w:color w:val="000000"/>
          <w:sz w:val="20"/>
        </w:rPr>
        <w:t xml:space="preserve">This increase was primarily due to an increase of </w:t>
      </w:r>
      <w:r>
        <w:rPr>
          <w:rFonts w:ascii="Times New Roman;serif" w:hAnsi="Times New Roman;serif"/>
          <w:b w:val="false"/>
          <w:color w:val="000000"/>
          <w:sz w:val="20"/>
          <w:shd w:fill="FFFFFF" w:val="clear"/>
        </w:rPr>
        <w:t>$132.8 million</w:t>
      </w:r>
      <w:r>
        <w:rPr>
          <w:color w:val="000000"/>
        </w:rPr>
        <w:t xml:space="preserve"> </w:t>
      </w:r>
      <w:r>
        <w:rPr>
          <w:rFonts w:ascii="Times New Roman;serif" w:hAnsi="Times New Roman;serif"/>
          <w:b w:val="false"/>
          <w:color w:val="000000"/>
          <w:sz w:val="20"/>
        </w:rPr>
        <w:t xml:space="preserve">in personnel costs including allocated overhead costs for our engineering, product and design teams as a result of increased headcount and an increase of </w:t>
      </w:r>
      <w:r>
        <w:rPr>
          <w:rFonts w:ascii="Times New Roman;serif" w:hAnsi="Times New Roman;serif"/>
          <w:b w:val="false"/>
          <w:color w:val="000000"/>
          <w:sz w:val="20"/>
          <w:shd w:fill="FFFFFF" w:val="clear"/>
        </w:rPr>
        <w:t>$49.2 million</w:t>
      </w:r>
      <w:r>
        <w:rPr>
          <w:color w:val="000000"/>
        </w:rPr>
        <w:t xml:space="preserve"> </w:t>
      </w:r>
      <w:r>
        <w:rPr>
          <w:rFonts w:ascii="Times New Roman;serif" w:hAnsi="Times New Roman;serif"/>
          <w:b w:val="false"/>
          <w:color w:val="000000"/>
          <w:sz w:val="20"/>
        </w:rPr>
        <w:t>in cloud infrastructure and software-related investments.</w:t>
      </w:r>
    </w:p>
    <w:p>
      <w:pPr>
        <w:pStyle w:val="TextBody"/>
        <w:bidi w:val="0"/>
        <w:spacing w:lineRule="auto" w:line="288" w:before="24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Sales and Marketing</w:t>
      </w:r>
    </w:p>
    <w:tbl>
      <w:tblPr>
        <w:tblW w:w="7006" w:type="dxa"/>
        <w:jc w:val="left"/>
        <w:tblInd w:w="0" w:type="dxa"/>
        <w:tblLayout w:type="fixed"/>
        <w:tblCellMar>
          <w:top w:w="28" w:type="dxa"/>
          <w:left w:w="28" w:type="dxa"/>
          <w:bottom w:w="28" w:type="dxa"/>
          <w:right w:w="28" w:type="dxa"/>
        </w:tblCellMar>
      </w:tblPr>
      <w:tblGrid>
        <w:gridCol w:w="688"/>
        <w:gridCol w:w="606"/>
        <w:gridCol w:w="610"/>
        <w:gridCol w:w="232"/>
        <w:gridCol w:w="224"/>
        <w:gridCol w:w="557"/>
        <w:gridCol w:w="120"/>
        <w:gridCol w:w="120"/>
        <w:gridCol w:w="120"/>
        <w:gridCol w:w="232"/>
        <w:gridCol w:w="224"/>
        <w:gridCol w:w="557"/>
        <w:gridCol w:w="109"/>
        <w:gridCol w:w="109"/>
        <w:gridCol w:w="109"/>
        <w:gridCol w:w="211"/>
        <w:gridCol w:w="826"/>
        <w:gridCol w:w="109"/>
        <w:gridCol w:w="109"/>
        <w:gridCol w:w="109"/>
        <w:gridCol w:w="109"/>
        <w:gridCol w:w="186"/>
        <w:gridCol w:w="186"/>
        <w:gridCol w:w="544"/>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591,342</w:t>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453,317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by $138.0 million, or 30%, in the six months ended June 30, 2026 compared to the six months ended June 30, 2025. This increase was primarily due to an increase of $110.3 million in personnel costs including allocated overhead costs for our sales and marketing organization as a result of increased headcount and increased variable compensation for our sales personnel and an increase of $23.1 million in advertising, sales, marketing and promotional activities.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7306" w:type="dxa"/>
        <w:jc w:val="left"/>
        <w:tblInd w:w="0" w:type="dxa"/>
        <w:tblLayout w:type="fixed"/>
        <w:tblCellMar>
          <w:top w:w="28" w:type="dxa"/>
          <w:left w:w="28" w:type="dxa"/>
          <w:bottom w:w="28" w:type="dxa"/>
          <w:right w:w="28" w:type="dxa"/>
        </w:tblCellMar>
      </w:tblPr>
      <w:tblGrid>
        <w:gridCol w:w="837"/>
        <w:gridCol w:w="735"/>
        <w:gridCol w:w="737"/>
        <w:gridCol w:w="232"/>
        <w:gridCol w:w="224"/>
        <w:gridCol w:w="557"/>
        <w:gridCol w:w="120"/>
        <w:gridCol w:w="120"/>
        <w:gridCol w:w="120"/>
        <w:gridCol w:w="232"/>
        <w:gridCol w:w="224"/>
        <w:gridCol w:w="557"/>
        <w:gridCol w:w="109"/>
        <w:gridCol w:w="109"/>
        <w:gridCol w:w="109"/>
        <w:gridCol w:w="211"/>
        <w:gridCol w:w="721"/>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161,149</w:t>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General and administrative expense increased by $30.4 million, or 23%, in the six months ended June 30, 2026 compared to the six months ended June 30, 2025. </w:t>
      </w:r>
      <w:r>
        <w:rPr>
          <w:rFonts w:ascii="Times New Roman;serif" w:hAnsi="Times New Roman;serif"/>
          <w:b w:val="false"/>
          <w:color w:val="000000"/>
          <w:sz w:val="20"/>
        </w:rPr>
        <w:t xml:space="preserve">This increase was primarily due to an increase of </w:t>
      </w:r>
      <w:r>
        <w:rPr>
          <w:rFonts w:ascii="Times New Roman;serif" w:hAnsi="Times New Roman;serif"/>
          <w:b w:val="false"/>
          <w:color w:val="000000"/>
          <w:sz w:val="20"/>
          <w:shd w:fill="FFFFFF" w:val="clear"/>
        </w:rPr>
        <w:t>$24.4 million</w:t>
      </w:r>
      <w:r>
        <w:rPr>
          <w:color w:val="000000"/>
        </w:rPr>
        <w:t xml:space="preserve"> </w:t>
      </w:r>
      <w:r>
        <w:rPr>
          <w:rFonts w:ascii="Times New Roman;serif" w:hAnsi="Times New Roman;serif"/>
          <w:b w:val="false"/>
          <w:color w:val="000000"/>
          <w:sz w:val="20"/>
        </w:rPr>
        <w:t>in personnel costs including allocated overhead costs as a result of increased headcount.</w:t>
      </w:r>
    </w:p>
    <w:p>
      <w:pPr>
        <w:pStyle w:val="TextBody"/>
        <w:bidi w:val="0"/>
        <w:spacing w:lineRule="auto" w:line="288" w:before="24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tbl>
      <w:tblPr>
        <w:tblW w:w="7249" w:type="dxa"/>
        <w:jc w:val="left"/>
        <w:tblInd w:w="0" w:type="dxa"/>
        <w:tblLayout w:type="fixed"/>
        <w:tblCellMar>
          <w:top w:w="28" w:type="dxa"/>
          <w:left w:w="28" w:type="dxa"/>
          <w:bottom w:w="28" w:type="dxa"/>
          <w:right w:w="28" w:type="dxa"/>
        </w:tblCellMar>
      </w:tblPr>
      <w:tblGrid>
        <w:gridCol w:w="689"/>
        <w:gridCol w:w="607"/>
        <w:gridCol w:w="6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6"/>
        <w:gridCol w:w="186"/>
        <w:gridCol w:w="54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97,881 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85,804 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Other income, net increased by $12.1 million, or 14%, in the six months ended June 30, 2026 compared to the six months ended June 30, 2025. </w:t>
      </w:r>
      <w:r>
        <w:rPr>
          <w:rFonts w:ascii="Times New Roman;serif" w:hAnsi="Times New Roman;serif"/>
          <w:b w:val="false"/>
          <w:color w:val="000000"/>
          <w:sz w:val="20"/>
        </w:rPr>
        <w:t xml:space="preserve">This increase was primarily driven by an increase of </w:t>
      </w:r>
      <w:r>
        <w:rPr>
          <w:rFonts w:ascii="Times New Roman;serif" w:hAnsi="Times New Roman;serif"/>
          <w:b w:val="false"/>
          <w:color w:val="000000"/>
          <w:sz w:val="20"/>
          <w:shd w:fill="FFFFFF" w:val="clear"/>
        </w:rPr>
        <w:t>$11.3 million</w:t>
      </w:r>
      <w:r>
        <w:rPr>
          <w:color w:val="000000"/>
        </w:rPr>
        <w:t xml:space="preserve"> </w:t>
      </w:r>
      <w:r>
        <w:rPr>
          <w:rFonts w:ascii="Times New Roman;serif" w:hAnsi="Times New Roman;serif"/>
          <w:b w:val="false"/>
          <w:color w:val="000000"/>
          <w:sz w:val="20"/>
        </w:rPr>
        <w:t>in other income mainly due to fluctuations related to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largest source of operating cash is cash collection from sales of subscriptions to our customers. Our primary uses of cash from operating activities are for personnel expenses, hosting expenses, facility expenses, and marketing expenses. We generated positive cash flows from operations during the six months ended June 30, 2026 and 2025. When assessing sources of liquidity, we also include cash and cash equivalents of $435.0 million and marketable securities of $4.6 billion as of June 30, 2026. We believe that our existing cash and cash equivalents, marketable securities and cash flow from operations will be sufficient to support our cash requirements for the next 12 months and beyond.</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w:t>
      </w:r>
      <w:r>
        <w:rPr>
          <w:color w:val="000000"/>
        </w:rPr>
        <w:t xml:space="preserve"> </w:t>
      </w:r>
      <w:r>
        <w:rPr>
          <w:rFonts w:ascii="Times New Roman;serif" w:hAnsi="Times New Roman;serif"/>
          <w:b w:val="false"/>
          <w:color w:val="000000"/>
          <w:sz w:val="20"/>
        </w:rPr>
        <w:t xml:space="preserve">Our principal commitments consist of </w:t>
      </w:r>
      <w:r>
        <w:rPr>
          <w:rFonts w:ascii="Times New Roman;serif" w:hAnsi="Times New Roman;serif"/>
          <w:b w:val="false"/>
          <w:color w:val="000000"/>
          <w:sz w:val="20"/>
          <w:shd w:fill="FFFFFF" w:val="clear"/>
        </w:rPr>
        <w:t>purchase commitments for business operations, operating lease obligations</w:t>
      </w:r>
      <w:r>
        <w:rPr>
          <w:rFonts w:ascii="Times New Roman;serif" w:hAnsi="Times New Roman;serif"/>
          <w:b w:val="false"/>
          <w:color w:val="000000"/>
          <w:sz w:val="20"/>
        </w:rPr>
        <w:t>, and obligations to pay principal and future interest payments related to our 2029 Notes</w:t>
      </w:r>
      <w:r>
        <w:rPr>
          <w:rFonts w:ascii="Times New Roman;serif" w:hAnsi="Times New Roman;serif"/>
          <w:b w:val="false"/>
          <w:color w:val="000000"/>
          <w:sz w:val="20"/>
          <w:shd w:fill="FFFFFF" w:val="clear"/>
        </w:rPr>
        <w:t xml:space="preserve">. Purchase commitments for business operations are primarily related to cloud hosting and other software-based services. </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We have also issued long-term debt to finance our business. In December 2024, we issued </w:t>
      </w:r>
      <w:r>
        <w:rPr>
          <w:rFonts w:ascii="Times New Roman;serif" w:hAnsi="Times New Roman;serif"/>
          <w:b w:val="false"/>
          <w:color w:val="000000"/>
          <w:sz w:val="20"/>
        </w:rPr>
        <w:t>$1.0 billion</w:t>
      </w:r>
      <w:r>
        <w:rPr>
          <w:color w:val="000000"/>
          <w:shd w:fill="FFFFFF" w:val="clear"/>
        </w:rPr>
        <w:t xml:space="preserve"> </w:t>
      </w:r>
      <w:r>
        <w:rPr>
          <w:rFonts w:ascii="Times New Roman;serif" w:hAnsi="Times New Roman;serif"/>
          <w:b w:val="false"/>
          <w:color w:val="000000"/>
          <w:sz w:val="20"/>
          <w:shd w:fill="FFFFFF" w:val="clear"/>
        </w:rPr>
        <w:t>aggregate principal amount of the 2029 Notes in a private placement to qual</w:t>
      </w:r>
      <w:r>
        <w:rPr>
          <w:rFonts w:ascii="Times New Roman;serif" w:hAnsi="Times New Roman;serif"/>
          <w:b w:val="false"/>
          <w:color w:val="000000"/>
          <w:sz w:val="20"/>
        </w:rPr>
        <w:t>ified institutional buyers pursuant to Rule 144A under the Securities Act. The total net proceeds from the sale of the 2029 Notes, after deducting the initial purchasers’ discounts and debt issuance costs, were approximately $979.1 million. The principal and future interest payments related to our 2029 Notes are $1.0 billion. We may from time to time seek to retire or purchase the 2029 Notes, through cash purchases and/or exchanges for equity securities, in open market purchases, privately negotiated transactions or otherwise.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presented:</w:t>
      </w:r>
    </w:p>
    <w:tbl>
      <w:tblPr>
        <w:tblW w:w="6594" w:type="dxa"/>
        <w:jc w:val="left"/>
        <w:tblInd w:w="0" w:type="dxa"/>
        <w:tblLayout w:type="fixed"/>
        <w:tblCellMar>
          <w:top w:w="28" w:type="dxa"/>
          <w:left w:w="28" w:type="dxa"/>
          <w:bottom w:w="28" w:type="dxa"/>
          <w:right w:w="28" w:type="dxa"/>
        </w:tblCellMar>
      </w:tblPr>
      <w:tblGrid>
        <w:gridCol w:w="1422"/>
        <w:gridCol w:w="1252"/>
        <w:gridCol w:w="1256"/>
        <w:gridCol w:w="211"/>
        <w:gridCol w:w="826"/>
        <w:gridCol w:w="109"/>
        <w:gridCol w:w="109"/>
        <w:gridCol w:w="109"/>
        <w:gridCol w:w="109"/>
        <w:gridCol w:w="211"/>
        <w:gridCol w:w="82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Net cash provided by operating activities for the six months ended June 30, 2026 increased by </w:t>
      </w:r>
      <w:r>
        <w:rPr>
          <w:rFonts w:ascii="Times New Roman;serif" w:hAnsi="Times New Roman;serif"/>
          <w:b w:val="false"/>
          <w:color w:val="000000"/>
          <w:sz w:val="20"/>
        </w:rPr>
        <w:t>$178.9 million compared to the six months ended June 30, 2025, primarily driven by an increase in net income of $69.8 million, an increase in non-cash charges of $97.0 million, an i</w:t>
      </w:r>
      <w:r>
        <w:rPr>
          <w:rFonts w:ascii="Times New Roman;serif" w:hAnsi="Times New Roman;serif"/>
          <w:b w:val="false"/>
          <w:color w:val="000000"/>
          <w:sz w:val="20"/>
          <w:shd w:fill="FFFFFF" w:val="clear"/>
        </w:rPr>
        <w:t xml:space="preserve">ncrease in accounts payable of $69.5 million, and </w:t>
      </w:r>
      <w:r>
        <w:rPr>
          <w:rFonts w:ascii="Times New Roman;serif" w:hAnsi="Times New Roman;serif"/>
          <w:b w:val="false"/>
          <w:color w:val="000000"/>
          <w:sz w:val="20"/>
        </w:rPr>
        <w:t xml:space="preserve">an increase in deferred revenue of </w:t>
      </w:r>
      <w:r>
        <w:rPr>
          <w:rFonts w:ascii="Times New Roman;serif" w:hAnsi="Times New Roman;serif"/>
          <w:b w:val="false"/>
          <w:color w:val="000000"/>
          <w:sz w:val="20"/>
          <w:shd w:fill="FFFFFF" w:val="clear"/>
        </w:rPr>
        <w:t>$67.9 million. The increase in non-cash charges related primarily to an increase of $72.4 million</w:t>
      </w:r>
      <w:r>
        <w:rPr>
          <w:color w:val="000000"/>
        </w:rPr>
        <w:t xml:space="preserve"> </w:t>
      </w:r>
      <w:r>
        <w:rPr>
          <w:rFonts w:ascii="Times New Roman;serif" w:hAnsi="Times New Roman;serif"/>
          <w:b w:val="false"/>
          <w:color w:val="000000"/>
          <w:sz w:val="20"/>
        </w:rPr>
        <w:t>in stock-based compensation as we continued to increase headcount to support the growth of the business. The increase in cash provided by operating activities was partially offset by an increase in accounts receivable of $84.1 million and an increase in deferred contract costs of $26.2 million.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30, 2026 increased by $30.2 million compared to the six months ended June 30, 2025, primarily driven by an increase in purchases of marketable securities of $715.7 million and an increase in capitalized software development costs of $23.5 million. This increase in cash used in investing activities was partially offset by proceeds from the maturities of marketable securities of $391.6 million and proceeds from the sale of marketable securities of $310.0 million.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increased $655.3 million compared to the six months ended June 30, 2025, primarily due to the absence in the current period of $635.5 million in repayments of the 2025 convertible senior notes that occurred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Free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U.S.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free cash flow to net cash provided by operating activities, the most directly comparable financial measure calculated in accordance with GAAP, for each of the periods indicated:</w:t>
      </w:r>
    </w:p>
    <w:tbl>
      <w:tblPr>
        <w:tblW w:w="6474" w:type="dxa"/>
        <w:jc w:val="left"/>
        <w:tblInd w:w="0" w:type="dxa"/>
        <w:tblLayout w:type="fixed"/>
        <w:tblCellMar>
          <w:top w:w="28" w:type="dxa"/>
          <w:left w:w="28" w:type="dxa"/>
          <w:bottom w:w="28" w:type="dxa"/>
          <w:right w:w="28" w:type="dxa"/>
        </w:tblCellMar>
      </w:tblPr>
      <w:tblGrid>
        <w:gridCol w:w="1379"/>
        <w:gridCol w:w="1214"/>
        <w:gridCol w:w="1217"/>
        <w:gridCol w:w="211"/>
        <w:gridCol w:w="826"/>
        <w:gridCol w:w="109"/>
        <w:gridCol w:w="109"/>
        <w:gridCol w:w="109"/>
        <w:gridCol w:w="109"/>
        <w:gridCol w:w="211"/>
        <w:gridCol w:w="82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Capitalized software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from those disclosed in Part II, Item 7, “Management’s Discussion and Analysis of Financial Condition and Results of Operations”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40"/>
        <w:ind w:left="0" w:right="0" w:firstLine="54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in our Notes to Unaudited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As of June 30, 2026, we had $336.6 million in cash equivalents and $4.6 billion in marketable securities, </w:t>
      </w:r>
      <w:r>
        <w:rPr>
          <w:rFonts w:ascii="Times New Roman;serif" w:hAnsi="Times New Roman;serif"/>
          <w:b w:val="false"/>
          <w:color w:val="333333"/>
          <w:sz w:val="20"/>
        </w:rPr>
        <w:t>which consisted</w:t>
      </w:r>
      <w:r>
        <w:rPr>
          <w:color w:val="000000"/>
        </w:rPr>
        <w:t xml:space="preserve"> </w:t>
      </w:r>
      <w:r>
        <w:rPr>
          <w:rFonts w:ascii="Times New Roman;serif" w:hAnsi="Times New Roman;serif"/>
          <w:b w:val="false"/>
          <w:color w:val="000000"/>
          <w:sz w:val="20"/>
        </w:rPr>
        <w:t>of corporate debt securities, commercial paper, certificates of deposit, U.S. government treasury securities, and U.S. government agency securities</w:t>
      </w:r>
      <w:r>
        <w:rPr>
          <w:rFonts w:ascii="Times New Roman;serif" w:hAnsi="Times New Roman;serif"/>
          <w:b w:val="false"/>
          <w:color w:val="333333"/>
          <w:sz w:val="20"/>
        </w:rPr>
        <w:t xml:space="preserve">. </w:t>
      </w:r>
      <w:r>
        <w:rPr>
          <w:rFonts w:ascii="Times New Roman;serif" w:hAnsi="Times New Roman;serif"/>
          <w:b w:val="false"/>
          <w:color w:val="000000"/>
          <w:sz w:val="20"/>
        </w:rPr>
        <w:t xml:space="preserve">Our cash and cash equivalents are held for working capital purposes. We do not enter into investments for trading or speculative purposes. </w:t>
      </w:r>
      <w:r>
        <w:rPr>
          <w:rFonts w:ascii="Times New Roman;serif" w:hAnsi="Times New Roman;serif"/>
          <w:b w:val="false"/>
          <w:color w:val="333333"/>
          <w:sz w:val="20"/>
        </w:rPr>
        <w:t>Our investments are exposed to market risk due to a fluctuation in interest rates, which may affect our interest income and the fair market value of our investments.</w:t>
      </w:r>
      <w:r>
        <w:rPr>
          <w:color w:val="000000"/>
        </w:rPr>
        <w:t xml:space="preserve"> </w:t>
      </w:r>
      <w:r>
        <w:rPr>
          <w:rFonts w:ascii="Times New Roman;serif" w:hAnsi="Times New Roman;serif"/>
          <w:b w:val="false"/>
          <w:color w:val="000000"/>
          <w:sz w:val="20"/>
        </w:rPr>
        <w:t>As of June 30, 2026, a hypothetical 10% relative change in interest rates would not have a material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and Ireland. Our consolidated results of operations and cash flows are, therefore, subject to fluctuations due to changes in foreign currency exchange rates and may be adversely affected in the future due to changes in foreign exchange rates.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mitigate a portion of our exposure to foreign currency exchange rate fluctuations, we enter into foreign currency forward contracts to hedge certain forecasted cash flows denominated in foreign currencies. These contracts are designated as cash flow hedges and are intended to reduce the variability in operating expenses associated with changes in foreign exchange rates. We do not enter into foreign currency forward contracts for trading or speculative purposes.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hypothetical 10% increase or decrease in the relative value of the U.S. dollar to other currencies would not have a material effect on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associated with an investment in our Class A common stock:</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Unfavorable conditions in our industry or the global economy, or reductions in information technology spending, could limit our ability to grow our business and negatively affect our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recent rapid growth may not be indicative of our future growth. Our rapid growth also makes it difficult to evaluate our future prospects and may increase the risk that we will not be successful.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have a history of operating losses and may not achieve or sustain profitability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have a limited operating history, which makes it difficult to forecast our future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require additional capital to support the growth of our business, and this capital might not be available on acceptable terms, if at all.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we are unable to attract new customers, our business, financial condition and results of operations will be adversely affected.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Failure to effectively develop and expand our sales and marketing capabilities could harm our ability to increase our customer base and achieve broader market acceptance of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Interruptions or performance problems associated with our products and platform capabilities may adversely affect our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not be able to successfully manage our growth, and if we are not able to grow efficiently, our business, financial condition and results of operations could be harmed.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we fail to adapt and respond effectively to rapidly changing technology, evolving industry standards, changing regulations, or to changing customer needs, requirements or preferences, our platform and products may become less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markets in which we participate are competitive, and if we do not compete effectively, our business, financial condition and results of operations could be harmed.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Associated with our Growth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Unfavorable conditions in our industry or the global economy, or reductions in information technology spending, could limit our ability to grow our business and negatively affect our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and Iran,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recent rapid growth may not be indicative of our future growth. Our rapid growth also makes it difficult to evaluate our future prospects and may increase the risk that we will not be successful.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 was $2.1 billion and $1.6 billion for the six months ended June 30, 2026 and 2025,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price our products effectively so that we are able to attract new customers and expand sales to our existing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expand the functionality and use cases for the products we offer on our platform;</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maintain and expand the rates at which customers purchase and renew subscriptions to our platform;</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our customers with support that meets their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continue to introduce our products to new markets outside of the United States;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successfully identify and acquire or invest in businesses, products or technologies that we believe could complement or expand our platform;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increase awareness of our brand on a global basis and successfully compete with other companies.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expect to continue to expend substantial financial and other resources 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technology infrastructure, including systems architecture, scalability, availability, performance and security;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sales and marketing organization to engage our existing and prospective customers, increase brand awareness and drive adoption of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product development, including investments in our product development team and the development of new products and new functionality for our platform as well as investments in further optimizing our existing products and infrastructure;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acquisitions or strategic investments;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international expansion;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general administration.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a history of operating losses and may not sustain profitability in the future.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forecast our future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require additional capital to support the growth of our business, and this capital might not be available on acceptable terms, if at all.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Strategic and Operational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our AI-native cohort, which cohort includes our largest customer, contributed high single digit percentage points to the total Company year-over-year revenue growth for the quarter ended June 30, 2026. This cohort rapidly increased their usage of our product, and may in the future optimize their usage, or may fail to renew their subscriptions. Beginning in the third quarter of 2026, we saw our largest customer reduce their usage.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our business, financial condition and results of operations will be adversely affected.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Failure to effectively develop and expand our sales and marketing capabilities could harm our ability to increase our customer base and achieve broader market acceptance of our products.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Similarly, supply chain attacks have increased in frequency and severity, and we cannot guarantee that third parties and infrastructure in our supply chain have not been compromised or that they do not contain exploitable defects or bugs that could result in a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 or disruption to our platform, systems and networks or the systems and networks of third parties that support us and our services. Despite the security controls we have in place, such attacks are very difficult to avoid.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 Additionally, as AI technologies continue to evolve, threat actors are using and exploiting these technologies to enhance the sophistication, scale, speed and effectiveness of security threats that may be more difficult to detect and defend against, including future capabilities to identify previously unknown vulnerabilities and automate complex, multi-stage attack chains.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 Some of our customers may be subject to the EU’s Digital Operational Resilience Act (DORA) and similar regulatory requirements in the United Kingdom related to operational resilience, which has led and will lead certain of our customers to negotiate additional specific provisions with us, including certain mandatory risk management, transparency and continuity provisions. If we fail to materially comply with these contractual requirements, we may be subject to investigations, audits or other adverse consequences.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have been and in the future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However, such unauthorized access may increase our vulnerability to certain attacks at a later date through exploitation of our source code, including the exploitation of potential vulnerabilities in the Datadog platform or products, or information stored within the source code. Additionally, from time to time employees or service providers may inadvertently misconfigure resources or misdirect certain communications, leading to security vulnerabilities or incidents that we must then expend effort and incur expenses to correct.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Interruptions or performance problems associated with our products and platform capabilities may adversely affect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able to successfully manage our growth, and if we are not able to grow efficiently, our business, financial condition and results of operations could be harmed.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become, or we are unable to successfully attract paying customers, we will not realize the intended benefits of these marketing strategies and our ability to grow our revenue will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expect fluctuations in our financial results, making it difficult to project future results, and if we fail to meet the expectations of securities analysts or investors with respect to our results of operations, our stock price could decline.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fluctuations in demand for or pricing of our platform and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fluctuations in usage of our platform and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attract new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retain our existing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customer expansion rates and the pricing and quantity of subscriptions renewed;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pricing of subscriptions from customers in our cloud-provider marketplaces;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timing and amount of our investments to expand the capacity of our third-party cloud infrastructure providers;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seasonality driven by industry conferences;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investment in new products and features relative to investments in our existing infrastructure and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timing of our customer purchases;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fluctuations or delays in purchasing decisions in anticipation of new products or enhancements by us or our competitors;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customers’ budgets and in the timing of their budget cycles and purchasing decisions;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and timing of payment for operating expenses, particularly research and development and sales and marketing expenses, including commissions;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and timing of non-cash expenses, including stock-based compensation, goodwill impairments and other non-cash charges;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and timing of costs associated with recruiting, training and integrating new employees and retaining and motivating existing employees;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effects of acquisitions and their integration;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effects of trade policies, such as trade wars, tariffs or other trade restrictions or the threat of such actions;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 of other economic factors, including inflation, pricing and currency fluctuations;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regulatory or legal environments that may cause us to incur, among other elements, expenses associated with compliance;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the competitive dynamics of our market, including consolidation among competitors or customers;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significant security breaches of, technical difficulties with, or interruptions to, the delivery and use of our products and platform capabilities.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economy, including credit and financial markets, has experienced periods of volatility and disruptions, including periods of diminished liquidity and credit availability, changes in consumer confidence, fluctuations in economic growth, volatility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Seasonality may cause fluctuations in our sales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Downturns or upturns in our sales may not be immediately reflected in our financial position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target enterprise customers, and sales to these customers involve risks that may not be present or that are present to a lesser extent with sales to smaller entities.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retain and motivate members of our management team or other key employees, or fail to attract additional qualified personnel to support our operations, our business and future growth prospects would be harmed.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execute our growth plan, we must attract and retain highly qualified personnel. Competition for these personnel is intense, especially for engineers experienced in designing and developing SaaS applications, 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These difficulties may be amplified by evolving restrictions on immigration, travel, or availability of visas for skilled technology workers. Current and future restrictions on the availability of visas, increased costs of visas, or delays in the issuance of visas could impair our ability to employ skilled professionals.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maintain and enhance our brand, our ability to expand our customer base will be impaired and our business, financial condition and results of operations may suffer.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cannot maintain our company culture as we grow, our success and our business and competitive position may be harmed.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offer high-quality support, our reputation could suffer.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Industry and Competitive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adapt and respond effectively to rapidly changing technology, evolving industry standards, changing regulations, or to changing customer needs, requirements or preferences, our platform and products may become less competitive.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success of our platform depends, in part, on its ability to be deployed in a self-service installation process. We currently offer more than 1,000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markets in which we participate are competitive, and if we do not compete effectively, our business, financial condition and results of operations could be harmed.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compete on the basis of a number of factors,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ability to provide unified, real-time observability of IT environments;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ability to operate in dynamic and elastic environments;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extensibility across the enterprise, including development, operations and business users;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propensity to enable collaboration between development, operations and business users;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ability to monitor any combination of public clouds, private clouds, on-premise and multi-cloud hybrids;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ability to provide advanced analytics and machine learning;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ease of deployment, implementation and use;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ability to operate across a broad range of geographies in compliance with local regulations;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breadth of offering and key technology integrations;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performance, security, scalability and reliability;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quality of service and customer satisfaction;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total cost of ownership;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brand recognition and reputation.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market for our solutions may develop more slowly or differently than we expect.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use artificial intelligence in our products, services and operations which may result in operational challenges, legal liability, reputational harm, competitive risks and regulatory concerns that could adversely affect our business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Further, countries and states are applying their data and consumer protection laws to AI technologies, and particularly generative AI and interactive chatbots.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and Regulatory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Indemnity provisions in various agreements to which we are party potentially expose us to substantial liability for infringement, misappropriation or other violation of intellectual property rights, data protection and other losses.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pStyle w:val="TextBody"/>
        <w:bidi w:val="0"/>
        <w:spacing w:lineRule="auto" w:line="276"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jurisdictions impose regulatory obligations focused on cybersecurity resilience, system availability, and incident response. For example, in the European Union, the Network and Information Security Directive (EU) 2022/2555 (“NIS2”), and in the United Kingdom, the Network and Information Systems Regulations 2018, establish requirements related to risk management, security incident reporting, and business continuity for certain entities. Failure to comply with these frameworks may result in significant administrative fines, enforcement actions, and operational restrictions.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Europe and other jurisdictions have enacted laws related to data storage location, cross-border personal data transfers, and data portability.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Additionally, the EU Data Act introduces new obligations related to data portability and services switching, which introduces operational complexities and infrastructure, and may increase our compliance and operational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Australia enacted the Australia Privacy Act, China enacted its Personal Information Protection Law, Canada has enacted the Personal Information Protection and Electronic Documents Act, and various related provincial laws and India enacted the Information Technology Act.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European legislative proposals and present laws and regulations apply to cookies and similar tracking technologies, electronic communications, and marketing. In the EU and the United Kingdom, regulators are increasingly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certain data breaches. The laws are not consistent, and compliance in the event of a widespread data breach is costly. States are also constantly amending existing laws, requiring attention to frequently changing legal requirements.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certain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amended the CCPA to give California residents the ability to limit the use of their sensitive personal information, provide additional penalties for CPRA violations concerning California residents under the age of 16, and established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particularly in certain industries and foreign countries. If we are not able to adjust to these changing laws, regulations, and contractual obligations, our business may be harmed.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to government entities and highly regulated organizations are subject to a number of challenges and risks.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channel partners fail to obtain appropriate import, export, or re-export licenses or permits, we may also be adversely affected through reputational harm, as well as other negative consequences, including government investigations and penalties.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Any future litigation against us could be costly and time-consuming to defend.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risks related to our environmental, social, and governance practices and disclosures.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continues to be a focus from certain regulators,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Europe and elsewhere may lead to significant compliance costs, may heighten scrutiny of our ESG practices and may require us to change our current practices.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could be required to collect additional sales taxes or be subject to other tax liabilities that may increase the costs our clients would have to pay for our products and adversely affect our results of operations.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serif" w:hAnsi="Times New Roman;serif"/>
          <w:b w:val="false"/>
          <w:i/>
          <w:color w:val="000000"/>
          <w:sz w:val="20"/>
        </w:rPr>
        <w:t>South Dakota v. Wayfair, Inc. et al</w:t>
      </w:r>
      <w:r>
        <w:rPr>
          <w:rFonts w:ascii="Times New Roman;serif" w:hAnsi="Times New Roman;serif"/>
          <w:b w:val="false"/>
          <w:color w:val="000000"/>
          <w:sz w:val="20"/>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to offset future taxable income may be subject to certain limitations.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approximately $340.2 million and $474.2 million of net operating loss carryforwards, or NOLs, for federal and state income tax purposes, respectively, which begin to expire in 2028 for state purposes if not utilized. Certain of these NOLs are attributable to entities that we have acquired which are subject to annual limitation under Section 382 of the Internal Revenue Code of 1986, as amended, or the Code, as discussed below. We are evaluating the impact of any Section 382 limitation on our utilization of our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our effective tax rate or tax liability may have an adverse effect on our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effective tax rate or tax liability could change due to several factors,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the relative amounts of income before taxes in the various jurisdictions in which we operate that have differing statutory tax rates;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tax laws, tax treaties, and regulations or the interpretation of them, including changes under the U.S. Tax Cuts Jobs Act, the Inflation Reduction Act, and the One Big Beautiful Bill Act (OBBBA);</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substantiate and utilize research and development tax credits to offset our future tax liabilities, taking into account any limitations under Section 382 of the Code;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further implementation of the Organization for Economic Co-operation and Development’s (OECD) international tax framework, including the Pillar Two minimum tax regime;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outcome of current and future tax audits, examinations, or administrative appeals;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limitations or adverse findings regarding our ability to do business in some jurisdictions.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OECD's Pillar Two model rules introduced a global minimum tax of 15%. These model rules have been adopted by various governments around the world, some of which are effective for tax periods beginning on or after December 31, 2024. On January 5, 2026, the OECD released new administrative guidance outlining a “side-by-side” arrangement that may exempt our U.S. operations from certain global minimum tax rules effective for fiscal years beginning on or after January 1, 2026. While this arrangement may provide relief for our U.S. operations, the broader adoption of Pillar Two rules globally could adversely affect our results of operations. There is no material impact on our financial statements for the tax period ending June 30,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will continue to monitor these developments and pending legislation, and evaluate any potential impact on our results of operations. Any of these developments could adversely affect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Any failure to obtain, maintain, protect or enforce our intellectual property and proprietary rights could impair our ability to protect our proprietary technology and our brand.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become subject to intellectual property disputes, which are costly and may subject us to significant liability and increased costs of doing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color w:val="000000"/>
          <w:sz w:val="20"/>
        </w:rPr>
        <w:t>cease selling or using products or services that incorporate the intellectual property rights that we allegedly infringe, misappropriate or violate;</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color w:val="000000"/>
          <w:sz w:val="20"/>
        </w:rPr>
        <w:t>make substantial payments for legal fees, settlement payments or other costs or damages;</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color w:val="000000"/>
          <w:sz w:val="20"/>
        </w:rPr>
        <w:t>obtain a license, which may not be available on reasonable terms or at all, to sell or use the relevant technology; or</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color w:val="000000"/>
          <w:sz w:val="20"/>
        </w:rPr>
        <w:t>redesign the allegedly infringing products to avoid infringement, misappropriation or violation, which could be costly, time-consuming or impossible.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use open source software in our products, which could negatively affect our ability to sell our services or subject us to litigation or other 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Associated with our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current operations are international in scope, and we plan further geographic expansion, creating a variety of operational challenges.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component of our growth strategy involves the further expansion of our operations and customer base internationally. Revenue, as determined based on the billing address of our customers, from regions outside of North America was 27% and 29% for the six months ended June 30, 2026 and 2025,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2026, approximately 45%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and future international business and operations involve a variety of risks,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slower than anticipated availability and adoption of cloud and hybrid IT infrastructures by international businesses;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a specific country’s or region’s political or economic conditions;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need to adapt and localize our products for specific countries;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greater difficulty collecting accounts receivable and longer payment cycles;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potential changes in trade relations, sanctions, regulations, or laws including changes in trade policies, such as trade wars, tariffs or other trade restrictions or the threat of such actions;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unexpected changes in laws, regulatory requirements, or tax laws;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more stringent regulations relating to privacy and data security and the unauthorized use of, or access to, commercial and personal information, particularly in Europe and the United Kingdom;</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differing and potentially more onerous labor regulations, especially in Europe, where labor laws are generally more advantageous to employees as compared to the United States, including deemed hourly wage and overtime regulations in these locations;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increased travel, real estate, infrastructure, and legal compliance costs associated with international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laws and business practices favoring local competitors or general market preferences for local vendors;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limited or insufficient intellectual property protection or difficulties obtaining, maintaining, protecting or enforcing our intellectual property rights, including our trademarks and patents;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political instability, terrorist activities and military conflict, including the war in Ukraine and conflicts in the Middle East;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an outbreak of a contagious disease, which may cause us or our third-party providers and/or customers to temporarily suspend our or their respective operations in the affected city or country;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exposure to liabilities under anti-corruption and anti-money laundering laws, including the FCPA, U.S. bribery laws, the UK Bribery Act, and similar laws and regulations in other jurisdictions;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adverse tax burdens and foreign exchange controls that could make it difficult to repatriate earnings and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invest substantial time and resources to further expand our international operations and are unable to do so successfully and in a timely manner, our business and results of operations will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which could negatively affect our results of operations.</w:t>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Although we have entered into and may in the future enter into hedging arrangements to manage foreign currency exchange rate fluctuations, such activity may not completely eliminate fluctuations in our operating results due to currency exchange rate changes. Hedging arrangements are inherently risky, and we have limited experience establishing hedging programs, which could expose us to additional risks that could adversely affect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international operations may subject us to potential adverse tax consequences.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stock price may be volatile, and the value of our Class A common stock may decline.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highly volatile and may fluctuate or decline substantially as a result of a variety of factors, some of which are beyond our control,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actual or anticipated fluctuations in our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variance in our financial performance from expectations of securities analysts or the financial guidance we provide to the public;</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the pricing of subscriptions to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our projected operating and financial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laws or regulations applicable to our platform and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announcements by us or our competitors of significant business developments, acquisitions, or new offerings;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significant data breaches, disruptions to or other incidents involving our software;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involvement in litigation;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sales of our Class A common stock by us or our stockholders;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senior management or key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trading volume of our Class A common stock;</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changes in the anticipated future size and growth rate of our market;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general economic and market conditions.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Broad market and industry fluctuations, as well as general economic, political, regulatory, and market conditions may also negatively impact the market price of our Class A common stock. Additional risks are described in “Risks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ten votes per share and our Class A common stock has one vote per share. As of June 30, 2026, our outstanding shares of Class B common stock represented approximately 42%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Future sales of our Class A common stock in the public market could cause the market price of our Class A common stock to decline.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0.00% Convertible Senior Notes due 2029, or the 2029 Notes, in shares of our Class A common stock or a combination of cash and shares of our Class A common stock, the issuance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Class A common stock may dilute the ownership interests of our stockholders and sales in the public market could adversely affect prevailing market prices.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Nevada law could make an acquisition of our company more difficult, limit attempts by our stockholders to replace or remove our current management and limit the market price of our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Provisions in our articles of incorporation and bylaws may have the effect of delaying or preventing a change of control or changes in our management. Our articles of incorporation and bylaws include provisions that: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that our directors may be removed with or without cause upon the vote of at least 66 2/3% of our outstanding shares of voting stock entitled to vote thereon;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provide that vacancies on our board of directors may be filled only by a majority of directors then in office, even though less than a quorum;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require the approval of our board of directors or the holders of at least 66 2/3% of our outstanding shares of voting stock entitled to vote thereon to amend our bylaws and certain provisions of our articles of incorporation.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Any of the foregoing provisions could also limit the price that investors might be willing to pay in the future for shares of our Class A common stock, and such provisions could also deter potential acquirers of our company, thereby reducing the likelihood that holders of our Class A common stock would receive a premium for their shares of our Class A common stock in an acquisition.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articles of incorporation designates the Eighth Judicial Court of the State of Nevada in Clark County, Nevada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provides that the Eighth Judicial District Court of the State of Nevada in Clark County, Nevada is the exclusive forum for the following types of actions or proceedings under Nevada statutory or common law, unless the Company consents in writing to the selection of an alternative forum: any derivative action or proceeding brought on our behalf; any action asserting a breach of a fiduciary duty; any action asserting a claim against us arising pursuant to the Nevada Revised Statutes ("NRS"), our articles of incorporation, or our bylaws; or any action asserting a claim against us that is governed by the internal affairs doctrine. The provisions would not apply to suits brought to enforce a duty or liability created by the Exchange Act. In addition, our articles of incorporation provide that the federal district courts of the United States of America will be the exclusive forum for resolving any complaint asserting a cause of action arising under the Securities Act.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choice of forum provisions may limit a stockholder’s ability to bring a claim in a judicial forum that it finds favorable for disputes with us or our directors, officers, or other employees. Although NRS 78.046 permits the articles of incorporation or bylaws of a Nevada corporation to require, to the extent not inconsistent with any applicable jurisdictional requirements and the laws of the United States, that all or certain actions must be brought solely or exclusively in a specified court, a stockholder may nevertheless seek to bring a claim in a venue other than those designated in the exclusive forum provisions. In such instance, we would expect to vigorously assert the validity and enforceability of the exclusive forum provisions of our articles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Outstanding Notes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have sufficient cash flow from our business to make payments on our significant debt when due, and we may incur additional indebtedness in the future.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issued the 2029 Notes in a private placement in December 2024. We may be required to use a substantial portion of our cash flows from operations to pay principal on our indebtedness. Our ability to make scheduled payments of the principal of or to refinance our indebtedness, including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additional debt in the future, subject to the restrictions contained in our future debt agreements, some of which may be secured debt. We are not restricted under the terms of the indenture governing the 2029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2029 Notes that could have the effect of diminishing our ability to make payments on the 2029 Notes when due.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conditional conversion feature of the 2029 Notes may adversely affect our financial condition and operating results.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 a current rather than long-term liability, which would result in a material reduction of our net working capital.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capped call transactions may affect the value of the 2029 Notes and the market price of our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pricing of the 2029 Notes, we entered into capped call transactions with the option counterparties. The capped call transactions cover, subject to customary adjustments substantially similar to those applicable to the 2029 Notes, the number of shares of our Class A common stock that initially underlie the 2029 Notes. The capped call transactions are generally expected to reduce the potential dilution to our Class A common stock upon any conversion of the 2029 Notes and/or offset any cash payments we are required to make in excess of the principal amount of converted 2029 Notes, as the case may be, with such reduction and/or offset subject to a cap. 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2029 Notes, including with certain investors in the 2029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2029 Notes and prior to the maturity of the 2029 Notes. They are likely to do so during any observation period related to a conversion of the 2029 Notes, or, to the extent we exercise the relevant election under the capped call transactions following any repurchase or redemption of the 2029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(a)Recent Sales of Unregistered Equity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issued 796,509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pStyle w:val="TextBody"/>
        <w:bidi w:val="0"/>
        <w:spacing w:lineRule="auto" w:line="288" w:before="240" w:after="283"/>
        <w:ind w:left="0" w:right="0" w:hanging="90"/>
        <w:jc w:val="both"/>
        <w:rPr>
          <w:rFonts w:ascii="Times New Roman;serif" w:hAnsi="Times New Roman;serif"/>
          <w:b/>
          <w:color w:val="000000"/>
          <w:sz w:val="20"/>
        </w:rPr>
      </w:pPr>
      <w:r>
        <w:rPr>
          <w:rFonts w:ascii="Times New Roman;serif" w:hAnsi="Times New Roman;serif"/>
          <w:b/>
          <w:color w:val="000000"/>
          <w:sz w:val="20"/>
        </w:rPr>
        <w:t>(b) Issuer Purchases of Equity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11, 2026, the 2019 Shah Family Trust, of which Shardul Shah, a member of our board of directors, is trustee, terminated a previously disclosed trading plan intended to satisfy the affirmative defense conditions of Securities Exchange Act Rule 10b5-1(c), which had been entered into on June 13, 2025 and was set to expire on September 12, 2026. The terminated plan provided for the potential sale of up to 95,000 shares of Class A common stock.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 months ended June 30, 2026</w:t>
      </w:r>
      <w:r>
        <w:rPr>
          <w:rFonts w:ascii="Times New Roman;serif" w:hAnsi="Times New Roman;serif"/>
          <w:b w:val="false"/>
          <w:color w:val="000000"/>
          <w:sz w:val="20"/>
        </w:rPr>
        <w:t>, the Company’s directors and officers (as defined in Rule 16a-1(f) under the Exchange Act) adopted or materially modified written plans intended to satisfy the affirmative defense conditions of Securities Exchange Act Rule 10b5-1(c) for the sale of the Company’s securities as set forth in the table below.</w:t>
      </w:r>
    </w:p>
    <w:tbl>
      <w:tblPr>
        <w:tblW w:w="10205" w:type="dxa"/>
        <w:jc w:val="left"/>
        <w:tblInd w:w="0" w:type="dxa"/>
        <w:tblLayout w:type="fixed"/>
        <w:tblCellMar>
          <w:top w:w="28" w:type="dxa"/>
          <w:left w:w="28" w:type="dxa"/>
          <w:bottom w:w="28" w:type="dxa"/>
          <w:right w:w="28" w:type="dxa"/>
        </w:tblCellMar>
      </w:tblPr>
      <w:tblGrid>
        <w:gridCol w:w="415"/>
        <w:gridCol w:w="363"/>
        <w:gridCol w:w="368"/>
        <w:gridCol w:w="109"/>
        <w:gridCol w:w="109"/>
        <w:gridCol w:w="109"/>
        <w:gridCol w:w="756"/>
        <w:gridCol w:w="649"/>
        <w:gridCol w:w="651"/>
        <w:gridCol w:w="109"/>
        <w:gridCol w:w="109"/>
        <w:gridCol w:w="109"/>
        <w:gridCol w:w="259"/>
        <w:gridCol w:w="259"/>
        <w:gridCol w:w="263"/>
        <w:gridCol w:w="109"/>
        <w:gridCol w:w="109"/>
        <w:gridCol w:w="109"/>
        <w:gridCol w:w="276"/>
        <w:gridCol w:w="276"/>
        <w:gridCol w:w="278"/>
        <w:gridCol w:w="109"/>
        <w:gridCol w:w="109"/>
        <w:gridCol w:w="109"/>
        <w:gridCol w:w="849"/>
        <w:gridCol w:w="824"/>
        <w:gridCol w:w="827"/>
        <w:gridCol w:w="109"/>
        <w:gridCol w:w="109"/>
        <w:gridCol w:w="109"/>
        <w:gridCol w:w="365"/>
        <w:gridCol w:w="365"/>
        <w:gridCol w:w="527"/>
      </w:tblGrid>
      <w:tr>
        <w:trPr/>
        <w:tc>
          <w:tcPr>
            <w:tcW w:w="4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146"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Shares of Class A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Julie Richardson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15, 2027</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Yanbing 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Product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12,700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2027</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8"/>
              </w:rPr>
              <w:t>David Obstler</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2027</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Alexis Lê-Quôc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Technology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1,332,312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27, 2027</w:t>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 The shares will be sold under a Rule 10b5-1 trading plan by Mr. Obstler and two trusts, of which his spouse is trustee.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6"/>
        <w:gridCol w:w="235"/>
        <w:gridCol w:w="236"/>
        <w:gridCol w:w="109"/>
        <w:gridCol w:w="109"/>
        <w:gridCol w:w="109"/>
        <w:gridCol w:w="1644"/>
        <w:gridCol w:w="1380"/>
        <w:gridCol w:w="1395"/>
        <w:gridCol w:w="109"/>
        <w:gridCol w:w="109"/>
        <w:gridCol w:w="109"/>
        <w:gridCol w:w="170"/>
        <w:gridCol w:w="170"/>
        <w:gridCol w:w="171"/>
        <w:gridCol w:w="109"/>
        <w:gridCol w:w="109"/>
        <w:gridCol w:w="109"/>
        <w:gridCol w:w="144"/>
        <w:gridCol w:w="144"/>
        <w:gridCol w:w="146"/>
        <w:gridCol w:w="109"/>
        <w:gridCol w:w="109"/>
        <w:gridCol w:w="109"/>
        <w:gridCol w:w="210"/>
        <w:gridCol w:w="210"/>
        <w:gridCol w:w="211"/>
        <w:gridCol w:w="109"/>
        <w:gridCol w:w="109"/>
        <w:gridCol w:w="109"/>
        <w:gridCol w:w="226"/>
        <w:gridCol w:w="226"/>
        <w:gridCol w:w="227"/>
        <w:gridCol w:w="109"/>
        <w:gridCol w:w="109"/>
        <w:gridCol w:w="109"/>
        <w:gridCol w:w="242"/>
        <w:gridCol w:w="242"/>
        <w:gridCol w:w="348"/>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Plan of Conversion of Datadog, Inc.</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Articles of Incorporation of Datadog,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Bylaws of Datadog,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x20260630x10q.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x20260630x10q.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x20260630x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x20260630x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32" w:type="dxa"/>
        <w:jc w:val="left"/>
        <w:tblInd w:w="0" w:type="dxa"/>
        <w:tblLayout w:type="fixed"/>
        <w:tblCellMar>
          <w:top w:w="28" w:type="dxa"/>
          <w:left w:w="28" w:type="dxa"/>
          <w:bottom w:w="28" w:type="dxa"/>
          <w:right w:w="28" w:type="dxa"/>
        </w:tblCellMar>
      </w:tblPr>
      <w:tblGrid>
        <w:gridCol w:w="667"/>
        <w:gridCol w:w="587"/>
        <w:gridCol w:w="590"/>
        <w:gridCol w:w="209"/>
        <w:gridCol w:w="209"/>
        <w:gridCol w:w="211"/>
        <w:gridCol w:w="163"/>
        <w:gridCol w:w="163"/>
        <w:gridCol w:w="163"/>
        <w:gridCol w:w="1112"/>
        <w:gridCol w:w="1112"/>
        <w:gridCol w:w="164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DATADOG,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Olivier Pomel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Olivier Pomel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Olivier Pomel, certify that: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Datadog, Inc. (the “registrant”) for the fiscal quarter ended June 30, 2026;</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2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19"/>
        <w:gridCol w:w="219"/>
        <w:gridCol w:w="221"/>
        <w:gridCol w:w="911"/>
        <w:gridCol w:w="911"/>
        <w:gridCol w:w="129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Olivier Pomel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Olivier Pomel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David Obstler, certify that: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Datadog, Inc. (the “registrant”) for the fiscal quarter ended June 30, 2026;</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2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19"/>
        <w:gridCol w:w="219"/>
        <w:gridCol w:w="221"/>
        <w:gridCol w:w="736"/>
        <w:gridCol w:w="736"/>
        <w:gridCol w:w="1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Olivier Pomel, certify, pursuant to 18 U.S.C. Section 1350, as adopted pursuant to Section 906 of the Sarbanes-Oxley Act of 2002, that the Quarterly Report on Form 10-Q of Datadog, Inc. for the fiscal quarter ended June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tbl>
      <w:tblPr>
        <w:tblW w:w="602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19"/>
        <w:gridCol w:w="219"/>
        <w:gridCol w:w="221"/>
        <w:gridCol w:w="911"/>
        <w:gridCol w:w="911"/>
        <w:gridCol w:w="129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Olivier Pomel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Olivier Pomel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David Obstler, certify, pursuant to 18 U.S.C. Section 1350, as adopted pursuant to Section 906 of the Sarbanes-Oxley Act of 2002, that the Quarterly Report on Form 10-Q of Datadog, Inc. for the fiscal quarter ended June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tbl>
      <w:tblPr>
        <w:tblW w:w="542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19"/>
        <w:gridCol w:w="219"/>
        <w:gridCol w:w="221"/>
        <w:gridCol w:w="736"/>
        <w:gridCol w:w="736"/>
        <w:gridCol w:w="104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1550/000119312526168261/d81305dex21.htm" TargetMode="External"/><Relationship Id="rId3" Type="http://schemas.openxmlformats.org/officeDocument/2006/relationships/hyperlink" Target="https://www.sec.gov/Archives/edgar/data/1561550/000119312526168261/d81305dex31.htm" TargetMode="External"/><Relationship Id="rId4" Type="http://schemas.openxmlformats.org/officeDocument/2006/relationships/hyperlink" Target="https://www.sec.gov/Archives/edgar/data/1561550/000119312526168261/d81305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43615</Words>
  <Characters>243142</Characters>
  <CharactersWithSpaces>284836</CharactersWithSpaces>
  <Paragraphs>3193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